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3862" w:rsidRPr="00751D14" w:rsidRDefault="0035151F" w:rsidP="00E93862">
      <w:pPr>
        <w:pStyle w:val="Corpodetexto"/>
        <w:spacing w:line="360" w:lineRule="auto"/>
        <w:rPr>
          <w:rFonts w:ascii="Trebuchet MS" w:hAnsi="Trebuchet MS"/>
        </w:rPr>
      </w:pPr>
      <w:r>
        <w:rPr>
          <w:rFonts w:ascii="Trebuchet MS" w:hAnsi="Trebuchet MS"/>
          <w:noProof/>
        </w:rPr>
        <w:pict>
          <v:group id="_x0000_s3072" style="position:absolute;left:0;text-align:left;margin-left:-1.15pt;margin-top:2.45pt;width:426.9pt;height:36.2pt;z-index:251660800" coordorigin="1678,3480" coordsize="8538,472">
            <v:shapetype id="_x0000_t202" coordsize="21600,21600" o:spt="202" path="m,l,21600r21600,l21600,xe">
              <v:stroke joinstyle="miter"/>
              <v:path gradientshapeok="t" o:connecttype="rect"/>
            </v:shapetype>
            <v:shape id="_x0000_s3073" type="#_x0000_t202" style="position:absolute;left:1678;top:3480;width:8538;height:454" fillcolor="#669" stroked="f" strokecolor="#669" strokeweight="1pt">
              <v:fill opacity="46531f" color2="#ccdaec" o:opacity2="54395f" rotate="t" focusposition=".5,.5" focussize="" focus="100%" type="gradient"/>
              <v:textbox style="mso-next-textbox:#_x0000_s3073" inset=",0,,0">
                <w:txbxContent>
                  <w:p w:rsidR="00046EA7" w:rsidRPr="000F631D" w:rsidRDefault="00046EA7" w:rsidP="00DF5BC1">
                    <w:pPr>
                      <w:autoSpaceDE w:val="0"/>
                      <w:autoSpaceDN w:val="0"/>
                      <w:adjustRightInd w:val="0"/>
                      <w:spacing w:before="60"/>
                      <w:ind w:left="-142"/>
                      <w:rPr>
                        <w:rFonts w:ascii="Trebuchet MS" w:hAnsi="Trebuchet MS" w:cs="Bookman Old Style"/>
                        <w:imprint/>
                        <w:color w:val="333399"/>
                        <w:sz w:val="44"/>
                        <w:szCs w:val="36"/>
                        <w:lang w:val="pt-BR"/>
                      </w:rPr>
                    </w:pPr>
                    <w:r w:rsidRPr="000F631D">
                      <w:rPr>
                        <w:rFonts w:ascii="Trebuchet MS" w:hAnsi="Trebuchet MS"/>
                        <w:imprint/>
                        <w:color w:val="333399"/>
                        <w:sz w:val="44"/>
                        <w:szCs w:val="36"/>
                        <w:lang w:val="pt-BR"/>
                      </w:rPr>
                      <w:t xml:space="preserve"> 1. Introdução</w:t>
                    </w:r>
                  </w:p>
                  <w:p w:rsidR="00046EA7" w:rsidRPr="00C52C26" w:rsidRDefault="00046EA7" w:rsidP="00E93862">
                    <w:pPr>
                      <w:rPr>
                        <w:rFonts w:ascii="Candara" w:hAnsi="Candara"/>
                      </w:rPr>
                    </w:pPr>
                  </w:p>
                </w:txbxContent>
              </v:textbox>
            </v:shape>
            <v:shapetype id="_x0000_t32" coordsize="21600,21600" o:spt="32" o:oned="t" path="m,l21600,21600e" filled="f">
              <v:path arrowok="t" fillok="f" o:connecttype="none"/>
              <o:lock v:ext="edit" shapetype="t"/>
            </v:shapetype>
            <v:shape id="_x0000_s3074" type="#_x0000_t32" style="position:absolute;left:1678;top:3952;width:8538;height:0" o:connectortype="straight" strokecolor="#339" strokeweight="1.5pt"/>
          </v:group>
        </w:pict>
      </w:r>
    </w:p>
    <w:p w:rsidR="00E93862" w:rsidRPr="00751D14" w:rsidRDefault="00E93862" w:rsidP="002C67AC">
      <w:pPr>
        <w:autoSpaceDE w:val="0"/>
        <w:autoSpaceDN w:val="0"/>
        <w:adjustRightInd w:val="0"/>
        <w:spacing w:line="360" w:lineRule="auto"/>
        <w:jc w:val="both"/>
        <w:rPr>
          <w:rFonts w:ascii="Trebuchet MS" w:hAnsi="Trebuchet MS" w:cs="Bookman Old Style"/>
          <w:b/>
        </w:rPr>
      </w:pPr>
    </w:p>
    <w:p w:rsidR="000A701A" w:rsidRPr="000A701A" w:rsidRDefault="000A701A" w:rsidP="000A701A">
      <w:pPr>
        <w:spacing w:line="360" w:lineRule="auto"/>
        <w:rPr>
          <w:rFonts w:ascii="Trebuchet MS" w:hAnsi="Trebuchet MS"/>
          <w:b/>
          <w:smallCaps/>
          <w:shadow/>
          <w:color w:val="333399"/>
          <w:sz w:val="20"/>
          <w:szCs w:val="20"/>
        </w:rPr>
      </w:pPr>
    </w:p>
    <w:p w:rsidR="00657367" w:rsidRPr="00547EC2" w:rsidRDefault="00751D14" w:rsidP="00657367">
      <w:pPr>
        <w:spacing w:after="240"/>
        <w:rPr>
          <w:rFonts w:ascii="Trebuchet MS" w:hAnsi="Trebuchet MS"/>
          <w:b/>
          <w:smallCaps/>
          <w:shadow/>
          <w:color w:val="333399"/>
          <w:sz w:val="28"/>
          <w:szCs w:val="28"/>
        </w:rPr>
      </w:pPr>
      <w:r w:rsidRPr="00547EC2">
        <w:rPr>
          <w:rFonts w:ascii="Trebuchet MS" w:hAnsi="Trebuchet MS"/>
          <w:b/>
          <w:smallCaps/>
          <w:shadow/>
          <w:color w:val="333399"/>
          <w:sz w:val="28"/>
          <w:szCs w:val="28"/>
        </w:rPr>
        <w:t>1</w:t>
      </w:r>
      <w:r w:rsidR="00657367" w:rsidRPr="00547EC2">
        <w:rPr>
          <w:rFonts w:ascii="Trebuchet MS" w:hAnsi="Trebuchet MS"/>
          <w:b/>
          <w:smallCaps/>
          <w:shadow/>
          <w:color w:val="333399"/>
          <w:sz w:val="28"/>
          <w:szCs w:val="28"/>
        </w:rPr>
        <w:t>.1. I</w:t>
      </w:r>
      <w:r w:rsidR="00547EC2" w:rsidRPr="00547EC2">
        <w:rPr>
          <w:rFonts w:ascii="Trebuchet MS" w:hAnsi="Trebuchet MS"/>
          <w:b/>
          <w:smallCaps/>
          <w:shadow/>
          <w:color w:val="333399"/>
          <w:sz w:val="28"/>
          <w:szCs w:val="28"/>
        </w:rPr>
        <w:t>squ</w:t>
      </w:r>
      <w:r w:rsidR="00657367" w:rsidRPr="00547EC2">
        <w:rPr>
          <w:rFonts w:ascii="Trebuchet MS" w:hAnsi="Trebuchet MS"/>
          <w:b/>
          <w:smallCaps/>
          <w:shadow/>
          <w:color w:val="333399"/>
          <w:sz w:val="28"/>
          <w:szCs w:val="28"/>
        </w:rPr>
        <w:t>émia Cerebral</w:t>
      </w:r>
    </w:p>
    <w:p w:rsidR="00657367" w:rsidRPr="000F631D" w:rsidRDefault="00657367" w:rsidP="00657367">
      <w:pPr>
        <w:autoSpaceDE w:val="0"/>
        <w:autoSpaceDN w:val="0"/>
        <w:adjustRightInd w:val="0"/>
        <w:spacing w:line="360" w:lineRule="auto"/>
        <w:ind w:firstLine="708"/>
        <w:jc w:val="both"/>
        <w:rPr>
          <w:rFonts w:ascii="Trebuchet MS" w:eastAsiaTheme="minorHAnsi" w:hAnsi="Trebuchet MS" w:cs="AdvTimes"/>
          <w:sz w:val="20"/>
        </w:rPr>
      </w:pPr>
      <w:r w:rsidRPr="000F631D">
        <w:rPr>
          <w:rFonts w:ascii="Trebuchet MS" w:eastAsiaTheme="minorHAnsi" w:hAnsi="Trebuchet MS"/>
          <w:sz w:val="20"/>
        </w:rPr>
        <w:t xml:space="preserve">O cérebro requer um fornecimento contínuo de oxigénio e glucose para manter a sua função (Nisticò </w:t>
      </w:r>
      <w:r w:rsidR="00F96813" w:rsidRPr="000F631D">
        <w:rPr>
          <w:rFonts w:ascii="Trebuchet MS" w:eastAsiaTheme="minorHAnsi" w:hAnsi="Trebuchet MS"/>
          <w:i/>
          <w:sz w:val="20"/>
        </w:rPr>
        <w:t>et al.</w:t>
      </w:r>
      <w:r w:rsidRPr="000F631D">
        <w:rPr>
          <w:rFonts w:ascii="Trebuchet MS" w:eastAsiaTheme="minorHAnsi" w:hAnsi="Trebuchet MS"/>
          <w:sz w:val="20"/>
        </w:rPr>
        <w:t xml:space="preserve">, 2008). A </w:t>
      </w:r>
      <w:r w:rsidRPr="000F631D">
        <w:rPr>
          <w:rFonts w:ascii="Trebuchet MS" w:eastAsiaTheme="minorHAnsi" w:hAnsi="Trebuchet MS" w:cs="AdvTimes"/>
          <w:sz w:val="20"/>
        </w:rPr>
        <w:t>actividade neuronal depende principalmente da disponibilid</w:t>
      </w:r>
      <w:r w:rsidRPr="000F631D">
        <w:rPr>
          <w:rFonts w:ascii="Trebuchet MS" w:eastAsiaTheme="minorHAnsi" w:hAnsi="Trebuchet MS" w:cs="AdvTimes"/>
          <w:sz w:val="20"/>
        </w:rPr>
        <w:t>a</w:t>
      </w:r>
      <w:r w:rsidRPr="000F631D">
        <w:rPr>
          <w:rFonts w:ascii="Trebuchet MS" w:eastAsiaTheme="minorHAnsi" w:hAnsi="Trebuchet MS" w:cs="AdvTimes"/>
          <w:sz w:val="20"/>
        </w:rPr>
        <w:t>de de oxigénio</w:t>
      </w:r>
      <w:r w:rsidR="00F03C8B">
        <w:rPr>
          <w:rFonts w:ascii="Trebuchet MS" w:eastAsiaTheme="minorHAnsi" w:hAnsi="Trebuchet MS" w:cs="AdvTimes"/>
          <w:sz w:val="20"/>
        </w:rPr>
        <w:t xml:space="preserve"> e glucose</w:t>
      </w:r>
      <w:r w:rsidRPr="000F631D">
        <w:rPr>
          <w:rFonts w:ascii="Trebuchet MS" w:eastAsiaTheme="minorHAnsi" w:hAnsi="Trebuchet MS" w:cs="AdvTimes"/>
          <w:sz w:val="20"/>
        </w:rPr>
        <w:t xml:space="preserve"> </w:t>
      </w:r>
      <w:r w:rsidRPr="000F631D">
        <w:rPr>
          <w:rFonts w:ascii="Trebuchet MS" w:eastAsiaTheme="minorHAnsi" w:hAnsi="Trebuchet MS"/>
          <w:sz w:val="20"/>
        </w:rPr>
        <w:t>e</w:t>
      </w:r>
      <w:r w:rsidRPr="000F631D">
        <w:rPr>
          <w:rFonts w:ascii="Trebuchet MS" w:eastAsiaTheme="minorHAnsi" w:hAnsi="Trebuchet MS" w:cs="AdvTimes"/>
          <w:sz w:val="20"/>
        </w:rPr>
        <w:t xml:space="preserve"> requer o aprovisionamento </w:t>
      </w:r>
      <w:r w:rsidR="00836856" w:rsidRPr="000F631D">
        <w:rPr>
          <w:rFonts w:ascii="Trebuchet MS" w:eastAsiaTheme="minorHAnsi" w:hAnsi="Trebuchet MS" w:cs="AdvTimes"/>
          <w:sz w:val="20"/>
        </w:rPr>
        <w:t xml:space="preserve">contínuo </w:t>
      </w:r>
      <w:r w:rsidRPr="000F631D">
        <w:rPr>
          <w:rFonts w:ascii="Trebuchet MS" w:eastAsiaTheme="minorHAnsi" w:hAnsi="Trebuchet MS" w:cs="AdvTimes"/>
          <w:sz w:val="20"/>
        </w:rPr>
        <w:t>d</w:t>
      </w:r>
      <w:r w:rsidR="00F03C8B">
        <w:rPr>
          <w:rFonts w:ascii="Trebuchet MS" w:eastAsiaTheme="minorHAnsi" w:hAnsi="Trebuchet MS" w:cs="AdvTimes"/>
          <w:sz w:val="20"/>
        </w:rPr>
        <w:t>estes</w:t>
      </w:r>
      <w:r w:rsidRPr="000F631D">
        <w:rPr>
          <w:rFonts w:ascii="Trebuchet MS" w:hAnsi="Trebuchet MS"/>
          <w:color w:val="000000"/>
          <w:sz w:val="20"/>
        </w:rPr>
        <w:t xml:space="preserve"> (</w:t>
      </w:r>
      <w:r w:rsidR="00F03C8B" w:rsidRPr="000F631D">
        <w:rPr>
          <w:rFonts w:ascii="Trebuchet MS" w:eastAsiaTheme="minorHAnsi" w:hAnsi="Trebuchet MS"/>
          <w:sz w:val="20"/>
        </w:rPr>
        <w:t xml:space="preserve">Eschke </w:t>
      </w:r>
      <w:r w:rsidR="00F03C8B" w:rsidRPr="000F631D">
        <w:rPr>
          <w:rFonts w:ascii="Trebuchet MS" w:eastAsiaTheme="minorHAnsi" w:hAnsi="Trebuchet MS"/>
          <w:i/>
          <w:sz w:val="20"/>
        </w:rPr>
        <w:t>et al.</w:t>
      </w:r>
      <w:r w:rsidR="00F03C8B" w:rsidRPr="000F631D">
        <w:rPr>
          <w:rFonts w:ascii="Trebuchet MS" w:eastAsiaTheme="minorHAnsi" w:hAnsi="Trebuchet MS"/>
          <w:sz w:val="20"/>
        </w:rPr>
        <w:t>, 2001</w:t>
      </w:r>
      <w:r w:rsidR="00F03C8B">
        <w:rPr>
          <w:rFonts w:ascii="Trebuchet MS" w:eastAsiaTheme="minorHAnsi" w:hAnsi="Trebuchet MS"/>
          <w:sz w:val="20"/>
        </w:rPr>
        <w:t xml:space="preserve">; </w:t>
      </w:r>
      <w:r w:rsidRPr="000F631D">
        <w:rPr>
          <w:rFonts w:ascii="Trebuchet MS" w:hAnsi="Trebuchet MS"/>
          <w:color w:val="000000"/>
          <w:sz w:val="20"/>
        </w:rPr>
        <w:t xml:space="preserve">Pedersen </w:t>
      </w:r>
      <w:r w:rsidR="00F96813" w:rsidRPr="000F631D">
        <w:rPr>
          <w:rFonts w:ascii="Trebuchet MS" w:hAnsi="Trebuchet MS"/>
          <w:i/>
          <w:color w:val="000000"/>
          <w:sz w:val="20"/>
        </w:rPr>
        <w:t>et al.</w:t>
      </w:r>
      <w:r w:rsidRPr="000F631D">
        <w:rPr>
          <w:rFonts w:ascii="Trebuchet MS" w:hAnsi="Trebuchet MS"/>
          <w:color w:val="000000"/>
          <w:sz w:val="20"/>
        </w:rPr>
        <w:t>, 1998).</w:t>
      </w:r>
    </w:p>
    <w:p w:rsidR="00836856" w:rsidRPr="003B7012" w:rsidRDefault="00657367" w:rsidP="00657367">
      <w:pPr>
        <w:autoSpaceDE w:val="0"/>
        <w:autoSpaceDN w:val="0"/>
        <w:adjustRightInd w:val="0"/>
        <w:spacing w:line="360" w:lineRule="auto"/>
        <w:ind w:firstLine="708"/>
        <w:jc w:val="both"/>
        <w:rPr>
          <w:rFonts w:ascii="Trebuchet MS" w:eastAsiaTheme="minorHAnsi" w:hAnsi="Trebuchet MS" w:cs="AdvTimes"/>
          <w:bCs/>
          <w:sz w:val="20"/>
        </w:rPr>
      </w:pPr>
      <w:r w:rsidRPr="003B7012">
        <w:rPr>
          <w:rFonts w:ascii="Trebuchet MS" w:eastAsiaTheme="minorHAnsi" w:hAnsi="Trebuchet MS" w:cs="AdvTimes"/>
          <w:sz w:val="20"/>
        </w:rPr>
        <w:t xml:space="preserve">A </w:t>
      </w:r>
      <w:r w:rsidRPr="003B7012">
        <w:rPr>
          <w:rFonts w:ascii="Trebuchet MS" w:eastAsiaTheme="minorHAnsi" w:hAnsi="Trebuchet MS" w:cs="AdvTimes"/>
          <w:b/>
          <w:sz w:val="20"/>
        </w:rPr>
        <w:t>hipóxia</w:t>
      </w:r>
      <w:r w:rsidRPr="003B7012">
        <w:rPr>
          <w:rFonts w:ascii="Trebuchet MS" w:eastAsiaTheme="minorHAnsi" w:hAnsi="Trebuchet MS" w:cs="AdvTimes"/>
          <w:sz w:val="20"/>
        </w:rPr>
        <w:t xml:space="preserve"> é definida como uma diminuição na concentração de oxigénio no tecido ou </w:t>
      </w:r>
      <w:proofErr w:type="gramStart"/>
      <w:r w:rsidRPr="003B7012">
        <w:rPr>
          <w:rFonts w:ascii="Trebuchet MS" w:eastAsiaTheme="minorHAnsi" w:hAnsi="Trebuchet MS" w:cs="AdvTimes"/>
          <w:sz w:val="20"/>
        </w:rPr>
        <w:t>no</w:t>
      </w:r>
      <w:proofErr w:type="gramEnd"/>
      <w:r w:rsidRPr="003B7012">
        <w:rPr>
          <w:rFonts w:ascii="Trebuchet MS" w:eastAsiaTheme="minorHAnsi" w:hAnsi="Trebuchet MS" w:cs="AdvTimes"/>
          <w:sz w:val="20"/>
        </w:rPr>
        <w:t xml:space="preserve"> meio tecidual, abaixo do normal. A </w:t>
      </w:r>
      <w:r w:rsidRPr="003B7012">
        <w:rPr>
          <w:rFonts w:ascii="Trebuchet MS" w:eastAsiaTheme="minorHAnsi" w:hAnsi="Trebuchet MS" w:cs="AdvTimes"/>
          <w:b/>
          <w:sz w:val="20"/>
        </w:rPr>
        <w:t>isquémia</w:t>
      </w:r>
      <w:r w:rsidRPr="003B7012">
        <w:rPr>
          <w:rFonts w:ascii="Trebuchet MS" w:eastAsiaTheme="minorHAnsi" w:hAnsi="Trebuchet MS" w:cs="AdvTimes"/>
          <w:sz w:val="20"/>
        </w:rPr>
        <w:t xml:space="preserve"> é definida como uma diminuição do fluxo sanguíneo para o tecido, que impede a distribuição adequada de oxigénio e glucose e outros nutrientes (</w:t>
      </w:r>
      <w:r w:rsidR="0012525E">
        <w:rPr>
          <w:rFonts w:ascii="Trebuchet MS" w:eastAsiaTheme="minorHAnsi" w:hAnsi="Trebuchet MS" w:cs="AdvTimes"/>
          <w:sz w:val="20"/>
        </w:rPr>
        <w:t>Para r</w:t>
      </w:r>
      <w:r w:rsidRPr="003B7012">
        <w:rPr>
          <w:rFonts w:ascii="Trebuchet MS" w:eastAsiaTheme="minorHAnsi" w:hAnsi="Trebuchet MS" w:cs="AdvTimes"/>
          <w:sz w:val="20"/>
        </w:rPr>
        <w:t xml:space="preserve">evisão </w:t>
      </w:r>
      <w:r w:rsidR="0012525E">
        <w:rPr>
          <w:rFonts w:ascii="Trebuchet MS" w:eastAsiaTheme="minorHAnsi" w:hAnsi="Trebuchet MS" w:cs="AdvTimes"/>
          <w:sz w:val="20"/>
        </w:rPr>
        <w:t>ver</w:t>
      </w:r>
      <w:r w:rsidRPr="003B7012">
        <w:rPr>
          <w:rFonts w:ascii="Trebuchet MS" w:eastAsiaTheme="minorHAnsi" w:hAnsi="Trebuchet MS" w:cs="AdvTimes"/>
          <w:sz w:val="20"/>
        </w:rPr>
        <w:t xml:space="preserve"> Sharp </w:t>
      </w:r>
      <w:r w:rsidR="00F96813" w:rsidRPr="003B7012">
        <w:rPr>
          <w:rFonts w:ascii="Trebuchet MS" w:eastAsiaTheme="minorHAnsi" w:hAnsi="Trebuchet MS" w:cs="AdvTimes"/>
          <w:i/>
          <w:sz w:val="20"/>
        </w:rPr>
        <w:t>et al.</w:t>
      </w:r>
      <w:r w:rsidRPr="003B7012">
        <w:rPr>
          <w:rFonts w:ascii="Trebuchet MS" w:eastAsiaTheme="minorHAnsi" w:hAnsi="Trebuchet MS" w:cs="AdvTimes"/>
          <w:sz w:val="20"/>
        </w:rPr>
        <w:t xml:space="preserve">, 2004). A </w:t>
      </w:r>
      <w:r w:rsidRPr="003B7012">
        <w:rPr>
          <w:rFonts w:ascii="Trebuchet MS" w:eastAsiaTheme="minorHAnsi" w:hAnsi="Trebuchet MS" w:cs="AdvTimes"/>
          <w:b/>
          <w:bCs/>
          <w:sz w:val="20"/>
        </w:rPr>
        <w:t>anóxia</w:t>
      </w:r>
      <w:r w:rsidRPr="003B7012">
        <w:rPr>
          <w:rFonts w:ascii="Trebuchet MS" w:eastAsiaTheme="minorHAnsi" w:hAnsi="Trebuchet MS" w:cs="AdvTimes"/>
          <w:sz w:val="20"/>
        </w:rPr>
        <w:t xml:space="preserve"> pode ser definida como sendo pr</w:t>
      </w:r>
      <w:r w:rsidRPr="003B7012">
        <w:rPr>
          <w:rFonts w:ascii="Trebuchet MS" w:eastAsiaTheme="minorHAnsi" w:hAnsi="Trebuchet MS" w:cs="AdvTimes"/>
          <w:sz w:val="20"/>
        </w:rPr>
        <w:t>i</w:t>
      </w:r>
      <w:r w:rsidRPr="003B7012">
        <w:rPr>
          <w:rFonts w:ascii="Trebuchet MS" w:eastAsiaTheme="minorHAnsi" w:hAnsi="Trebuchet MS" w:cs="AdvTimes"/>
          <w:sz w:val="20"/>
        </w:rPr>
        <w:t xml:space="preserve">vação total de oxigenação </w:t>
      </w:r>
      <w:r w:rsidR="0012525E">
        <w:rPr>
          <w:rFonts w:ascii="Trebuchet MS" w:eastAsiaTheme="minorHAnsi" w:hAnsi="Trebuchet MS" w:cs="AdvTimes"/>
          <w:sz w:val="20"/>
        </w:rPr>
        <w:t>d</w:t>
      </w:r>
      <w:r w:rsidRPr="003B7012">
        <w:rPr>
          <w:rFonts w:ascii="Trebuchet MS" w:eastAsiaTheme="minorHAnsi" w:hAnsi="Trebuchet MS" w:cs="AdvTimes"/>
          <w:sz w:val="20"/>
        </w:rPr>
        <w:t xml:space="preserve">o </w:t>
      </w:r>
      <w:r w:rsidRPr="003B7012">
        <w:rPr>
          <w:rFonts w:ascii="Trebuchet MS" w:eastAsiaTheme="minorHAnsi" w:hAnsi="Trebuchet MS" w:cs="AdvTimes"/>
          <w:bCs/>
          <w:sz w:val="20"/>
        </w:rPr>
        <w:t>cérebro</w:t>
      </w:r>
      <w:r w:rsidR="00836856" w:rsidRPr="003B7012">
        <w:rPr>
          <w:rFonts w:ascii="Trebuchet MS" w:eastAsiaTheme="minorHAnsi" w:hAnsi="Trebuchet MS" w:cs="AdvTimes"/>
          <w:bCs/>
          <w:sz w:val="20"/>
        </w:rPr>
        <w:t xml:space="preserve"> (Centeno </w:t>
      </w:r>
      <w:r w:rsidR="00F96813" w:rsidRPr="003B7012">
        <w:rPr>
          <w:rFonts w:ascii="Trebuchet MS" w:eastAsiaTheme="minorHAnsi" w:hAnsi="Trebuchet MS" w:cs="AdvTimes"/>
          <w:bCs/>
          <w:i/>
          <w:sz w:val="20"/>
        </w:rPr>
        <w:t>et al.</w:t>
      </w:r>
      <w:r w:rsidR="00836856" w:rsidRPr="003B7012">
        <w:rPr>
          <w:rFonts w:ascii="Trebuchet MS" w:eastAsiaTheme="minorHAnsi" w:hAnsi="Trebuchet MS" w:cs="AdvTimes"/>
          <w:bCs/>
          <w:sz w:val="20"/>
        </w:rPr>
        <w:t>, 1999)</w:t>
      </w:r>
      <w:r w:rsidRPr="003B7012">
        <w:rPr>
          <w:rFonts w:ascii="Trebuchet MS" w:eastAsiaTheme="minorHAnsi" w:hAnsi="Trebuchet MS" w:cs="AdvTimes"/>
          <w:bCs/>
          <w:sz w:val="20"/>
        </w:rPr>
        <w:t>.</w:t>
      </w:r>
      <w:r w:rsidR="00836856" w:rsidRPr="003B7012">
        <w:rPr>
          <w:rFonts w:ascii="Trebuchet MS" w:eastAsiaTheme="minorHAnsi" w:hAnsi="Trebuchet MS" w:cs="AdvTimes"/>
          <w:bCs/>
          <w:sz w:val="20"/>
        </w:rPr>
        <w:t xml:space="preserve"> </w:t>
      </w:r>
    </w:p>
    <w:p w:rsidR="00836856" w:rsidRPr="003B7012" w:rsidRDefault="00657367" w:rsidP="00836856">
      <w:pPr>
        <w:autoSpaceDE w:val="0"/>
        <w:autoSpaceDN w:val="0"/>
        <w:adjustRightInd w:val="0"/>
        <w:spacing w:line="360" w:lineRule="auto"/>
        <w:ind w:firstLine="708"/>
        <w:jc w:val="both"/>
        <w:rPr>
          <w:rFonts w:ascii="Trebuchet MS" w:hAnsi="Trebuchet MS"/>
          <w:bCs/>
          <w:color w:val="000000"/>
          <w:sz w:val="20"/>
        </w:rPr>
      </w:pPr>
      <w:r w:rsidRPr="003B7012">
        <w:rPr>
          <w:rFonts w:ascii="Trebuchet MS" w:eastAsiaTheme="minorHAnsi" w:hAnsi="Trebuchet MS" w:cs="AdvTimes"/>
          <w:sz w:val="20"/>
        </w:rPr>
        <w:t xml:space="preserve">A hipóxia e a isquémia, de duração ou </w:t>
      </w:r>
      <w:r w:rsidR="00836856" w:rsidRPr="003B7012">
        <w:rPr>
          <w:rFonts w:ascii="Trebuchet MS" w:eastAsiaTheme="minorHAnsi" w:hAnsi="Trebuchet MS" w:cs="AdvTimes"/>
          <w:sz w:val="20"/>
        </w:rPr>
        <w:t>severidade</w:t>
      </w:r>
      <w:r w:rsidR="0012525E" w:rsidRPr="003B7012">
        <w:rPr>
          <w:rFonts w:ascii="Trebuchet MS" w:eastAsiaTheme="minorHAnsi" w:hAnsi="Trebuchet MS" w:cs="AdvTimes"/>
          <w:sz w:val="20"/>
        </w:rPr>
        <w:t xml:space="preserve"> suficiente</w:t>
      </w:r>
      <w:r w:rsidR="0012525E">
        <w:rPr>
          <w:rFonts w:ascii="Trebuchet MS" w:eastAsiaTheme="minorHAnsi" w:hAnsi="Trebuchet MS" w:cs="AdvTimes"/>
          <w:sz w:val="20"/>
        </w:rPr>
        <w:t>s</w:t>
      </w:r>
      <w:r w:rsidRPr="003B7012">
        <w:rPr>
          <w:rFonts w:ascii="Trebuchet MS" w:eastAsiaTheme="minorHAnsi" w:hAnsi="Trebuchet MS" w:cs="AdvTimes"/>
          <w:sz w:val="20"/>
        </w:rPr>
        <w:t xml:space="preserve">, podem alterar </w:t>
      </w:r>
      <w:r w:rsidR="00520FA3" w:rsidRPr="003B7012">
        <w:rPr>
          <w:rFonts w:ascii="Trebuchet MS" w:eastAsiaTheme="minorHAnsi" w:hAnsi="Trebuchet MS" w:cs="AdvTimes"/>
          <w:sz w:val="20"/>
        </w:rPr>
        <w:t xml:space="preserve">a </w:t>
      </w:r>
      <w:r w:rsidRPr="003B7012">
        <w:rPr>
          <w:rFonts w:ascii="Trebuchet MS" w:eastAsiaTheme="minorHAnsi" w:hAnsi="Trebuchet MS" w:cs="AdvTimes"/>
          <w:sz w:val="20"/>
        </w:rPr>
        <w:t xml:space="preserve">função neuronal e a morfologia das células, o que pode levar à lesão celular ou mesmo morte celular (Eschke </w:t>
      </w:r>
      <w:r w:rsidR="00F96813" w:rsidRPr="003B7012">
        <w:rPr>
          <w:rFonts w:ascii="Trebuchet MS" w:eastAsiaTheme="minorHAnsi" w:hAnsi="Trebuchet MS" w:cs="AdvTimes"/>
          <w:i/>
          <w:sz w:val="20"/>
        </w:rPr>
        <w:t>et al.</w:t>
      </w:r>
      <w:r w:rsidRPr="003B7012">
        <w:rPr>
          <w:rFonts w:ascii="Trebuchet MS" w:eastAsiaTheme="minorHAnsi" w:hAnsi="Trebuchet MS" w:cs="AdvTimes"/>
          <w:sz w:val="20"/>
        </w:rPr>
        <w:t>, 2001).</w:t>
      </w:r>
      <w:r w:rsidR="00836856" w:rsidRPr="003B7012">
        <w:rPr>
          <w:rFonts w:ascii="Trebuchet MS" w:eastAsiaTheme="minorHAnsi" w:hAnsi="Trebuchet MS" w:cs="AdvTimes"/>
          <w:sz w:val="20"/>
        </w:rPr>
        <w:t xml:space="preserve"> </w:t>
      </w:r>
      <w:r w:rsidR="00836856" w:rsidRPr="003B7012">
        <w:rPr>
          <w:rFonts w:ascii="Trebuchet MS" w:hAnsi="Trebuchet MS"/>
          <w:bCs/>
          <w:color w:val="000000"/>
          <w:sz w:val="20"/>
        </w:rPr>
        <w:t xml:space="preserve">Dados experimentais e clínicos sugerem que a privação de oxigénio e/ou glucose altera a </w:t>
      </w:r>
      <w:r w:rsidR="0012525E">
        <w:rPr>
          <w:rFonts w:ascii="Trebuchet MS" w:hAnsi="Trebuchet MS"/>
          <w:bCs/>
          <w:color w:val="000000"/>
          <w:sz w:val="20"/>
        </w:rPr>
        <w:t>produção</w:t>
      </w:r>
      <w:r w:rsidR="00836856" w:rsidRPr="003B7012">
        <w:rPr>
          <w:rFonts w:ascii="Trebuchet MS" w:hAnsi="Trebuchet MS"/>
          <w:bCs/>
          <w:color w:val="000000"/>
          <w:sz w:val="20"/>
        </w:rPr>
        <w:t xml:space="preserve"> de energia no cérebro e gera radicais livres, que podem </w:t>
      </w:r>
      <w:r w:rsidR="0012525E">
        <w:rPr>
          <w:rFonts w:ascii="Trebuchet MS" w:hAnsi="Trebuchet MS"/>
          <w:bCs/>
          <w:color w:val="000000"/>
          <w:sz w:val="20"/>
        </w:rPr>
        <w:t>levar à</w:t>
      </w:r>
      <w:r w:rsidR="00836856" w:rsidRPr="003B7012">
        <w:rPr>
          <w:rFonts w:ascii="Trebuchet MS" w:hAnsi="Trebuchet MS"/>
          <w:bCs/>
          <w:color w:val="000000"/>
          <w:sz w:val="20"/>
        </w:rPr>
        <w:t xml:space="preserve"> morte neuronal (Pedersen </w:t>
      </w:r>
      <w:r w:rsidR="00F96813" w:rsidRPr="003B7012">
        <w:rPr>
          <w:rFonts w:ascii="Trebuchet MS" w:hAnsi="Trebuchet MS"/>
          <w:bCs/>
          <w:i/>
          <w:color w:val="000000"/>
          <w:sz w:val="20"/>
        </w:rPr>
        <w:t>et al.</w:t>
      </w:r>
      <w:r w:rsidR="00836856" w:rsidRPr="003B7012">
        <w:rPr>
          <w:rFonts w:ascii="Trebuchet MS" w:hAnsi="Trebuchet MS"/>
          <w:bCs/>
          <w:color w:val="000000"/>
          <w:sz w:val="20"/>
        </w:rPr>
        <w:t>, 1998).</w:t>
      </w:r>
    </w:p>
    <w:p w:rsidR="007938DC" w:rsidRPr="003B7012" w:rsidRDefault="00657367" w:rsidP="00657367">
      <w:pPr>
        <w:autoSpaceDE w:val="0"/>
        <w:autoSpaceDN w:val="0"/>
        <w:adjustRightInd w:val="0"/>
        <w:spacing w:line="360" w:lineRule="auto"/>
        <w:ind w:firstLine="708"/>
        <w:jc w:val="both"/>
        <w:rPr>
          <w:rFonts w:ascii="Trebuchet MS" w:eastAsiaTheme="minorHAnsi" w:hAnsi="Trebuchet MS" w:cs="AdvTimes"/>
          <w:sz w:val="20"/>
        </w:rPr>
      </w:pPr>
      <w:r w:rsidRPr="003B7012">
        <w:rPr>
          <w:rFonts w:ascii="Trebuchet MS" w:eastAsiaTheme="minorHAnsi" w:hAnsi="Trebuchet MS" w:cs="AdvTimes"/>
          <w:sz w:val="20"/>
        </w:rPr>
        <w:t xml:space="preserve">Na </w:t>
      </w:r>
      <w:r w:rsidRPr="003B7012">
        <w:rPr>
          <w:rFonts w:ascii="Trebuchet MS" w:eastAsiaTheme="minorHAnsi" w:hAnsi="Trebuchet MS" w:cs="AdvTimes"/>
          <w:b/>
          <w:sz w:val="20"/>
        </w:rPr>
        <w:t xml:space="preserve">isquémia cerebral </w:t>
      </w:r>
      <w:r w:rsidRPr="003B7012">
        <w:rPr>
          <w:rFonts w:ascii="Trebuchet MS" w:eastAsiaTheme="minorHAnsi" w:hAnsi="Trebuchet MS" w:cs="AdvTimes"/>
          <w:sz w:val="20"/>
        </w:rPr>
        <w:t xml:space="preserve">(Fig. </w:t>
      </w:r>
      <w:r w:rsidR="002F49DB">
        <w:rPr>
          <w:rFonts w:ascii="Trebuchet MS" w:eastAsiaTheme="minorHAnsi" w:hAnsi="Trebuchet MS" w:cs="AdvTimes"/>
          <w:sz w:val="20"/>
        </w:rPr>
        <w:t>1</w:t>
      </w:r>
      <w:r w:rsidRPr="003B7012">
        <w:rPr>
          <w:rFonts w:ascii="Trebuchet MS" w:eastAsiaTheme="minorHAnsi" w:hAnsi="Trebuchet MS" w:cs="AdvTimes"/>
          <w:sz w:val="20"/>
        </w:rPr>
        <w:t>.1)</w:t>
      </w:r>
      <w:r w:rsidRPr="003B7012">
        <w:rPr>
          <w:rFonts w:ascii="Trebuchet MS" w:eastAsiaTheme="minorHAnsi" w:hAnsi="Trebuchet MS" w:cs="AdvTimes"/>
          <w:b/>
          <w:sz w:val="20"/>
        </w:rPr>
        <w:t xml:space="preserve">, </w:t>
      </w:r>
      <w:r w:rsidRPr="003B7012">
        <w:rPr>
          <w:rFonts w:ascii="Trebuchet MS" w:eastAsiaTheme="minorHAnsi" w:hAnsi="Trebuchet MS" w:cs="AdvTimes"/>
          <w:sz w:val="20"/>
        </w:rPr>
        <w:t xml:space="preserve">os danos provocados ao cérebro são causados pela redução ou bloqueio completo do fluxo sanguíneo para as </w:t>
      </w:r>
      <w:r w:rsidR="005F2998">
        <w:rPr>
          <w:rFonts w:ascii="Trebuchet MS" w:eastAsiaTheme="minorHAnsi" w:hAnsi="Trebuchet MS" w:cs="AdvTimes"/>
          <w:sz w:val="20"/>
        </w:rPr>
        <w:t>regiões</w:t>
      </w:r>
      <w:r w:rsidRPr="003B7012">
        <w:rPr>
          <w:rFonts w:ascii="Trebuchet MS" w:eastAsiaTheme="minorHAnsi" w:hAnsi="Trebuchet MS" w:cs="AdvTimes"/>
          <w:sz w:val="20"/>
        </w:rPr>
        <w:t xml:space="preserve"> do cérebro, resultando em deficiência de oxigénio e glucose (</w:t>
      </w:r>
      <w:r w:rsidR="004149DC">
        <w:rPr>
          <w:rFonts w:ascii="Trebuchet MS" w:eastAsiaTheme="minorHAnsi" w:hAnsi="Trebuchet MS" w:cs="AdvTimes"/>
          <w:sz w:val="20"/>
        </w:rPr>
        <w:t>Para revisão ver</w:t>
      </w:r>
      <w:r w:rsidR="00520FA3" w:rsidRPr="003B7012">
        <w:rPr>
          <w:rFonts w:ascii="Trebuchet MS" w:eastAsiaTheme="minorHAnsi" w:hAnsi="Trebuchet MS" w:cs="AdvTimes"/>
          <w:sz w:val="20"/>
        </w:rPr>
        <w:t xml:space="preserve"> </w:t>
      </w:r>
      <w:r w:rsidRPr="003B7012">
        <w:rPr>
          <w:rFonts w:ascii="Trebuchet MS" w:eastAsiaTheme="minorHAnsi" w:hAnsi="Trebuchet MS" w:cs="AdvTimes"/>
          <w:sz w:val="20"/>
        </w:rPr>
        <w:t xml:space="preserve">Zemke </w:t>
      </w:r>
      <w:r w:rsidR="00F96813" w:rsidRPr="003B7012">
        <w:rPr>
          <w:rFonts w:ascii="Trebuchet MS" w:eastAsiaTheme="minorHAnsi" w:hAnsi="Trebuchet MS" w:cs="AdvTimes"/>
          <w:i/>
          <w:sz w:val="20"/>
        </w:rPr>
        <w:t>et al.</w:t>
      </w:r>
      <w:r w:rsidRPr="003B7012">
        <w:rPr>
          <w:rFonts w:ascii="Trebuchet MS" w:eastAsiaTheme="minorHAnsi" w:hAnsi="Trebuchet MS" w:cs="AdvTimes"/>
          <w:sz w:val="20"/>
        </w:rPr>
        <w:t>, 2004). Desta forma, o</w:t>
      </w:r>
      <w:r w:rsidRPr="003B7012">
        <w:rPr>
          <w:rFonts w:ascii="Trebuchet MS" w:eastAsiaTheme="minorHAnsi" w:hAnsi="Trebuchet MS" w:cs="AdvTimes"/>
          <w:sz w:val="20"/>
          <w:u w:val="single"/>
        </w:rPr>
        <w:t xml:space="preserve"> ac</w:t>
      </w:r>
      <w:r w:rsidRPr="003B7012">
        <w:rPr>
          <w:rFonts w:ascii="Trebuchet MS" w:eastAsiaTheme="minorHAnsi" w:hAnsi="Trebuchet MS" w:cs="AdvTimes"/>
          <w:sz w:val="20"/>
          <w:u w:val="single"/>
        </w:rPr>
        <w:t>i</w:t>
      </w:r>
      <w:proofErr w:type="gramStart"/>
      <w:r w:rsidRPr="003B7012">
        <w:rPr>
          <w:rFonts w:ascii="Trebuchet MS" w:eastAsiaTheme="minorHAnsi" w:hAnsi="Trebuchet MS" w:cs="AdvTimes"/>
          <w:sz w:val="20"/>
          <w:u w:val="single"/>
        </w:rPr>
        <w:t>dente</w:t>
      </w:r>
      <w:proofErr w:type="gramEnd"/>
      <w:r w:rsidRPr="003B7012">
        <w:rPr>
          <w:rFonts w:ascii="Trebuchet MS" w:eastAsiaTheme="minorHAnsi" w:hAnsi="Trebuchet MS" w:cs="AdvTimes"/>
          <w:sz w:val="20"/>
          <w:u w:val="single"/>
        </w:rPr>
        <w:t xml:space="preserve"> vascular cerebral (AVC)</w:t>
      </w:r>
      <w:r w:rsidRPr="003B7012">
        <w:rPr>
          <w:rFonts w:ascii="Trebuchet MS" w:eastAsiaTheme="minorHAnsi" w:hAnsi="Trebuchet MS" w:cs="AdvTimes"/>
          <w:sz w:val="20"/>
        </w:rPr>
        <w:t xml:space="preserve"> ou </w:t>
      </w:r>
      <w:r w:rsidRPr="003B7012">
        <w:rPr>
          <w:rFonts w:ascii="Trebuchet MS" w:eastAsiaTheme="minorHAnsi" w:hAnsi="Trebuchet MS" w:cs="AdvTimes"/>
          <w:sz w:val="20"/>
          <w:u w:val="single"/>
        </w:rPr>
        <w:t>enfarte</w:t>
      </w:r>
      <w:r w:rsidRPr="003B7012">
        <w:rPr>
          <w:rFonts w:ascii="Trebuchet MS" w:eastAsiaTheme="minorHAnsi" w:hAnsi="Trebuchet MS" w:cs="AdvTimes"/>
          <w:sz w:val="20"/>
        </w:rPr>
        <w:t xml:space="preserve"> é definido como a morte da maioria ou mesmo de tod</w:t>
      </w:r>
      <w:r w:rsidR="000428C5">
        <w:rPr>
          <w:rFonts w:ascii="Trebuchet MS" w:eastAsiaTheme="minorHAnsi" w:hAnsi="Trebuchet MS" w:cs="AdvTimes"/>
          <w:sz w:val="20"/>
        </w:rPr>
        <w:t>as as células</w:t>
      </w:r>
      <w:r w:rsidRPr="003B7012">
        <w:rPr>
          <w:rFonts w:ascii="Trebuchet MS" w:eastAsiaTheme="minorHAnsi" w:hAnsi="Trebuchet MS" w:cs="AdvTimes"/>
          <w:sz w:val="20"/>
        </w:rPr>
        <w:t xml:space="preserve"> do tecido, ou seja, no cérebro corresponde à morte de neurónios, células da glia, e outras células, incluindo muitas vezes as próprias células vasculares (</w:t>
      </w:r>
      <w:r w:rsidR="004149DC">
        <w:rPr>
          <w:rFonts w:ascii="Trebuchet MS" w:eastAsiaTheme="minorHAnsi" w:hAnsi="Trebuchet MS" w:cs="AdvTimes"/>
          <w:sz w:val="20"/>
        </w:rPr>
        <w:t>Para revisão ver</w:t>
      </w:r>
      <w:r w:rsidRPr="003B7012">
        <w:rPr>
          <w:rFonts w:ascii="Trebuchet MS" w:eastAsiaTheme="minorHAnsi" w:hAnsi="Trebuchet MS" w:cs="AdvTimes"/>
          <w:sz w:val="20"/>
        </w:rPr>
        <w:t xml:space="preserve"> Sharp </w:t>
      </w:r>
      <w:r w:rsidR="00F96813" w:rsidRPr="003B7012">
        <w:rPr>
          <w:rFonts w:ascii="Trebuchet MS" w:eastAsiaTheme="minorHAnsi" w:hAnsi="Trebuchet MS" w:cs="AdvTimes"/>
          <w:i/>
          <w:sz w:val="20"/>
        </w:rPr>
        <w:t>et al.</w:t>
      </w:r>
      <w:r w:rsidRPr="003B7012">
        <w:rPr>
          <w:rFonts w:ascii="Trebuchet MS" w:eastAsiaTheme="minorHAnsi" w:hAnsi="Trebuchet MS" w:cs="AdvTimes"/>
          <w:sz w:val="20"/>
        </w:rPr>
        <w:t>, 2004). O AVC isquémico agudo é uma das principais causas de mortalidade e aproximadamente 80% dos acidentes vasculares cerebrais são causadas por acidente vascular cerebral isquémico (</w:t>
      </w:r>
      <w:r w:rsidR="004149DC">
        <w:rPr>
          <w:rFonts w:ascii="Trebuchet MS" w:eastAsiaTheme="minorHAnsi" w:hAnsi="Trebuchet MS" w:cs="AdvTimes"/>
          <w:sz w:val="20"/>
        </w:rPr>
        <w:t>Para revisão ver</w:t>
      </w:r>
      <w:r w:rsidRPr="003B7012">
        <w:rPr>
          <w:rFonts w:ascii="Trebuchet MS" w:eastAsiaTheme="minorHAnsi" w:hAnsi="Trebuchet MS" w:cs="AdvTimes"/>
          <w:sz w:val="20"/>
        </w:rPr>
        <w:t xml:space="preserve"> Dong </w:t>
      </w:r>
      <w:r w:rsidR="00F96813" w:rsidRPr="003B7012">
        <w:rPr>
          <w:rFonts w:ascii="Trebuchet MS" w:eastAsiaTheme="minorHAnsi" w:hAnsi="Trebuchet MS" w:cs="AdvTimes"/>
          <w:i/>
          <w:sz w:val="20"/>
        </w:rPr>
        <w:t>et al.</w:t>
      </w:r>
      <w:r w:rsidRPr="003B7012">
        <w:rPr>
          <w:rFonts w:ascii="Trebuchet MS" w:eastAsiaTheme="minorHAnsi" w:hAnsi="Trebuchet MS" w:cs="AdvTimes"/>
          <w:sz w:val="20"/>
        </w:rPr>
        <w:t xml:space="preserve">, 2008). </w:t>
      </w:r>
    </w:p>
    <w:p w:rsidR="00ED4D1A" w:rsidRDefault="00836856" w:rsidP="00ED4D1A">
      <w:pPr>
        <w:autoSpaceDE w:val="0"/>
        <w:autoSpaceDN w:val="0"/>
        <w:adjustRightInd w:val="0"/>
        <w:spacing w:line="360" w:lineRule="auto"/>
        <w:ind w:firstLine="708"/>
        <w:jc w:val="both"/>
        <w:rPr>
          <w:rFonts w:ascii="Trebuchet MS" w:eastAsiaTheme="minorHAnsi" w:hAnsi="Trebuchet MS" w:cs="AdvTimes"/>
          <w:sz w:val="20"/>
          <w:szCs w:val="20"/>
        </w:rPr>
      </w:pPr>
      <w:r w:rsidRPr="003B7012">
        <w:rPr>
          <w:rFonts w:ascii="Trebuchet MS" w:eastAsiaTheme="minorHAnsi" w:hAnsi="Trebuchet MS" w:cs="AdvTimes"/>
          <w:sz w:val="20"/>
        </w:rPr>
        <w:t xml:space="preserve">A lesão celular isquémica tem sido implicada </w:t>
      </w:r>
      <w:r w:rsidR="008A076C">
        <w:rPr>
          <w:rFonts w:ascii="Trebuchet MS" w:eastAsiaTheme="minorHAnsi" w:hAnsi="Trebuchet MS" w:cs="AdvTimes"/>
          <w:sz w:val="20"/>
        </w:rPr>
        <w:t xml:space="preserve">em complicações </w:t>
      </w:r>
      <w:r w:rsidR="00ED4D1A" w:rsidRPr="003B7012">
        <w:rPr>
          <w:rFonts w:ascii="Trebuchet MS" w:eastAsiaTheme="minorHAnsi" w:hAnsi="Trebuchet MS" w:cs="AdvTimes"/>
          <w:sz w:val="20"/>
        </w:rPr>
        <w:t xml:space="preserve">após vários tipos de cirurgia. Os </w:t>
      </w:r>
      <w:r w:rsidR="00ED4D1A" w:rsidRPr="003B7012">
        <w:rPr>
          <w:rFonts w:ascii="Trebuchet MS" w:eastAsiaTheme="minorHAnsi" w:hAnsi="Trebuchet MS" w:cs="AdvTimes"/>
          <w:sz w:val="20"/>
          <w:szCs w:val="20"/>
        </w:rPr>
        <w:t xml:space="preserve">procedimentos cirúrgicos muitas vezes envolvem a interrupção temporária ou permanente de fornecimento de sangue para as células ou tecidos e, assim, </w:t>
      </w:r>
      <w:r w:rsidR="008A076C">
        <w:rPr>
          <w:rFonts w:ascii="Trebuchet MS" w:eastAsiaTheme="minorHAnsi" w:hAnsi="Trebuchet MS" w:cs="AdvTimes"/>
          <w:sz w:val="20"/>
          <w:szCs w:val="20"/>
        </w:rPr>
        <w:t xml:space="preserve">poderão </w:t>
      </w:r>
      <w:r w:rsidR="00ED4D1A" w:rsidRPr="003B7012">
        <w:rPr>
          <w:rFonts w:ascii="Trebuchet MS" w:eastAsiaTheme="minorHAnsi" w:hAnsi="Trebuchet MS" w:cs="AdvTimes"/>
          <w:sz w:val="20"/>
          <w:szCs w:val="20"/>
        </w:rPr>
        <w:t xml:space="preserve">induzir a dano celular isquémico (Yuan </w:t>
      </w:r>
      <w:r w:rsidR="00F96813" w:rsidRPr="003B7012">
        <w:rPr>
          <w:rFonts w:ascii="Trebuchet MS" w:eastAsiaTheme="minorHAnsi" w:hAnsi="Trebuchet MS" w:cs="AdvTimes"/>
          <w:i/>
          <w:sz w:val="20"/>
          <w:szCs w:val="20"/>
        </w:rPr>
        <w:t>et al.</w:t>
      </w:r>
      <w:r w:rsidR="00ED4D1A" w:rsidRPr="003B7012">
        <w:rPr>
          <w:rFonts w:ascii="Trebuchet MS" w:eastAsiaTheme="minorHAnsi" w:hAnsi="Trebuchet MS" w:cs="AdvTimes"/>
          <w:sz w:val="20"/>
          <w:szCs w:val="20"/>
        </w:rPr>
        <w:t>, 2004).</w:t>
      </w:r>
    </w:p>
    <w:p w:rsidR="00073E1E" w:rsidRPr="003B7012" w:rsidRDefault="00073E1E" w:rsidP="00073E1E">
      <w:pPr>
        <w:autoSpaceDE w:val="0"/>
        <w:autoSpaceDN w:val="0"/>
        <w:adjustRightInd w:val="0"/>
        <w:spacing w:line="360" w:lineRule="auto"/>
        <w:ind w:firstLine="708"/>
        <w:jc w:val="both"/>
        <w:rPr>
          <w:rFonts w:ascii="Trebuchet MS" w:eastAsiaTheme="minorHAnsi" w:hAnsi="Trebuchet MS" w:cs="AdvTimes"/>
          <w:sz w:val="20"/>
        </w:rPr>
      </w:pPr>
      <w:r w:rsidRPr="003B7012">
        <w:rPr>
          <w:rFonts w:ascii="Trebuchet MS" w:eastAsiaTheme="minorHAnsi" w:hAnsi="Trebuchet MS" w:cs="AdvTimes"/>
          <w:sz w:val="20"/>
        </w:rPr>
        <w:t xml:space="preserve">O cérebro é particularmente vulnerável à isquémia (Lee </w:t>
      </w:r>
      <w:r w:rsidRPr="003B7012">
        <w:rPr>
          <w:rFonts w:ascii="Trebuchet MS" w:eastAsiaTheme="minorHAnsi" w:hAnsi="Trebuchet MS" w:cs="AdvTimes"/>
          <w:i/>
          <w:sz w:val="20"/>
        </w:rPr>
        <w:t>et al.</w:t>
      </w:r>
      <w:r w:rsidRPr="003B7012">
        <w:rPr>
          <w:rFonts w:ascii="Trebuchet MS" w:eastAsiaTheme="minorHAnsi" w:hAnsi="Trebuchet MS" w:cs="AdvTimes"/>
          <w:sz w:val="20"/>
        </w:rPr>
        <w:t>, 2000), nomeadame</w:t>
      </w:r>
      <w:r w:rsidRPr="003B7012">
        <w:rPr>
          <w:rFonts w:ascii="Trebuchet MS" w:eastAsiaTheme="minorHAnsi" w:hAnsi="Trebuchet MS" w:cs="AdvTimes"/>
          <w:sz w:val="20"/>
        </w:rPr>
        <w:t>n</w:t>
      </w:r>
      <w:r w:rsidRPr="003B7012">
        <w:rPr>
          <w:rFonts w:ascii="Trebuchet MS" w:eastAsiaTheme="minorHAnsi" w:hAnsi="Trebuchet MS" w:cs="AdvTimes"/>
          <w:sz w:val="20"/>
        </w:rPr>
        <w:t xml:space="preserve">te, o </w:t>
      </w:r>
      <w:r w:rsidRPr="003B7012">
        <w:rPr>
          <w:rFonts w:ascii="Trebuchet MS" w:eastAsiaTheme="minorHAnsi" w:hAnsi="Trebuchet MS" w:cs="AdvTimes"/>
          <w:sz w:val="20"/>
          <w:u w:val="single"/>
        </w:rPr>
        <w:t>cérebro adulto</w:t>
      </w:r>
      <w:r w:rsidRPr="003B7012">
        <w:rPr>
          <w:rFonts w:ascii="Trebuchet MS" w:eastAsiaTheme="minorHAnsi" w:hAnsi="Trebuchet MS" w:cs="AdvTimes"/>
          <w:sz w:val="20"/>
        </w:rPr>
        <w:t xml:space="preserve"> é extremamente vulnerável a diversos insultos (Nakatomi </w:t>
      </w:r>
      <w:r w:rsidRPr="003B7012">
        <w:rPr>
          <w:rFonts w:ascii="Trebuchet MS" w:eastAsiaTheme="minorHAnsi" w:hAnsi="Trebuchet MS" w:cs="AdvTimes"/>
          <w:i/>
          <w:sz w:val="20"/>
        </w:rPr>
        <w:t>et al.</w:t>
      </w:r>
      <w:r w:rsidRPr="003B7012">
        <w:rPr>
          <w:rFonts w:ascii="Trebuchet MS" w:eastAsiaTheme="minorHAnsi" w:hAnsi="Trebuchet MS" w:cs="AdvTimes"/>
          <w:sz w:val="20"/>
        </w:rPr>
        <w:t>, 2002). A interrupção total do fluxo sanguíneo para o cérebro durante apenas 5 minutos provoca a mo</w:t>
      </w:r>
      <w:r w:rsidRPr="003B7012">
        <w:rPr>
          <w:rFonts w:ascii="Trebuchet MS" w:eastAsiaTheme="minorHAnsi" w:hAnsi="Trebuchet MS" w:cs="AdvTimes"/>
          <w:sz w:val="20"/>
        </w:rPr>
        <w:t>r</w:t>
      </w:r>
      <w:r w:rsidRPr="003B7012">
        <w:rPr>
          <w:rFonts w:ascii="Trebuchet MS" w:eastAsiaTheme="minorHAnsi" w:hAnsi="Trebuchet MS" w:cs="AdvTimes"/>
          <w:sz w:val="20"/>
        </w:rPr>
        <w:t xml:space="preserve">te de neurónios vulneráveis </w:t>
      </w:r>
      <w:r w:rsidRPr="003B7012">
        <w:rPr>
          <w:rFonts w:ascii="Trebuchet MS" w:eastAsiaTheme="minorHAnsi" w:hAnsi="Arial" w:cs="Arial"/>
          <w:sz w:val="20"/>
        </w:rPr>
        <w:t>​​</w:t>
      </w:r>
      <w:r w:rsidRPr="003B7012">
        <w:rPr>
          <w:rFonts w:ascii="Trebuchet MS" w:eastAsiaTheme="minorHAnsi" w:hAnsi="Trebuchet MS" w:cs="AdvTimes"/>
          <w:sz w:val="20"/>
        </w:rPr>
        <w:t xml:space="preserve">em diversas regiões cerebrais, </w:t>
      </w:r>
      <w:proofErr w:type="gramStart"/>
      <w:r w:rsidRPr="003B7012">
        <w:rPr>
          <w:rFonts w:ascii="Trebuchet MS" w:eastAsiaTheme="minorHAnsi" w:hAnsi="Trebuchet MS" w:cs="AdvTimes"/>
          <w:sz w:val="20"/>
        </w:rPr>
        <w:t>enquanto que</w:t>
      </w:r>
      <w:proofErr w:type="gramEnd"/>
      <w:r w:rsidR="002F49DB">
        <w:rPr>
          <w:rFonts w:ascii="Trebuchet MS" w:eastAsiaTheme="minorHAnsi" w:hAnsi="Trebuchet MS" w:cs="AdvTimes"/>
          <w:sz w:val="20"/>
        </w:rPr>
        <w:t>,</w:t>
      </w:r>
      <w:r w:rsidRPr="003B7012">
        <w:rPr>
          <w:rFonts w:ascii="Trebuchet MS" w:eastAsiaTheme="minorHAnsi" w:hAnsi="Trebuchet MS" w:cs="AdvTimes"/>
          <w:sz w:val="20"/>
        </w:rPr>
        <w:t xml:space="preserve"> 20-40 minutos de isquémia são necessários para matar os miócitos cardíacos ou as células de rins (Lee </w:t>
      </w:r>
      <w:r w:rsidRPr="003B7012">
        <w:rPr>
          <w:rFonts w:ascii="Trebuchet MS" w:eastAsiaTheme="minorHAnsi" w:hAnsi="Trebuchet MS" w:cs="AdvTimes"/>
          <w:i/>
          <w:sz w:val="20"/>
        </w:rPr>
        <w:t>et al.</w:t>
      </w:r>
      <w:r w:rsidRPr="003B7012">
        <w:rPr>
          <w:rFonts w:ascii="Trebuchet MS" w:eastAsiaTheme="minorHAnsi" w:hAnsi="Trebuchet MS" w:cs="AdvTimes"/>
          <w:sz w:val="20"/>
        </w:rPr>
        <w:t>, 2000).</w:t>
      </w:r>
    </w:p>
    <w:p w:rsidR="00073E1E" w:rsidRPr="00751D14" w:rsidRDefault="00073E1E" w:rsidP="00ED4D1A">
      <w:pPr>
        <w:autoSpaceDE w:val="0"/>
        <w:autoSpaceDN w:val="0"/>
        <w:adjustRightInd w:val="0"/>
        <w:spacing w:line="360" w:lineRule="auto"/>
        <w:ind w:firstLine="708"/>
        <w:jc w:val="both"/>
        <w:rPr>
          <w:rFonts w:ascii="Trebuchet MS" w:eastAsiaTheme="minorHAnsi" w:hAnsi="Trebuchet MS" w:cs="AdvTimes"/>
        </w:rPr>
      </w:pPr>
    </w:p>
    <w:p w:rsidR="004310FE" w:rsidRPr="00751D14" w:rsidRDefault="004310FE" w:rsidP="004310FE">
      <w:pPr>
        <w:autoSpaceDE w:val="0"/>
        <w:autoSpaceDN w:val="0"/>
        <w:adjustRightInd w:val="0"/>
        <w:spacing w:line="360" w:lineRule="auto"/>
        <w:jc w:val="center"/>
        <w:rPr>
          <w:rFonts w:ascii="Trebuchet MS" w:eastAsiaTheme="minorHAnsi" w:hAnsi="Trebuchet MS" w:cs="AdvTimes"/>
        </w:rPr>
      </w:pPr>
      <w:r w:rsidRPr="00751D14">
        <w:rPr>
          <w:rFonts w:ascii="Trebuchet MS" w:eastAsiaTheme="minorHAnsi" w:hAnsi="Trebuchet MS" w:cs="AdvTimes"/>
          <w:noProof/>
          <w:lang w:eastAsia="pt-PT"/>
        </w:rPr>
        <w:lastRenderedPageBreak/>
        <w:drawing>
          <wp:inline distT="0" distB="0" distL="0" distR="0">
            <wp:extent cx="3959758" cy="3251883"/>
            <wp:effectExtent l="19050" t="0" r="2642" b="0"/>
            <wp:docPr id="4"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l="6436" r="6436" b="11939"/>
                    <a:stretch>
                      <a:fillRect/>
                    </a:stretch>
                  </pic:blipFill>
                  <pic:spPr bwMode="auto">
                    <a:xfrm>
                      <a:off x="0" y="0"/>
                      <a:ext cx="3958995" cy="3251257"/>
                    </a:xfrm>
                    <a:prstGeom prst="rect">
                      <a:avLst/>
                    </a:prstGeom>
                    <a:noFill/>
                    <a:ln w="9525">
                      <a:noFill/>
                      <a:miter lim="800000"/>
                      <a:headEnd/>
                      <a:tailEnd/>
                    </a:ln>
                  </pic:spPr>
                </pic:pic>
              </a:graphicData>
            </a:graphic>
          </wp:inline>
        </w:drawing>
      </w:r>
    </w:p>
    <w:p w:rsidR="004310FE" w:rsidRPr="003B7012" w:rsidRDefault="004310FE" w:rsidP="003B7012">
      <w:pPr>
        <w:ind w:left="709" w:right="849"/>
        <w:jc w:val="both"/>
        <w:rPr>
          <w:rFonts w:ascii="Trebuchet MS" w:eastAsiaTheme="minorHAnsi" w:hAnsi="Trebuchet MS"/>
          <w:sz w:val="18"/>
          <w:szCs w:val="20"/>
        </w:rPr>
      </w:pPr>
      <w:r w:rsidRPr="003B7012">
        <w:rPr>
          <w:rFonts w:ascii="Trebuchet MS" w:eastAsiaTheme="minorHAnsi" w:hAnsi="Trebuchet MS"/>
          <w:sz w:val="18"/>
          <w:szCs w:val="20"/>
        </w:rPr>
        <w:t>Fig.</w:t>
      </w:r>
      <w:r w:rsidR="002441ED">
        <w:rPr>
          <w:rFonts w:ascii="Trebuchet MS" w:eastAsiaTheme="minorHAnsi" w:hAnsi="Trebuchet MS"/>
          <w:sz w:val="18"/>
          <w:szCs w:val="20"/>
        </w:rPr>
        <w:t>1</w:t>
      </w:r>
      <w:r w:rsidRPr="003B7012">
        <w:rPr>
          <w:rFonts w:ascii="Trebuchet MS" w:eastAsiaTheme="minorHAnsi" w:hAnsi="Trebuchet MS"/>
          <w:sz w:val="18"/>
          <w:szCs w:val="20"/>
        </w:rPr>
        <w:t>.1. Representação esquemática</w:t>
      </w:r>
      <w:r w:rsidR="008A076C">
        <w:rPr>
          <w:rFonts w:ascii="Trebuchet MS" w:eastAsiaTheme="minorHAnsi" w:hAnsi="Trebuchet MS"/>
          <w:sz w:val="18"/>
          <w:szCs w:val="20"/>
        </w:rPr>
        <w:t>,</w:t>
      </w:r>
      <w:r w:rsidRPr="003B7012">
        <w:rPr>
          <w:rFonts w:ascii="Trebuchet MS" w:eastAsiaTheme="minorHAnsi" w:hAnsi="Trebuchet MS"/>
          <w:sz w:val="18"/>
          <w:szCs w:val="20"/>
        </w:rPr>
        <w:t xml:space="preserve"> de forma simplificada</w:t>
      </w:r>
      <w:r w:rsidR="008A076C">
        <w:rPr>
          <w:rFonts w:ascii="Trebuchet MS" w:eastAsiaTheme="minorHAnsi" w:hAnsi="Trebuchet MS"/>
          <w:sz w:val="18"/>
          <w:szCs w:val="20"/>
        </w:rPr>
        <w:t>, da isquémia cerebra</w:t>
      </w:r>
      <w:r w:rsidR="00EC5C96">
        <w:rPr>
          <w:rFonts w:ascii="Trebuchet MS" w:eastAsiaTheme="minorHAnsi" w:hAnsi="Trebuchet MS"/>
          <w:sz w:val="18"/>
          <w:szCs w:val="20"/>
        </w:rPr>
        <w:t>l</w:t>
      </w:r>
      <w:r w:rsidR="008D5382">
        <w:rPr>
          <w:rFonts w:ascii="Trebuchet MS" w:eastAsiaTheme="minorHAnsi" w:hAnsi="Trebuchet MS"/>
          <w:sz w:val="18"/>
          <w:szCs w:val="20"/>
        </w:rPr>
        <w:t>,</w:t>
      </w:r>
      <w:r w:rsidR="008A076C">
        <w:rPr>
          <w:rFonts w:ascii="Trebuchet MS" w:eastAsiaTheme="minorHAnsi" w:hAnsi="Trebuchet MS"/>
          <w:sz w:val="18"/>
          <w:szCs w:val="20"/>
        </w:rPr>
        <w:t xml:space="preserve"> e consequente </w:t>
      </w:r>
      <w:r w:rsidRPr="003B7012">
        <w:rPr>
          <w:rFonts w:ascii="Trebuchet MS" w:eastAsiaTheme="minorHAnsi" w:hAnsi="Trebuchet MS"/>
          <w:sz w:val="18"/>
          <w:szCs w:val="20"/>
        </w:rPr>
        <w:t>indução da cascata que leva à disfunção sináptica. A privação de ene</w:t>
      </w:r>
      <w:r w:rsidRPr="003B7012">
        <w:rPr>
          <w:rFonts w:ascii="Trebuchet MS" w:eastAsiaTheme="minorHAnsi" w:hAnsi="Trebuchet MS"/>
          <w:sz w:val="18"/>
          <w:szCs w:val="20"/>
        </w:rPr>
        <w:t>r</w:t>
      </w:r>
      <w:r w:rsidRPr="003B7012">
        <w:rPr>
          <w:rFonts w:ascii="Trebuchet MS" w:eastAsiaTheme="minorHAnsi" w:hAnsi="Trebuchet MS"/>
          <w:sz w:val="18"/>
          <w:szCs w:val="20"/>
        </w:rPr>
        <w:t>gia após insulto isquémico promove uma libertação exagerada de neurotransmissores excita</w:t>
      </w:r>
      <w:r w:rsidR="00EC5C96">
        <w:rPr>
          <w:rFonts w:ascii="Trebuchet MS" w:eastAsiaTheme="minorHAnsi" w:hAnsi="Trebuchet MS"/>
          <w:sz w:val="18"/>
          <w:szCs w:val="20"/>
        </w:rPr>
        <w:t>tórios</w:t>
      </w:r>
      <w:r w:rsidRPr="003B7012">
        <w:rPr>
          <w:rFonts w:ascii="Trebuchet MS" w:eastAsiaTheme="minorHAnsi" w:hAnsi="Trebuchet MS"/>
          <w:sz w:val="18"/>
          <w:szCs w:val="20"/>
        </w:rPr>
        <w:t xml:space="preserve"> que</w:t>
      </w:r>
      <w:r w:rsidR="00EC5C96">
        <w:rPr>
          <w:rFonts w:ascii="Trebuchet MS" w:eastAsiaTheme="minorHAnsi" w:hAnsi="Trebuchet MS"/>
          <w:sz w:val="18"/>
          <w:szCs w:val="20"/>
        </w:rPr>
        <w:t>,</w:t>
      </w:r>
      <w:r w:rsidRPr="003B7012">
        <w:rPr>
          <w:rFonts w:ascii="Trebuchet MS" w:eastAsiaTheme="minorHAnsi" w:hAnsi="Trebuchet MS"/>
          <w:sz w:val="18"/>
          <w:szCs w:val="20"/>
        </w:rPr>
        <w:t xml:space="preserve"> por sua vez, sobre-estimulam os receptores de glutamato, com co</w:t>
      </w:r>
      <w:r w:rsidRPr="003B7012">
        <w:rPr>
          <w:rFonts w:ascii="Trebuchet MS" w:eastAsiaTheme="minorHAnsi" w:hAnsi="Trebuchet MS"/>
          <w:sz w:val="18"/>
          <w:szCs w:val="20"/>
        </w:rPr>
        <w:t>n</w:t>
      </w:r>
      <w:r w:rsidRPr="003B7012">
        <w:rPr>
          <w:rFonts w:ascii="Trebuchet MS" w:eastAsiaTheme="minorHAnsi" w:hAnsi="Trebuchet MS"/>
          <w:sz w:val="18"/>
          <w:szCs w:val="20"/>
        </w:rPr>
        <w:t xml:space="preserve">sequente </w:t>
      </w:r>
      <w:r w:rsidR="00EC5C96">
        <w:rPr>
          <w:rFonts w:ascii="Trebuchet MS" w:eastAsiaTheme="minorHAnsi" w:hAnsi="Trebuchet MS"/>
          <w:sz w:val="18"/>
          <w:szCs w:val="20"/>
        </w:rPr>
        <w:t>acumulação de cálcio citosólico. Este</w:t>
      </w:r>
      <w:r w:rsidRPr="003B7012">
        <w:rPr>
          <w:rFonts w:ascii="Trebuchet MS" w:eastAsiaTheme="minorHAnsi" w:hAnsi="Trebuchet MS"/>
          <w:sz w:val="18"/>
          <w:szCs w:val="20"/>
        </w:rPr>
        <w:t xml:space="preserve"> inicia a via de sinalização que prom</w:t>
      </w:r>
      <w:r w:rsidRPr="003B7012">
        <w:rPr>
          <w:rFonts w:ascii="Trebuchet MS" w:eastAsiaTheme="minorHAnsi" w:hAnsi="Trebuchet MS"/>
          <w:sz w:val="18"/>
          <w:szCs w:val="20"/>
        </w:rPr>
        <w:t>o</w:t>
      </w:r>
      <w:r w:rsidR="00983F1D">
        <w:rPr>
          <w:rFonts w:ascii="Trebuchet MS" w:eastAsiaTheme="minorHAnsi" w:hAnsi="Trebuchet MS"/>
          <w:sz w:val="18"/>
          <w:szCs w:val="20"/>
        </w:rPr>
        <w:t>ve</w:t>
      </w:r>
      <w:r w:rsidRPr="003B7012">
        <w:rPr>
          <w:rFonts w:ascii="Trebuchet MS" w:eastAsiaTheme="minorHAnsi" w:hAnsi="Trebuchet MS"/>
          <w:sz w:val="18"/>
          <w:szCs w:val="20"/>
        </w:rPr>
        <w:t xml:space="preserve"> a disfunção mitocondrial e posterior disfunção sináptica. DAG- diacilglicerol; STP - via de transdução de sinal; </w:t>
      </w:r>
      <w:r w:rsidRPr="003B7012">
        <w:rPr>
          <w:rFonts w:ascii="Trebuchet MS" w:eastAsiaTheme="minorHAnsi" w:hAnsi="Trebuchet MS"/>
          <w:i/>
          <w:sz w:val="18"/>
          <w:szCs w:val="20"/>
        </w:rPr>
        <w:t>Cyt c</w:t>
      </w:r>
      <w:r w:rsidRPr="003B7012">
        <w:rPr>
          <w:rFonts w:ascii="Trebuchet MS" w:eastAsiaTheme="minorHAnsi" w:hAnsi="Trebuchet MS"/>
          <w:sz w:val="18"/>
          <w:szCs w:val="20"/>
        </w:rPr>
        <w:t xml:space="preserve"> – </w:t>
      </w:r>
      <w:r w:rsidR="00DC58E7" w:rsidRPr="003B7012">
        <w:rPr>
          <w:rFonts w:ascii="Trebuchet MS" w:eastAsiaTheme="minorHAnsi" w:hAnsi="Trebuchet MS"/>
          <w:sz w:val="18"/>
          <w:szCs w:val="20"/>
        </w:rPr>
        <w:t>C</w:t>
      </w:r>
      <w:r w:rsidRPr="003B7012">
        <w:rPr>
          <w:rFonts w:ascii="Trebuchet MS" w:eastAsiaTheme="minorHAnsi" w:hAnsi="Trebuchet MS"/>
          <w:sz w:val="18"/>
          <w:szCs w:val="20"/>
        </w:rPr>
        <w:t>itocromo c (Adaptado de Pérez - Pinzón, 2007).</w:t>
      </w:r>
    </w:p>
    <w:p w:rsidR="004310FE" w:rsidRPr="00751D14" w:rsidRDefault="004310FE" w:rsidP="004310FE">
      <w:pPr>
        <w:spacing w:line="360" w:lineRule="auto"/>
        <w:ind w:left="284" w:right="424"/>
        <w:jc w:val="both"/>
        <w:rPr>
          <w:rFonts w:ascii="Trebuchet MS" w:eastAsiaTheme="minorHAnsi" w:hAnsi="Trebuchet MS"/>
          <w:sz w:val="22"/>
          <w:szCs w:val="20"/>
        </w:rPr>
      </w:pPr>
    </w:p>
    <w:p w:rsidR="00657367" w:rsidRPr="003B7012" w:rsidRDefault="00983F1D" w:rsidP="00657367">
      <w:pPr>
        <w:autoSpaceDE w:val="0"/>
        <w:autoSpaceDN w:val="0"/>
        <w:adjustRightInd w:val="0"/>
        <w:spacing w:line="360" w:lineRule="auto"/>
        <w:ind w:firstLine="708"/>
        <w:jc w:val="both"/>
        <w:rPr>
          <w:rFonts w:ascii="Trebuchet MS" w:eastAsiaTheme="minorHAnsi" w:hAnsi="Trebuchet MS" w:cs="AdvTimes"/>
          <w:sz w:val="20"/>
        </w:rPr>
      </w:pPr>
      <w:r>
        <w:rPr>
          <w:rFonts w:ascii="Trebuchet MS" w:eastAsiaTheme="minorHAnsi" w:hAnsi="Trebuchet MS" w:cs="AdvTimes"/>
          <w:sz w:val="20"/>
        </w:rPr>
        <w:t>E</w:t>
      </w:r>
      <w:r w:rsidRPr="003B7012">
        <w:rPr>
          <w:rFonts w:ascii="Trebuchet MS" w:eastAsiaTheme="minorHAnsi" w:hAnsi="Trebuchet MS" w:cs="AdvTimes"/>
          <w:sz w:val="20"/>
        </w:rPr>
        <w:t xml:space="preserve">vidências </w:t>
      </w:r>
      <w:r>
        <w:rPr>
          <w:rFonts w:ascii="Trebuchet MS" w:eastAsiaTheme="minorHAnsi" w:hAnsi="Trebuchet MS" w:cs="AdvTimes"/>
          <w:sz w:val="20"/>
        </w:rPr>
        <w:t>r</w:t>
      </w:r>
      <w:r w:rsidR="00657367" w:rsidRPr="003B7012">
        <w:rPr>
          <w:rFonts w:ascii="Trebuchet MS" w:eastAsiaTheme="minorHAnsi" w:hAnsi="Trebuchet MS" w:cs="AdvTimes"/>
          <w:sz w:val="20"/>
        </w:rPr>
        <w:t xml:space="preserve">ecentes </w:t>
      </w:r>
      <w:r w:rsidR="0059157B">
        <w:rPr>
          <w:rFonts w:ascii="Trebuchet MS" w:eastAsiaTheme="minorHAnsi" w:hAnsi="Trebuchet MS" w:cs="AdvTimes"/>
          <w:sz w:val="20"/>
        </w:rPr>
        <w:t>sugerem que</w:t>
      </w:r>
      <w:r w:rsidR="00657367" w:rsidRPr="003B7012">
        <w:rPr>
          <w:rFonts w:ascii="Trebuchet MS" w:eastAsiaTheme="minorHAnsi" w:hAnsi="Trebuchet MS" w:cs="AdvTimes"/>
          <w:sz w:val="20"/>
        </w:rPr>
        <w:t xml:space="preserve"> os neurónios neocorticais e do hipocampo são </w:t>
      </w:r>
      <w:r w:rsidR="0059157B">
        <w:rPr>
          <w:rFonts w:ascii="Trebuchet MS" w:eastAsiaTheme="minorHAnsi" w:hAnsi="Trebuchet MS" w:cs="AdvTimes"/>
          <w:sz w:val="20"/>
        </w:rPr>
        <w:t>part</w:t>
      </w:r>
      <w:r w:rsidR="0059157B">
        <w:rPr>
          <w:rFonts w:ascii="Trebuchet MS" w:eastAsiaTheme="minorHAnsi" w:hAnsi="Trebuchet MS" w:cs="AdvTimes"/>
          <w:sz w:val="20"/>
        </w:rPr>
        <w:t>i</w:t>
      </w:r>
      <w:r w:rsidR="0059157B">
        <w:rPr>
          <w:rFonts w:ascii="Trebuchet MS" w:eastAsiaTheme="minorHAnsi" w:hAnsi="Trebuchet MS" w:cs="AdvTimes"/>
          <w:sz w:val="20"/>
        </w:rPr>
        <w:t xml:space="preserve">cularmente </w:t>
      </w:r>
      <w:r w:rsidR="00657367" w:rsidRPr="003B7012">
        <w:rPr>
          <w:rFonts w:ascii="Trebuchet MS" w:eastAsiaTheme="minorHAnsi" w:hAnsi="Trebuchet MS" w:cs="AdvTimes"/>
          <w:sz w:val="20"/>
        </w:rPr>
        <w:t>sensíveis à hipóxia ou</w:t>
      </w:r>
      <w:r w:rsidR="005D2D8A" w:rsidRPr="003B7012">
        <w:rPr>
          <w:rFonts w:ascii="Trebuchet MS" w:eastAsiaTheme="minorHAnsi" w:hAnsi="Trebuchet MS" w:cs="AdvTimes"/>
          <w:sz w:val="20"/>
        </w:rPr>
        <w:t xml:space="preserve"> à</w:t>
      </w:r>
      <w:r w:rsidR="00657367" w:rsidRPr="003B7012">
        <w:rPr>
          <w:rFonts w:ascii="Trebuchet MS" w:eastAsiaTheme="minorHAnsi" w:hAnsi="Trebuchet MS" w:cs="AdvTimes"/>
          <w:sz w:val="20"/>
        </w:rPr>
        <w:t xml:space="preserve"> isquémia. </w:t>
      </w:r>
      <w:r w:rsidR="00657367" w:rsidRPr="003B7012">
        <w:rPr>
          <w:rFonts w:ascii="Trebuchet MS" w:hAnsi="Trebuchet MS" w:cs="Arial"/>
          <w:color w:val="000000"/>
          <w:sz w:val="20"/>
          <w:szCs w:val="15"/>
          <w:lang w:eastAsia="pt-PT"/>
        </w:rPr>
        <w:t>Em parte, a proeminente vulnerabilidade do tecido cerebral aos danos isquémicos reflecte-se pela sua elevada taxa metabólica. Embora, o cérebro humano represent</w:t>
      </w:r>
      <w:r w:rsidR="0059157B">
        <w:rPr>
          <w:rFonts w:ascii="Trebuchet MS" w:hAnsi="Trebuchet MS" w:cs="Arial"/>
          <w:color w:val="000000"/>
          <w:sz w:val="20"/>
          <w:szCs w:val="15"/>
          <w:lang w:eastAsia="pt-PT"/>
        </w:rPr>
        <w:t>e</w:t>
      </w:r>
      <w:r w:rsidR="00AA2138">
        <w:rPr>
          <w:rFonts w:ascii="Trebuchet MS" w:hAnsi="Trebuchet MS" w:cs="Arial"/>
          <w:color w:val="000000"/>
          <w:sz w:val="20"/>
          <w:szCs w:val="15"/>
          <w:lang w:eastAsia="pt-PT"/>
        </w:rPr>
        <w:t xml:space="preserve"> apenas 2,5% do peso corporal</w:t>
      </w:r>
      <w:r w:rsidR="00657367" w:rsidRPr="003B7012">
        <w:rPr>
          <w:rFonts w:ascii="Trebuchet MS" w:hAnsi="Trebuchet MS" w:cs="Arial"/>
          <w:color w:val="000000"/>
          <w:sz w:val="20"/>
          <w:szCs w:val="15"/>
          <w:lang w:eastAsia="pt-PT"/>
        </w:rPr>
        <w:t xml:space="preserve"> é responsável por 25% do metab</w:t>
      </w:r>
      <w:r w:rsidR="00657367" w:rsidRPr="003B7012">
        <w:rPr>
          <w:rFonts w:ascii="Trebuchet MS" w:hAnsi="Trebuchet MS" w:cs="Arial"/>
          <w:color w:val="000000"/>
          <w:sz w:val="20"/>
          <w:szCs w:val="15"/>
          <w:lang w:eastAsia="pt-PT"/>
        </w:rPr>
        <w:t>o</w:t>
      </w:r>
      <w:r w:rsidR="00AA2138">
        <w:rPr>
          <w:rFonts w:ascii="Trebuchet MS" w:hAnsi="Trebuchet MS" w:cs="Arial"/>
          <w:color w:val="000000"/>
          <w:sz w:val="20"/>
          <w:szCs w:val="15"/>
          <w:lang w:eastAsia="pt-PT"/>
        </w:rPr>
        <w:t>lismo basal. A</w:t>
      </w:r>
      <w:r w:rsidR="00657367" w:rsidRPr="003B7012">
        <w:rPr>
          <w:rFonts w:ascii="Trebuchet MS" w:hAnsi="Trebuchet MS" w:cs="Arial"/>
          <w:color w:val="000000"/>
          <w:sz w:val="20"/>
          <w:szCs w:val="15"/>
          <w:lang w:eastAsia="pt-PT"/>
        </w:rPr>
        <w:t xml:space="preserve"> sua taxa metabólica é 3,5 vezes superior comparada com o cérebro de outras espécies </w:t>
      </w:r>
      <w:r w:rsidR="00BF3C27">
        <w:rPr>
          <w:rFonts w:ascii="Trebuchet MS" w:hAnsi="Trebuchet MS" w:cs="Arial"/>
          <w:color w:val="000000"/>
          <w:sz w:val="20"/>
          <w:szCs w:val="15"/>
          <w:lang w:eastAsia="pt-PT"/>
        </w:rPr>
        <w:t xml:space="preserve">de </w:t>
      </w:r>
      <w:r w:rsidR="00657367" w:rsidRPr="003B7012">
        <w:rPr>
          <w:rFonts w:ascii="Trebuchet MS" w:hAnsi="Trebuchet MS" w:cs="Arial"/>
          <w:color w:val="000000"/>
          <w:sz w:val="20"/>
          <w:szCs w:val="15"/>
          <w:lang w:eastAsia="pt-PT"/>
        </w:rPr>
        <w:t>primatas. Além disso, os neurónios centrais apresentam uma dependência excl</w:t>
      </w:r>
      <w:r w:rsidR="00657367" w:rsidRPr="003B7012">
        <w:rPr>
          <w:rFonts w:ascii="Trebuchet MS" w:hAnsi="Trebuchet MS" w:cs="Arial"/>
          <w:color w:val="000000"/>
          <w:sz w:val="20"/>
          <w:szCs w:val="15"/>
          <w:lang w:eastAsia="pt-PT"/>
        </w:rPr>
        <w:t>u</w:t>
      </w:r>
      <w:r w:rsidR="00657367" w:rsidRPr="003B7012">
        <w:rPr>
          <w:rFonts w:ascii="Trebuchet MS" w:hAnsi="Trebuchet MS" w:cs="Arial"/>
          <w:color w:val="000000"/>
          <w:sz w:val="20"/>
          <w:szCs w:val="15"/>
          <w:lang w:eastAsia="pt-PT"/>
        </w:rPr>
        <w:t xml:space="preserve">siva de glucose como substrato enérgico e as reservas de glucose ou glicogénio </w:t>
      </w:r>
      <w:r w:rsidR="00D00807" w:rsidRPr="003B7012">
        <w:rPr>
          <w:rFonts w:ascii="Trebuchet MS" w:hAnsi="Trebuchet MS" w:cs="Arial"/>
          <w:color w:val="000000"/>
          <w:sz w:val="20"/>
          <w:szCs w:val="15"/>
          <w:lang w:eastAsia="pt-PT"/>
        </w:rPr>
        <w:t xml:space="preserve">no cérebro </w:t>
      </w:r>
      <w:r w:rsidR="00657367" w:rsidRPr="003B7012">
        <w:rPr>
          <w:rFonts w:ascii="Trebuchet MS" w:hAnsi="Trebuchet MS" w:cs="Arial"/>
          <w:color w:val="000000"/>
          <w:sz w:val="20"/>
          <w:szCs w:val="15"/>
          <w:lang w:eastAsia="pt-PT"/>
        </w:rPr>
        <w:t>são limitadas. No entanto, nos últimos 15 anos surgiram evidências que indicam que as consider</w:t>
      </w:r>
      <w:r w:rsidR="00657367" w:rsidRPr="003B7012">
        <w:rPr>
          <w:rFonts w:ascii="Trebuchet MS" w:hAnsi="Trebuchet MS" w:cs="Arial"/>
          <w:color w:val="000000"/>
          <w:sz w:val="20"/>
          <w:szCs w:val="15"/>
          <w:lang w:eastAsia="pt-PT"/>
        </w:rPr>
        <w:t>a</w:t>
      </w:r>
      <w:r w:rsidR="00657367" w:rsidRPr="003B7012">
        <w:rPr>
          <w:rFonts w:ascii="Trebuchet MS" w:hAnsi="Trebuchet MS" w:cs="Arial"/>
          <w:color w:val="000000"/>
          <w:sz w:val="20"/>
          <w:szCs w:val="15"/>
          <w:lang w:eastAsia="pt-PT"/>
        </w:rPr>
        <w:t xml:space="preserve">ções energéticas e </w:t>
      </w:r>
      <w:r w:rsidR="005634F9" w:rsidRPr="003B7012">
        <w:rPr>
          <w:rFonts w:ascii="Trebuchet MS" w:hAnsi="Trebuchet MS" w:cs="Arial"/>
          <w:color w:val="000000"/>
          <w:sz w:val="20"/>
          <w:szCs w:val="15"/>
          <w:lang w:eastAsia="pt-PT"/>
        </w:rPr>
        <w:t xml:space="preserve">as </w:t>
      </w:r>
      <w:r w:rsidR="00657367" w:rsidRPr="003B7012">
        <w:rPr>
          <w:rFonts w:ascii="Trebuchet MS" w:hAnsi="Trebuchet MS" w:cs="Arial"/>
          <w:color w:val="000000"/>
          <w:sz w:val="20"/>
          <w:szCs w:val="15"/>
          <w:lang w:eastAsia="pt-PT"/>
        </w:rPr>
        <w:t xml:space="preserve">limitações do substrato energético não são </w:t>
      </w:r>
      <w:r w:rsidR="005634F9" w:rsidRPr="003B7012">
        <w:rPr>
          <w:rFonts w:ascii="Trebuchet MS" w:hAnsi="Trebuchet MS" w:cs="Arial"/>
          <w:color w:val="000000"/>
          <w:sz w:val="20"/>
          <w:szCs w:val="15"/>
          <w:lang w:eastAsia="pt-PT"/>
        </w:rPr>
        <w:t>as únicas</w:t>
      </w:r>
      <w:r w:rsidR="00657367" w:rsidRPr="003B7012">
        <w:rPr>
          <w:rFonts w:ascii="Trebuchet MS" w:hAnsi="Trebuchet MS" w:cs="Arial"/>
          <w:color w:val="000000"/>
          <w:sz w:val="20"/>
          <w:szCs w:val="15"/>
          <w:lang w:eastAsia="pt-PT"/>
        </w:rPr>
        <w:t xml:space="preserve"> responsáveis pela </w:t>
      </w:r>
      <w:r w:rsidR="005634F9" w:rsidRPr="003B7012">
        <w:rPr>
          <w:rFonts w:ascii="Trebuchet MS" w:hAnsi="Trebuchet MS" w:cs="Arial"/>
          <w:color w:val="000000"/>
          <w:sz w:val="20"/>
          <w:szCs w:val="15"/>
          <w:lang w:eastAsia="pt-PT"/>
        </w:rPr>
        <w:t>elevada</w:t>
      </w:r>
      <w:r w:rsidR="00657367" w:rsidRPr="003B7012">
        <w:rPr>
          <w:rFonts w:ascii="Trebuchet MS" w:hAnsi="Trebuchet MS" w:cs="Arial"/>
          <w:color w:val="000000"/>
          <w:sz w:val="20"/>
          <w:szCs w:val="15"/>
          <w:lang w:eastAsia="pt-PT"/>
        </w:rPr>
        <w:t xml:space="preserve"> vulnerabilidade do cérebro à isquémia. </w:t>
      </w:r>
      <w:r w:rsidR="00657367" w:rsidRPr="003B7012">
        <w:rPr>
          <w:rFonts w:ascii="Trebuchet MS" w:eastAsiaTheme="minorHAnsi" w:hAnsi="Trebuchet MS" w:cs="AdvTimes"/>
          <w:sz w:val="20"/>
        </w:rPr>
        <w:t xml:space="preserve">Pelo contrário, parece que os mecanismos de sinalização intracelular e </w:t>
      </w:r>
      <w:proofErr w:type="gramStart"/>
      <w:r w:rsidR="00BF3C27">
        <w:rPr>
          <w:rFonts w:ascii="Trebuchet MS" w:eastAsiaTheme="minorHAnsi" w:hAnsi="Trebuchet MS" w:cs="AdvTimes"/>
          <w:sz w:val="20"/>
        </w:rPr>
        <w:t>in</w:t>
      </w:r>
      <w:r w:rsidR="00BE1D5F">
        <w:rPr>
          <w:rFonts w:ascii="Trebuchet MS" w:eastAsiaTheme="minorHAnsi" w:hAnsi="Trebuchet MS" w:cs="AdvTimes"/>
          <w:sz w:val="20"/>
        </w:rPr>
        <w:t>ter</w:t>
      </w:r>
      <w:r w:rsidR="00BF3C27">
        <w:rPr>
          <w:rFonts w:ascii="Trebuchet MS" w:eastAsiaTheme="minorHAnsi" w:hAnsi="Trebuchet MS" w:cs="AdvTimes"/>
          <w:sz w:val="20"/>
        </w:rPr>
        <w:t xml:space="preserve">celular </w:t>
      </w:r>
      <w:r w:rsidR="00657367" w:rsidRPr="003B7012">
        <w:rPr>
          <w:rFonts w:ascii="Trebuchet MS" w:eastAsiaTheme="minorHAnsi" w:hAnsi="Trebuchet MS" w:cs="AdvTimes"/>
          <w:sz w:val="20"/>
        </w:rPr>
        <w:t>intrínseco</w:t>
      </w:r>
      <w:r w:rsidR="00D67913" w:rsidRPr="003B7012">
        <w:rPr>
          <w:rFonts w:ascii="Trebuchet MS" w:eastAsiaTheme="minorHAnsi" w:hAnsi="Trebuchet MS" w:cs="AdvTimes"/>
          <w:sz w:val="20"/>
        </w:rPr>
        <w:t>s</w:t>
      </w:r>
      <w:proofErr w:type="gramEnd"/>
      <w:r w:rsidR="00657367" w:rsidRPr="003B7012">
        <w:rPr>
          <w:rFonts w:ascii="Trebuchet MS" w:eastAsiaTheme="minorHAnsi" w:hAnsi="Trebuchet MS" w:cs="AdvTimes"/>
          <w:sz w:val="20"/>
        </w:rPr>
        <w:t xml:space="preserve"> do cérebro, normalmente responsáveis pelo processamento da informação, tornam-se nocivos em condições isquémicas, acelerando a falha de energia e </w:t>
      </w:r>
      <w:r w:rsidR="00CB0AA9">
        <w:rPr>
          <w:rFonts w:ascii="Trebuchet MS" w:eastAsiaTheme="minorHAnsi" w:hAnsi="Trebuchet MS" w:cs="AdvTimes"/>
          <w:sz w:val="20"/>
        </w:rPr>
        <w:t>activando</w:t>
      </w:r>
      <w:r w:rsidR="00657367" w:rsidRPr="003B7012">
        <w:rPr>
          <w:rFonts w:ascii="Trebuchet MS" w:eastAsiaTheme="minorHAnsi" w:hAnsi="Trebuchet MS" w:cs="AdvTimes"/>
          <w:sz w:val="20"/>
        </w:rPr>
        <w:t xml:space="preserve"> as vias subjacentes à morte celular isquémica em todos os tec</w:t>
      </w:r>
      <w:r w:rsidR="00657367" w:rsidRPr="003B7012">
        <w:rPr>
          <w:rFonts w:ascii="Trebuchet MS" w:eastAsiaTheme="minorHAnsi" w:hAnsi="Trebuchet MS" w:cs="AdvTimes"/>
          <w:sz w:val="20"/>
        </w:rPr>
        <w:t>i</w:t>
      </w:r>
      <w:r w:rsidR="00657367" w:rsidRPr="003B7012">
        <w:rPr>
          <w:rFonts w:ascii="Trebuchet MS" w:eastAsiaTheme="minorHAnsi" w:hAnsi="Trebuchet MS" w:cs="AdvTimes"/>
          <w:sz w:val="20"/>
        </w:rPr>
        <w:t xml:space="preserve">dos, incluindo a produção de radicais livres, a activação de enzimas catabólicas, </w:t>
      </w:r>
      <w:r w:rsidR="00CB0AA9">
        <w:rPr>
          <w:rFonts w:ascii="Trebuchet MS" w:eastAsiaTheme="minorHAnsi" w:hAnsi="Trebuchet MS" w:cs="AdvTimes"/>
          <w:sz w:val="20"/>
        </w:rPr>
        <w:t>ruptura</w:t>
      </w:r>
      <w:r w:rsidR="00CB0AA9" w:rsidRPr="003B7012">
        <w:rPr>
          <w:rFonts w:ascii="Trebuchet MS" w:eastAsiaTheme="minorHAnsi" w:hAnsi="Trebuchet MS" w:cs="AdvTimes"/>
          <w:sz w:val="20"/>
        </w:rPr>
        <w:t xml:space="preserve"> da</w:t>
      </w:r>
      <w:r w:rsidR="00657367" w:rsidRPr="003B7012">
        <w:rPr>
          <w:rFonts w:ascii="Trebuchet MS" w:eastAsiaTheme="minorHAnsi" w:hAnsi="Trebuchet MS" w:cs="AdvTimes"/>
          <w:sz w:val="20"/>
        </w:rPr>
        <w:t xml:space="preserve"> membrana</w:t>
      </w:r>
      <w:r w:rsidR="00BE1D5F">
        <w:rPr>
          <w:rFonts w:ascii="Trebuchet MS" w:eastAsiaTheme="minorHAnsi" w:hAnsi="Trebuchet MS" w:cs="AdvTimes"/>
          <w:sz w:val="20"/>
        </w:rPr>
        <w:t xml:space="preserve"> plasmática</w:t>
      </w:r>
      <w:r w:rsidR="00657367" w:rsidRPr="003B7012">
        <w:rPr>
          <w:rFonts w:ascii="Trebuchet MS" w:eastAsiaTheme="minorHAnsi" w:hAnsi="Trebuchet MS" w:cs="AdvTimes"/>
          <w:sz w:val="20"/>
        </w:rPr>
        <w:t xml:space="preserve">, apoptose e inflamação </w:t>
      </w:r>
      <w:r w:rsidR="00657367" w:rsidRPr="003B7012">
        <w:rPr>
          <w:rFonts w:ascii="Trebuchet MS" w:hAnsi="Trebuchet MS" w:cs="Arial"/>
          <w:color w:val="000000"/>
          <w:sz w:val="20"/>
          <w:szCs w:val="15"/>
          <w:lang w:eastAsia="pt-PT"/>
        </w:rPr>
        <w:t xml:space="preserve">(Lee </w:t>
      </w:r>
      <w:r w:rsidR="00F96813" w:rsidRPr="003B7012">
        <w:rPr>
          <w:rFonts w:ascii="Trebuchet MS" w:hAnsi="Trebuchet MS" w:cs="Arial"/>
          <w:i/>
          <w:color w:val="000000"/>
          <w:sz w:val="20"/>
          <w:szCs w:val="15"/>
          <w:lang w:eastAsia="pt-PT"/>
        </w:rPr>
        <w:t>et al.</w:t>
      </w:r>
      <w:r w:rsidR="00657367" w:rsidRPr="003B7012">
        <w:rPr>
          <w:rFonts w:ascii="Trebuchet MS" w:hAnsi="Trebuchet MS" w:cs="Arial"/>
          <w:color w:val="000000"/>
          <w:sz w:val="20"/>
          <w:szCs w:val="15"/>
          <w:lang w:eastAsia="pt-PT"/>
        </w:rPr>
        <w:t>, 2000)</w:t>
      </w:r>
      <w:r w:rsidR="00657367" w:rsidRPr="003B7012">
        <w:rPr>
          <w:rFonts w:ascii="Trebuchet MS" w:eastAsiaTheme="minorHAnsi" w:hAnsi="Trebuchet MS" w:cs="AdvTimes"/>
          <w:sz w:val="20"/>
        </w:rPr>
        <w:t xml:space="preserve">. </w:t>
      </w:r>
    </w:p>
    <w:p w:rsidR="00D004C5" w:rsidRDefault="00B0291C" w:rsidP="00ED4D1A">
      <w:pPr>
        <w:autoSpaceDE w:val="0"/>
        <w:autoSpaceDN w:val="0"/>
        <w:adjustRightInd w:val="0"/>
        <w:spacing w:line="360" w:lineRule="auto"/>
        <w:ind w:firstLine="708"/>
        <w:jc w:val="both"/>
        <w:rPr>
          <w:rFonts w:ascii="Trebuchet MS" w:eastAsiaTheme="minorHAnsi" w:hAnsi="Trebuchet MS" w:cs="AdvTimes"/>
          <w:sz w:val="20"/>
        </w:rPr>
      </w:pPr>
      <w:r w:rsidRPr="003B7012">
        <w:rPr>
          <w:rStyle w:val="hps"/>
          <w:rFonts w:ascii="Trebuchet MS" w:hAnsi="Trebuchet MS" w:cs="Arial"/>
          <w:sz w:val="20"/>
        </w:rPr>
        <w:t xml:space="preserve">Relativamente aos </w:t>
      </w:r>
      <w:r w:rsidRPr="003B7012">
        <w:rPr>
          <w:rStyle w:val="hps"/>
          <w:rFonts w:ascii="Trebuchet MS" w:hAnsi="Trebuchet MS" w:cs="Arial"/>
          <w:sz w:val="20"/>
          <w:u w:val="single"/>
        </w:rPr>
        <w:t>m</w:t>
      </w:r>
      <w:r w:rsidR="00D004C5" w:rsidRPr="003B7012">
        <w:rPr>
          <w:rStyle w:val="hps"/>
          <w:rFonts w:ascii="Trebuchet MS" w:hAnsi="Trebuchet MS" w:cs="Arial"/>
          <w:sz w:val="20"/>
          <w:u w:val="single"/>
        </w:rPr>
        <w:t>ecanismos</w:t>
      </w:r>
      <w:r w:rsidR="00D004C5" w:rsidRPr="003B7012">
        <w:rPr>
          <w:rFonts w:ascii="Trebuchet MS" w:hAnsi="Trebuchet MS" w:cs="Arial"/>
          <w:sz w:val="20"/>
          <w:u w:val="single"/>
        </w:rPr>
        <w:t xml:space="preserve"> </w:t>
      </w:r>
      <w:r w:rsidR="00D004C5" w:rsidRPr="003B7012">
        <w:rPr>
          <w:rStyle w:val="hps"/>
          <w:rFonts w:ascii="Trebuchet MS" w:hAnsi="Trebuchet MS" w:cs="Arial"/>
          <w:sz w:val="20"/>
          <w:u w:val="single"/>
        </w:rPr>
        <w:t>de</w:t>
      </w:r>
      <w:r w:rsidR="00D004C5" w:rsidRPr="003B7012">
        <w:rPr>
          <w:rFonts w:ascii="Trebuchet MS" w:hAnsi="Trebuchet MS" w:cs="Arial"/>
          <w:sz w:val="20"/>
          <w:u w:val="single"/>
        </w:rPr>
        <w:t xml:space="preserve"> </w:t>
      </w:r>
      <w:r w:rsidR="00D004C5" w:rsidRPr="003B7012">
        <w:rPr>
          <w:rStyle w:val="hps"/>
          <w:rFonts w:ascii="Trebuchet MS" w:hAnsi="Trebuchet MS" w:cs="Arial"/>
          <w:sz w:val="20"/>
          <w:u w:val="single"/>
        </w:rPr>
        <w:t>lesão</w:t>
      </w:r>
      <w:r w:rsidR="00D004C5" w:rsidRPr="003B7012">
        <w:rPr>
          <w:rFonts w:ascii="Trebuchet MS" w:hAnsi="Trebuchet MS" w:cs="Arial"/>
          <w:sz w:val="20"/>
          <w:u w:val="single"/>
        </w:rPr>
        <w:t xml:space="preserve"> </w:t>
      </w:r>
      <w:r w:rsidR="00D004C5" w:rsidRPr="003B7012">
        <w:rPr>
          <w:rStyle w:val="hps"/>
          <w:rFonts w:ascii="Trebuchet MS" w:hAnsi="Trebuchet MS" w:cs="Arial"/>
          <w:sz w:val="20"/>
          <w:u w:val="single"/>
        </w:rPr>
        <w:t>após</w:t>
      </w:r>
      <w:r w:rsidR="00D004C5" w:rsidRPr="003B7012">
        <w:rPr>
          <w:rFonts w:ascii="Trebuchet MS" w:hAnsi="Trebuchet MS" w:cs="Arial"/>
          <w:sz w:val="20"/>
          <w:u w:val="single"/>
        </w:rPr>
        <w:t xml:space="preserve"> </w:t>
      </w:r>
      <w:r w:rsidR="00D004C5" w:rsidRPr="003B7012">
        <w:rPr>
          <w:rStyle w:val="hps"/>
          <w:rFonts w:ascii="Trebuchet MS" w:hAnsi="Trebuchet MS" w:cs="Arial"/>
          <w:sz w:val="20"/>
          <w:u w:val="single"/>
        </w:rPr>
        <w:t xml:space="preserve">a </w:t>
      </w:r>
      <w:r w:rsidR="00B3669E" w:rsidRPr="003B7012">
        <w:rPr>
          <w:rStyle w:val="hps"/>
          <w:rFonts w:ascii="Trebuchet MS" w:hAnsi="Trebuchet MS" w:cs="Arial"/>
          <w:sz w:val="20"/>
          <w:u w:val="single"/>
        </w:rPr>
        <w:t>isquémia</w:t>
      </w:r>
      <w:r w:rsidRPr="003B7012">
        <w:rPr>
          <w:rStyle w:val="hps"/>
          <w:rFonts w:ascii="Trebuchet MS" w:hAnsi="Trebuchet MS" w:cs="Arial"/>
          <w:sz w:val="20"/>
        </w:rPr>
        <w:t>, a</w:t>
      </w:r>
      <w:r w:rsidR="00D004C5" w:rsidRPr="003B7012">
        <w:rPr>
          <w:rStyle w:val="hps"/>
          <w:rFonts w:ascii="Trebuchet MS" w:hAnsi="Trebuchet MS" w:cs="Arial"/>
          <w:sz w:val="20"/>
        </w:rPr>
        <w:t xml:space="preserve"> </w:t>
      </w:r>
      <w:r w:rsidR="00B3669E" w:rsidRPr="003B7012">
        <w:rPr>
          <w:rStyle w:val="hps"/>
          <w:rFonts w:ascii="Trebuchet MS" w:hAnsi="Trebuchet MS" w:cs="Arial"/>
          <w:sz w:val="20"/>
        </w:rPr>
        <w:t>isquémia</w:t>
      </w:r>
      <w:r w:rsidR="00D004C5" w:rsidRPr="003B7012">
        <w:rPr>
          <w:rStyle w:val="hps"/>
          <w:rFonts w:ascii="Trebuchet MS" w:hAnsi="Trebuchet MS" w:cs="Arial"/>
          <w:sz w:val="20"/>
        </w:rPr>
        <w:t xml:space="preserve"> cerebral</w:t>
      </w:r>
      <w:r w:rsidR="00D004C5" w:rsidRPr="003B7012">
        <w:rPr>
          <w:rFonts w:ascii="Trebuchet MS" w:hAnsi="Trebuchet MS" w:cs="Arial"/>
          <w:sz w:val="20"/>
        </w:rPr>
        <w:t xml:space="preserve"> </w:t>
      </w:r>
      <w:r w:rsidR="00D004C5" w:rsidRPr="003B7012">
        <w:rPr>
          <w:rStyle w:val="hps"/>
          <w:rFonts w:ascii="Trebuchet MS" w:hAnsi="Trebuchet MS" w:cs="Arial"/>
          <w:sz w:val="20"/>
        </w:rPr>
        <w:t>pode</w:t>
      </w:r>
      <w:r w:rsidR="00D004C5" w:rsidRPr="003B7012">
        <w:rPr>
          <w:rFonts w:ascii="Trebuchet MS" w:hAnsi="Trebuchet MS" w:cs="Arial"/>
          <w:sz w:val="20"/>
        </w:rPr>
        <w:t xml:space="preserve"> </w:t>
      </w:r>
      <w:r w:rsidR="00D004C5" w:rsidRPr="003B7012">
        <w:rPr>
          <w:rStyle w:val="hps"/>
          <w:rFonts w:ascii="Trebuchet MS" w:hAnsi="Trebuchet MS" w:cs="Arial"/>
          <w:sz w:val="20"/>
        </w:rPr>
        <w:t>ser</w:t>
      </w:r>
      <w:r w:rsidR="00D004C5" w:rsidRPr="003B7012">
        <w:rPr>
          <w:rFonts w:ascii="Trebuchet MS" w:hAnsi="Trebuchet MS" w:cs="Arial"/>
          <w:sz w:val="20"/>
        </w:rPr>
        <w:t xml:space="preserve"> </w:t>
      </w:r>
      <w:r w:rsidR="00D004C5" w:rsidRPr="003B7012">
        <w:rPr>
          <w:rStyle w:val="hps"/>
          <w:rFonts w:ascii="Trebuchet MS" w:hAnsi="Trebuchet MS" w:cs="Arial"/>
          <w:b/>
          <w:sz w:val="20"/>
        </w:rPr>
        <w:t>transitória</w:t>
      </w:r>
      <w:r w:rsidR="00D004C5" w:rsidRPr="003B7012">
        <w:rPr>
          <w:rFonts w:ascii="Trebuchet MS" w:hAnsi="Trebuchet MS" w:cs="Arial"/>
          <w:sz w:val="20"/>
        </w:rPr>
        <w:t xml:space="preserve"> </w:t>
      </w:r>
      <w:r w:rsidR="00D004C5" w:rsidRPr="003B7012">
        <w:rPr>
          <w:rStyle w:val="hps"/>
          <w:rFonts w:ascii="Trebuchet MS" w:hAnsi="Trebuchet MS" w:cs="Arial"/>
          <w:sz w:val="20"/>
        </w:rPr>
        <w:t>e seguid</w:t>
      </w:r>
      <w:r w:rsidR="00FE0513" w:rsidRPr="003B7012">
        <w:rPr>
          <w:rStyle w:val="hps"/>
          <w:rFonts w:ascii="Trebuchet MS" w:hAnsi="Trebuchet MS" w:cs="Arial"/>
          <w:sz w:val="20"/>
        </w:rPr>
        <w:t>a</w:t>
      </w:r>
      <w:r w:rsidR="00D004C5" w:rsidRPr="003B7012">
        <w:rPr>
          <w:rFonts w:ascii="Trebuchet MS" w:hAnsi="Trebuchet MS" w:cs="Arial"/>
          <w:sz w:val="20"/>
        </w:rPr>
        <w:t xml:space="preserve"> </w:t>
      </w:r>
      <w:r w:rsidR="00D004C5" w:rsidRPr="003B7012">
        <w:rPr>
          <w:rStyle w:val="hps"/>
          <w:rFonts w:ascii="Trebuchet MS" w:hAnsi="Trebuchet MS" w:cs="Arial"/>
          <w:sz w:val="20"/>
        </w:rPr>
        <w:t>de reperfusão</w:t>
      </w:r>
      <w:r w:rsidR="00D004C5" w:rsidRPr="003B7012">
        <w:rPr>
          <w:rFonts w:ascii="Trebuchet MS" w:hAnsi="Trebuchet MS" w:cs="Arial"/>
          <w:sz w:val="20"/>
        </w:rPr>
        <w:t xml:space="preserve">, ou </w:t>
      </w:r>
      <w:r w:rsidR="00D004C5" w:rsidRPr="003B7012">
        <w:rPr>
          <w:rStyle w:val="hps"/>
          <w:rFonts w:ascii="Trebuchet MS" w:hAnsi="Trebuchet MS" w:cs="Arial"/>
          <w:sz w:val="20"/>
        </w:rPr>
        <w:t>essencialmente</w:t>
      </w:r>
      <w:r w:rsidR="00D004C5" w:rsidRPr="003B7012">
        <w:rPr>
          <w:rFonts w:ascii="Trebuchet MS" w:hAnsi="Trebuchet MS" w:cs="Arial"/>
          <w:sz w:val="20"/>
        </w:rPr>
        <w:t xml:space="preserve"> </w:t>
      </w:r>
      <w:r w:rsidR="00D004C5" w:rsidRPr="003B7012">
        <w:rPr>
          <w:rStyle w:val="hps"/>
          <w:rFonts w:ascii="Trebuchet MS" w:hAnsi="Trebuchet MS" w:cs="Arial"/>
          <w:b/>
          <w:sz w:val="20"/>
        </w:rPr>
        <w:t>permanente</w:t>
      </w:r>
      <w:r w:rsidR="00D004C5" w:rsidRPr="003B7012">
        <w:rPr>
          <w:rFonts w:ascii="Trebuchet MS" w:hAnsi="Trebuchet MS" w:cs="Arial"/>
          <w:sz w:val="20"/>
        </w:rPr>
        <w:t xml:space="preserve">. </w:t>
      </w:r>
      <w:r w:rsidR="00D004C5" w:rsidRPr="003B7012">
        <w:rPr>
          <w:rStyle w:val="hps"/>
          <w:rFonts w:ascii="Trebuchet MS" w:hAnsi="Trebuchet MS" w:cs="Arial"/>
          <w:sz w:val="20"/>
        </w:rPr>
        <w:t>Uma</w:t>
      </w:r>
      <w:r w:rsidR="00D004C5" w:rsidRPr="003B7012">
        <w:rPr>
          <w:rFonts w:ascii="Trebuchet MS" w:hAnsi="Trebuchet MS" w:cs="Arial"/>
          <w:sz w:val="20"/>
        </w:rPr>
        <w:t xml:space="preserve"> </w:t>
      </w:r>
      <w:r w:rsidR="00D004C5" w:rsidRPr="003B7012">
        <w:rPr>
          <w:rStyle w:val="hps"/>
          <w:rFonts w:ascii="Trebuchet MS" w:hAnsi="Trebuchet MS" w:cs="Arial"/>
          <w:sz w:val="20"/>
        </w:rPr>
        <w:t>região</w:t>
      </w:r>
      <w:r w:rsidR="00D004C5" w:rsidRPr="003B7012">
        <w:rPr>
          <w:rFonts w:ascii="Trebuchet MS" w:hAnsi="Trebuchet MS" w:cs="Arial"/>
          <w:sz w:val="20"/>
        </w:rPr>
        <w:t xml:space="preserve"> </w:t>
      </w:r>
      <w:r w:rsidR="00D004C5" w:rsidRPr="003B7012">
        <w:rPr>
          <w:rStyle w:val="hps"/>
          <w:rFonts w:ascii="Trebuchet MS" w:hAnsi="Trebuchet MS" w:cs="Arial"/>
          <w:sz w:val="20"/>
        </w:rPr>
        <w:t>do</w:t>
      </w:r>
      <w:r w:rsidR="00D004C5" w:rsidRPr="003B7012">
        <w:rPr>
          <w:rFonts w:ascii="Trebuchet MS" w:hAnsi="Trebuchet MS" w:cs="Arial"/>
          <w:sz w:val="20"/>
        </w:rPr>
        <w:t xml:space="preserve"> </w:t>
      </w:r>
      <w:r w:rsidR="00D004C5" w:rsidRPr="003B7012">
        <w:rPr>
          <w:rStyle w:val="hps"/>
          <w:rFonts w:ascii="Trebuchet MS" w:hAnsi="Trebuchet MS" w:cs="Arial"/>
          <w:sz w:val="20"/>
        </w:rPr>
        <w:t>cér</w:t>
      </w:r>
      <w:r w:rsidR="00D004C5" w:rsidRPr="003B7012">
        <w:rPr>
          <w:rStyle w:val="hps"/>
          <w:rFonts w:ascii="Trebuchet MS" w:hAnsi="Trebuchet MS" w:cs="Arial"/>
          <w:sz w:val="20"/>
        </w:rPr>
        <w:t>e</w:t>
      </w:r>
      <w:r w:rsidR="00D004C5" w:rsidRPr="003B7012">
        <w:rPr>
          <w:rStyle w:val="hps"/>
          <w:rFonts w:ascii="Trebuchet MS" w:hAnsi="Trebuchet MS" w:cs="Arial"/>
          <w:sz w:val="20"/>
        </w:rPr>
        <w:t>bro</w:t>
      </w:r>
      <w:r w:rsidR="00D004C5" w:rsidRPr="003B7012">
        <w:rPr>
          <w:rFonts w:ascii="Trebuchet MS" w:hAnsi="Trebuchet MS" w:cs="Arial"/>
          <w:sz w:val="20"/>
        </w:rPr>
        <w:t xml:space="preserve"> </w:t>
      </w:r>
      <w:r w:rsidR="00FE0513" w:rsidRPr="003B7012">
        <w:rPr>
          <w:rStyle w:val="hps"/>
          <w:rFonts w:ascii="Trebuchet MS" w:hAnsi="Trebuchet MS" w:cs="Arial"/>
          <w:sz w:val="20"/>
        </w:rPr>
        <w:t>pode ser afectada</w:t>
      </w:r>
      <w:r w:rsidR="00D004C5" w:rsidRPr="003B7012">
        <w:rPr>
          <w:rStyle w:val="hps"/>
          <w:rFonts w:ascii="Trebuchet MS" w:hAnsi="Trebuchet MS" w:cs="Arial"/>
          <w:sz w:val="20"/>
        </w:rPr>
        <w:t>,</w:t>
      </w:r>
      <w:r w:rsidR="00D004C5" w:rsidRPr="003B7012">
        <w:rPr>
          <w:rFonts w:ascii="Trebuchet MS" w:hAnsi="Trebuchet MS" w:cs="Arial"/>
          <w:sz w:val="20"/>
        </w:rPr>
        <w:t xml:space="preserve"> </w:t>
      </w:r>
      <w:r w:rsidR="00D004C5" w:rsidRPr="003B7012">
        <w:rPr>
          <w:rStyle w:val="hps"/>
          <w:rFonts w:ascii="Trebuchet MS" w:hAnsi="Trebuchet MS" w:cs="Arial"/>
          <w:sz w:val="20"/>
        </w:rPr>
        <w:t>como ocorre durante</w:t>
      </w:r>
      <w:r w:rsidR="00D004C5" w:rsidRPr="003B7012">
        <w:rPr>
          <w:rFonts w:ascii="Trebuchet MS" w:hAnsi="Trebuchet MS" w:cs="Arial"/>
          <w:sz w:val="20"/>
        </w:rPr>
        <w:t xml:space="preserve"> </w:t>
      </w:r>
      <w:r w:rsidR="00D004C5" w:rsidRPr="003B7012">
        <w:rPr>
          <w:rStyle w:val="hps"/>
          <w:rFonts w:ascii="Trebuchet MS" w:hAnsi="Trebuchet MS" w:cs="Arial"/>
          <w:sz w:val="20"/>
        </w:rPr>
        <w:t xml:space="preserve">um </w:t>
      </w:r>
      <w:r w:rsidR="00D86767" w:rsidRPr="003B7012">
        <w:rPr>
          <w:rStyle w:val="hps"/>
          <w:rFonts w:ascii="Trebuchet MS" w:hAnsi="Trebuchet MS" w:cs="Arial"/>
          <w:sz w:val="20"/>
        </w:rPr>
        <w:t xml:space="preserve">derrame cerebral </w:t>
      </w:r>
      <w:r w:rsidR="00D004C5" w:rsidRPr="003B7012">
        <w:rPr>
          <w:rStyle w:val="hps"/>
          <w:rFonts w:ascii="Trebuchet MS" w:hAnsi="Trebuchet MS" w:cs="Arial"/>
          <w:sz w:val="20"/>
        </w:rPr>
        <w:t>arterial ou</w:t>
      </w:r>
      <w:r w:rsidR="00D004C5" w:rsidRPr="003B7012">
        <w:rPr>
          <w:rFonts w:ascii="Trebuchet MS" w:hAnsi="Trebuchet MS" w:cs="Arial"/>
          <w:sz w:val="20"/>
        </w:rPr>
        <w:t xml:space="preserve"> </w:t>
      </w:r>
      <w:r w:rsidR="00D004C5" w:rsidRPr="003B7012">
        <w:rPr>
          <w:rStyle w:val="hps"/>
          <w:rFonts w:ascii="Trebuchet MS" w:hAnsi="Trebuchet MS" w:cs="Arial"/>
          <w:sz w:val="20"/>
        </w:rPr>
        <w:t>venos</w:t>
      </w:r>
      <w:r w:rsidR="00FE0513" w:rsidRPr="003B7012">
        <w:rPr>
          <w:rStyle w:val="hps"/>
          <w:rFonts w:ascii="Trebuchet MS" w:hAnsi="Trebuchet MS" w:cs="Arial"/>
          <w:sz w:val="20"/>
        </w:rPr>
        <w:t>o</w:t>
      </w:r>
      <w:r w:rsidR="00D004C5" w:rsidRPr="003B7012">
        <w:rPr>
          <w:rFonts w:ascii="Trebuchet MS" w:hAnsi="Trebuchet MS" w:cs="Arial"/>
          <w:sz w:val="20"/>
        </w:rPr>
        <w:t xml:space="preserve">, </w:t>
      </w:r>
      <w:r w:rsidR="00D004C5" w:rsidRPr="003B7012">
        <w:rPr>
          <w:rStyle w:val="hps"/>
          <w:rFonts w:ascii="Trebuchet MS" w:hAnsi="Trebuchet MS" w:cs="Arial"/>
          <w:sz w:val="20"/>
        </w:rPr>
        <w:t>ou</w:t>
      </w:r>
      <w:r w:rsidR="00103564" w:rsidRPr="003B7012">
        <w:rPr>
          <w:rStyle w:val="hps"/>
          <w:rFonts w:ascii="Trebuchet MS" w:hAnsi="Trebuchet MS" w:cs="Arial"/>
          <w:sz w:val="20"/>
        </w:rPr>
        <w:t xml:space="preserve"> o todo o cérebro</w:t>
      </w:r>
      <w:r w:rsidR="00D004C5" w:rsidRPr="003B7012">
        <w:rPr>
          <w:rFonts w:ascii="Trebuchet MS" w:hAnsi="Trebuchet MS" w:cs="Arial"/>
          <w:sz w:val="20"/>
        </w:rPr>
        <w:t xml:space="preserve"> </w:t>
      </w:r>
      <w:r w:rsidR="00D004C5" w:rsidRPr="003B7012">
        <w:rPr>
          <w:rStyle w:val="hps"/>
          <w:rFonts w:ascii="Trebuchet MS" w:hAnsi="Trebuchet MS" w:cs="Arial"/>
          <w:sz w:val="20"/>
        </w:rPr>
        <w:t>pode</w:t>
      </w:r>
      <w:r w:rsidR="00D004C5" w:rsidRPr="003B7012">
        <w:rPr>
          <w:rFonts w:ascii="Trebuchet MS" w:hAnsi="Trebuchet MS" w:cs="Arial"/>
          <w:sz w:val="20"/>
        </w:rPr>
        <w:t xml:space="preserve"> </w:t>
      </w:r>
      <w:r w:rsidR="00D004C5" w:rsidRPr="003B7012">
        <w:rPr>
          <w:rStyle w:val="hps"/>
          <w:rFonts w:ascii="Trebuchet MS" w:hAnsi="Trebuchet MS" w:cs="Arial"/>
          <w:sz w:val="20"/>
        </w:rPr>
        <w:t>tornar</w:t>
      </w:r>
      <w:r w:rsidR="00103564" w:rsidRPr="003B7012">
        <w:rPr>
          <w:rStyle w:val="hps"/>
          <w:rFonts w:ascii="Trebuchet MS" w:hAnsi="Trebuchet MS" w:cs="Arial"/>
          <w:sz w:val="20"/>
        </w:rPr>
        <w:t>-se</w:t>
      </w:r>
      <w:r w:rsidR="00D004C5" w:rsidRPr="003B7012">
        <w:rPr>
          <w:rFonts w:ascii="Trebuchet MS" w:hAnsi="Trebuchet MS" w:cs="Arial"/>
          <w:sz w:val="20"/>
        </w:rPr>
        <w:t xml:space="preserve"> </w:t>
      </w:r>
      <w:r w:rsidR="00D004C5" w:rsidRPr="003B7012">
        <w:rPr>
          <w:rStyle w:val="hps"/>
          <w:rFonts w:ascii="Trebuchet MS" w:hAnsi="Trebuchet MS" w:cs="Arial"/>
          <w:sz w:val="20"/>
        </w:rPr>
        <w:t>globalmente</w:t>
      </w:r>
      <w:r w:rsidR="00D004C5" w:rsidRPr="003B7012">
        <w:rPr>
          <w:rFonts w:ascii="Trebuchet MS" w:hAnsi="Trebuchet MS" w:cs="Arial"/>
          <w:sz w:val="20"/>
        </w:rPr>
        <w:t xml:space="preserve"> </w:t>
      </w:r>
      <w:r w:rsidR="00B3669E" w:rsidRPr="003B7012">
        <w:rPr>
          <w:rStyle w:val="hps"/>
          <w:rFonts w:ascii="Trebuchet MS" w:hAnsi="Trebuchet MS" w:cs="Arial"/>
          <w:sz w:val="20"/>
        </w:rPr>
        <w:t>isquémic</w:t>
      </w:r>
      <w:r w:rsidR="00103564" w:rsidRPr="003B7012">
        <w:rPr>
          <w:rStyle w:val="hps"/>
          <w:rFonts w:ascii="Trebuchet MS" w:hAnsi="Trebuchet MS" w:cs="Arial"/>
          <w:sz w:val="20"/>
        </w:rPr>
        <w:t>o</w:t>
      </w:r>
      <w:r w:rsidR="00D004C5" w:rsidRPr="003B7012">
        <w:rPr>
          <w:rFonts w:ascii="Trebuchet MS" w:hAnsi="Trebuchet MS" w:cs="Arial"/>
          <w:sz w:val="20"/>
        </w:rPr>
        <w:t xml:space="preserve">, </w:t>
      </w:r>
      <w:r w:rsidR="00D004C5" w:rsidRPr="003B7012">
        <w:rPr>
          <w:rStyle w:val="hps"/>
          <w:rFonts w:ascii="Trebuchet MS" w:hAnsi="Trebuchet MS" w:cs="Arial"/>
          <w:sz w:val="20"/>
        </w:rPr>
        <w:t>como ocorre durante</w:t>
      </w:r>
      <w:r w:rsidR="00D004C5" w:rsidRPr="003B7012">
        <w:rPr>
          <w:rFonts w:ascii="Trebuchet MS" w:hAnsi="Trebuchet MS" w:cs="Arial"/>
          <w:sz w:val="20"/>
        </w:rPr>
        <w:t xml:space="preserve"> </w:t>
      </w:r>
      <w:r w:rsidR="00D004C5" w:rsidRPr="003B7012">
        <w:rPr>
          <w:rStyle w:val="hps"/>
          <w:rFonts w:ascii="Trebuchet MS" w:hAnsi="Trebuchet MS" w:cs="Arial"/>
          <w:sz w:val="20"/>
        </w:rPr>
        <w:t xml:space="preserve">uma </w:t>
      </w:r>
      <w:r w:rsidR="00103564" w:rsidRPr="003B7012">
        <w:rPr>
          <w:rStyle w:val="hps"/>
          <w:rFonts w:ascii="Trebuchet MS" w:hAnsi="Trebuchet MS" w:cs="Arial"/>
          <w:sz w:val="20"/>
        </w:rPr>
        <w:t>paragem</w:t>
      </w:r>
      <w:r w:rsidR="00D004C5" w:rsidRPr="003B7012">
        <w:rPr>
          <w:rFonts w:ascii="Trebuchet MS" w:hAnsi="Trebuchet MS" w:cs="Arial"/>
          <w:sz w:val="20"/>
        </w:rPr>
        <w:t xml:space="preserve"> </w:t>
      </w:r>
      <w:r w:rsidR="00D004C5" w:rsidRPr="003B7012">
        <w:rPr>
          <w:rStyle w:val="hps"/>
          <w:rFonts w:ascii="Trebuchet MS" w:hAnsi="Trebuchet MS" w:cs="Arial"/>
          <w:sz w:val="20"/>
        </w:rPr>
        <w:t>cardíaca</w:t>
      </w:r>
      <w:r w:rsidR="0024640F" w:rsidRPr="003B7012">
        <w:rPr>
          <w:rStyle w:val="hps"/>
          <w:rFonts w:ascii="Trebuchet MS" w:hAnsi="Trebuchet MS" w:cs="Arial"/>
          <w:sz w:val="20"/>
        </w:rPr>
        <w:t xml:space="preserve"> </w:t>
      </w:r>
      <w:r w:rsidR="0024640F" w:rsidRPr="003B7012">
        <w:rPr>
          <w:rFonts w:ascii="Trebuchet MS" w:hAnsi="Trebuchet MS" w:cs="Arial"/>
          <w:sz w:val="20"/>
          <w:lang w:eastAsia="pt-PT"/>
        </w:rPr>
        <w:t xml:space="preserve">(Lee </w:t>
      </w:r>
      <w:r w:rsidR="0024640F" w:rsidRPr="003B7012">
        <w:rPr>
          <w:rFonts w:ascii="Trebuchet MS" w:hAnsi="Trebuchet MS" w:cs="Arial"/>
          <w:i/>
          <w:sz w:val="20"/>
          <w:lang w:eastAsia="pt-PT"/>
        </w:rPr>
        <w:t>et al.</w:t>
      </w:r>
      <w:r w:rsidR="0024640F" w:rsidRPr="003B7012">
        <w:rPr>
          <w:rFonts w:ascii="Trebuchet MS" w:hAnsi="Trebuchet MS" w:cs="Arial"/>
          <w:sz w:val="20"/>
          <w:lang w:eastAsia="pt-PT"/>
        </w:rPr>
        <w:t>, 2000)</w:t>
      </w:r>
      <w:r w:rsidR="0024640F" w:rsidRPr="003B7012">
        <w:rPr>
          <w:rFonts w:ascii="Trebuchet MS" w:eastAsiaTheme="minorHAnsi" w:hAnsi="Trebuchet MS" w:cs="AdvTimes"/>
          <w:sz w:val="20"/>
        </w:rPr>
        <w:t>.</w:t>
      </w:r>
    </w:p>
    <w:p w:rsidR="00D00807" w:rsidRPr="003B7012" w:rsidRDefault="00D00807" w:rsidP="00D00807">
      <w:pPr>
        <w:autoSpaceDE w:val="0"/>
        <w:autoSpaceDN w:val="0"/>
        <w:adjustRightInd w:val="0"/>
        <w:spacing w:line="360" w:lineRule="auto"/>
        <w:ind w:firstLine="708"/>
        <w:jc w:val="both"/>
        <w:rPr>
          <w:rStyle w:val="hps"/>
          <w:rFonts w:ascii="Trebuchet MS" w:hAnsi="Trebuchet MS" w:cs="Arial"/>
          <w:color w:val="000000"/>
          <w:sz w:val="14"/>
          <w:szCs w:val="17"/>
        </w:rPr>
      </w:pPr>
      <w:r w:rsidRPr="003B7012">
        <w:rPr>
          <w:rFonts w:ascii="Trebuchet MS" w:eastAsiaTheme="minorHAnsi" w:hAnsi="Trebuchet MS" w:cs="AdvTimes"/>
          <w:sz w:val="20"/>
        </w:rPr>
        <w:lastRenderedPageBreak/>
        <w:t xml:space="preserve">Eschke </w:t>
      </w:r>
      <w:r w:rsidRPr="003B7012">
        <w:rPr>
          <w:rFonts w:ascii="Trebuchet MS" w:eastAsiaTheme="minorHAnsi" w:hAnsi="Trebuchet MS" w:cs="AdvTimes"/>
          <w:i/>
          <w:sz w:val="20"/>
        </w:rPr>
        <w:t xml:space="preserve">et al. </w:t>
      </w:r>
      <w:r w:rsidRPr="003B7012">
        <w:rPr>
          <w:rFonts w:ascii="Trebuchet MS" w:eastAsiaTheme="minorHAnsi" w:hAnsi="Trebuchet MS" w:cs="AdvTimes"/>
          <w:sz w:val="20"/>
        </w:rPr>
        <w:t>(2001) sugerem que principalmente os mecanismos pré-sinápticos são os que protegem os neurónios das alterações causadas pela hipóxia, ao inibir a libertação de neurotransmissores.</w:t>
      </w:r>
    </w:p>
    <w:p w:rsidR="009938D0" w:rsidRPr="00751D14" w:rsidRDefault="009938D0" w:rsidP="009938D0">
      <w:pPr>
        <w:autoSpaceDE w:val="0"/>
        <w:autoSpaceDN w:val="0"/>
        <w:adjustRightInd w:val="0"/>
        <w:ind w:firstLine="708"/>
        <w:jc w:val="both"/>
        <w:rPr>
          <w:rFonts w:ascii="Trebuchet MS" w:eastAsiaTheme="minorHAnsi" w:hAnsi="Trebuchet MS" w:cs="AdvTimes"/>
        </w:rPr>
      </w:pPr>
    </w:p>
    <w:p w:rsidR="00657367" w:rsidRPr="00547EC2" w:rsidRDefault="00530909" w:rsidP="00657367">
      <w:pPr>
        <w:spacing w:after="240"/>
        <w:jc w:val="both"/>
        <w:rPr>
          <w:rFonts w:ascii="Trebuchet MS" w:hAnsi="Trebuchet MS"/>
          <w:b/>
          <w:smallCaps/>
          <w:shadow/>
          <w:color w:val="333399"/>
          <w:sz w:val="28"/>
          <w:szCs w:val="28"/>
        </w:rPr>
      </w:pPr>
      <w:r>
        <w:rPr>
          <w:rFonts w:ascii="Trebuchet MS" w:hAnsi="Trebuchet MS"/>
          <w:b/>
          <w:smallCaps/>
          <w:shadow/>
          <w:color w:val="333399"/>
          <w:sz w:val="28"/>
          <w:szCs w:val="28"/>
        </w:rPr>
        <w:t>1</w:t>
      </w:r>
      <w:r w:rsidR="00657367" w:rsidRPr="00547EC2">
        <w:rPr>
          <w:rFonts w:ascii="Trebuchet MS" w:hAnsi="Trebuchet MS"/>
          <w:b/>
          <w:smallCaps/>
          <w:shadow/>
          <w:color w:val="333399"/>
          <w:sz w:val="28"/>
          <w:szCs w:val="28"/>
        </w:rPr>
        <w:t>.2. Diferent</w:t>
      </w:r>
      <w:r w:rsidR="00D00807">
        <w:rPr>
          <w:rFonts w:ascii="Trebuchet MS" w:hAnsi="Trebuchet MS"/>
          <w:b/>
          <w:smallCaps/>
          <w:shadow/>
          <w:color w:val="333399"/>
          <w:sz w:val="28"/>
          <w:szCs w:val="28"/>
        </w:rPr>
        <w:t>es tipos de Pré-condicionamento</w:t>
      </w:r>
    </w:p>
    <w:p w:rsidR="00123A55" w:rsidRPr="003B7012" w:rsidRDefault="00123A55" w:rsidP="00123A55">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t>O pré-condicionamento é definido como a obtenção de um estado de protecção cel</w:t>
      </w:r>
      <w:r w:rsidRPr="003B7012">
        <w:rPr>
          <w:rFonts w:ascii="Trebuchet MS" w:hAnsi="Trebuchet MS" w:cs="Arial"/>
          <w:sz w:val="20"/>
          <w:lang w:eastAsia="pt-PT"/>
        </w:rPr>
        <w:t>u</w:t>
      </w:r>
      <w:r w:rsidRPr="003B7012">
        <w:rPr>
          <w:rFonts w:ascii="Trebuchet MS" w:hAnsi="Trebuchet MS" w:cs="Arial"/>
          <w:sz w:val="20"/>
          <w:lang w:eastAsia="pt-PT"/>
        </w:rPr>
        <w:t>lar, tecidual ou do organismo como um todo através da exposição a insultos subletais que co</w:t>
      </w:r>
      <w:r w:rsidRPr="003B7012">
        <w:rPr>
          <w:rFonts w:ascii="Trebuchet MS" w:hAnsi="Trebuchet MS" w:cs="Arial"/>
          <w:sz w:val="20"/>
          <w:lang w:eastAsia="pt-PT"/>
        </w:rPr>
        <w:t>n</w:t>
      </w:r>
      <w:r w:rsidRPr="003B7012">
        <w:rPr>
          <w:rFonts w:ascii="Trebuchet MS" w:hAnsi="Trebuchet MS" w:cs="Arial"/>
          <w:sz w:val="20"/>
          <w:lang w:eastAsia="pt-PT"/>
        </w:rPr>
        <w:t xml:space="preserve">ferem, assim, certa tolerância a um insulto letal posterior (Dirnagl </w:t>
      </w:r>
      <w:r w:rsidR="00F96813" w:rsidRPr="003B7012">
        <w:rPr>
          <w:rFonts w:ascii="Trebuchet MS" w:hAnsi="Trebuchet MS" w:cs="Arial"/>
          <w:i/>
          <w:sz w:val="20"/>
          <w:lang w:eastAsia="pt-PT"/>
        </w:rPr>
        <w:t>et al.</w:t>
      </w:r>
      <w:r w:rsidRPr="003B7012">
        <w:rPr>
          <w:rFonts w:ascii="Trebuchet MS" w:hAnsi="Trebuchet MS" w:cs="Arial"/>
          <w:sz w:val="20"/>
          <w:lang w:eastAsia="pt-PT"/>
        </w:rPr>
        <w:t>, 2003)</w:t>
      </w:r>
      <w:r w:rsidR="00A05393">
        <w:rPr>
          <w:rFonts w:ascii="Trebuchet MS" w:hAnsi="Trebuchet MS" w:cs="Arial"/>
          <w:sz w:val="20"/>
          <w:lang w:eastAsia="pt-PT"/>
        </w:rPr>
        <w:t>.</w:t>
      </w:r>
    </w:p>
    <w:p w:rsidR="00657367" w:rsidRPr="003B7012" w:rsidRDefault="00657367" w:rsidP="00657367">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t xml:space="preserve">Existe uma série de </w:t>
      </w:r>
      <w:r w:rsidRPr="003B7012">
        <w:rPr>
          <w:rFonts w:ascii="Trebuchet MS" w:hAnsi="Trebuchet MS" w:cs="Arial"/>
          <w:sz w:val="20"/>
          <w:u w:val="single"/>
          <w:lang w:eastAsia="pt-PT"/>
        </w:rPr>
        <w:t>tipos de pré-condicionamento</w:t>
      </w:r>
      <w:r w:rsidRPr="003B7012">
        <w:rPr>
          <w:rFonts w:ascii="Trebuchet MS" w:hAnsi="Trebuchet MS" w:cs="Arial"/>
          <w:sz w:val="20"/>
          <w:lang w:eastAsia="pt-PT"/>
        </w:rPr>
        <w:t xml:space="preserve"> que têm vindo a ser estudados no: cérebro, coração, retina, fígado, rins e outros órgãos. Alguns desses estudos utilizam o </w:t>
      </w:r>
      <w:r w:rsidRPr="003B7012">
        <w:rPr>
          <w:rFonts w:ascii="Trebuchet MS" w:hAnsi="Trebuchet MS" w:cs="Arial"/>
          <w:b/>
          <w:sz w:val="20"/>
          <w:lang w:eastAsia="pt-PT"/>
        </w:rPr>
        <w:t>pré-condicionamento isquémico</w:t>
      </w:r>
      <w:r w:rsidRPr="003B7012">
        <w:rPr>
          <w:rFonts w:ascii="Trebuchet MS" w:hAnsi="Trebuchet MS" w:cs="Arial"/>
          <w:sz w:val="20"/>
          <w:lang w:eastAsia="pt-PT"/>
        </w:rPr>
        <w:t xml:space="preserve"> </w:t>
      </w:r>
      <w:r w:rsidRPr="003B7012">
        <w:rPr>
          <w:rFonts w:ascii="Trebuchet MS" w:hAnsi="Trebuchet MS" w:cs="Arial"/>
          <w:b/>
          <w:sz w:val="20"/>
          <w:lang w:eastAsia="pt-PT"/>
        </w:rPr>
        <w:t>(IPC)</w:t>
      </w:r>
      <w:r w:rsidRPr="003B7012">
        <w:rPr>
          <w:rFonts w:ascii="Trebuchet MS" w:hAnsi="Trebuchet MS" w:cs="Arial"/>
          <w:sz w:val="20"/>
          <w:lang w:eastAsia="pt-PT"/>
        </w:rPr>
        <w:t>, onde o fluxo sanguíneo é reduzido temporariament</w:t>
      </w:r>
      <w:r w:rsidR="00CB0AA9">
        <w:rPr>
          <w:rFonts w:ascii="Trebuchet MS" w:hAnsi="Trebuchet MS" w:cs="Arial"/>
          <w:sz w:val="20"/>
          <w:lang w:eastAsia="pt-PT"/>
        </w:rPr>
        <w:t>e antes de um insulto isquémico</w:t>
      </w:r>
      <w:r w:rsidRPr="003B7012">
        <w:rPr>
          <w:rFonts w:ascii="Trebuchet MS" w:hAnsi="Trebuchet MS" w:cs="Arial"/>
          <w:sz w:val="20"/>
          <w:lang w:eastAsia="pt-PT"/>
        </w:rPr>
        <w:t xml:space="preserve"> que normalmente produz enfarte. O pré-condicionamento hipóxico tem sido descrito no cérebro, coração, retina e outros tecidos. Outros tipos de pré-condicionamento foram descritos </w:t>
      </w:r>
      <w:r w:rsidR="00194A32" w:rsidRPr="003B7012">
        <w:rPr>
          <w:rFonts w:ascii="Trebuchet MS" w:hAnsi="Trebuchet MS" w:cs="Arial"/>
          <w:i/>
          <w:sz w:val="20"/>
          <w:lang w:eastAsia="pt-PT"/>
        </w:rPr>
        <w:t>in vivo</w:t>
      </w:r>
      <w:r w:rsidRPr="003B7012">
        <w:rPr>
          <w:rFonts w:ascii="Trebuchet MS" w:hAnsi="Trebuchet MS" w:cs="Arial"/>
          <w:sz w:val="20"/>
          <w:lang w:eastAsia="pt-PT"/>
        </w:rPr>
        <w:t xml:space="preserve"> e </w:t>
      </w:r>
      <w:proofErr w:type="gramStart"/>
      <w:r w:rsidR="00194A32" w:rsidRPr="003B7012">
        <w:rPr>
          <w:rFonts w:ascii="Trebuchet MS" w:hAnsi="Trebuchet MS" w:cs="Arial"/>
          <w:i/>
          <w:sz w:val="20"/>
          <w:lang w:eastAsia="pt-PT"/>
        </w:rPr>
        <w:t>in vitro</w:t>
      </w:r>
      <w:proofErr w:type="gramEnd"/>
      <w:r w:rsidRPr="003B7012">
        <w:rPr>
          <w:rFonts w:ascii="Trebuchet MS" w:hAnsi="Trebuchet MS" w:cs="Arial"/>
          <w:sz w:val="20"/>
          <w:lang w:eastAsia="pt-PT"/>
        </w:rPr>
        <w:t xml:space="preserve">, incluindo </w:t>
      </w:r>
      <w:r w:rsidR="00CB0AA9">
        <w:rPr>
          <w:rFonts w:ascii="Trebuchet MS" w:hAnsi="Trebuchet MS" w:cs="Arial"/>
          <w:sz w:val="20"/>
          <w:lang w:eastAsia="pt-PT"/>
        </w:rPr>
        <w:t xml:space="preserve">indução de </w:t>
      </w:r>
      <w:r w:rsidRPr="003B7012">
        <w:rPr>
          <w:rFonts w:ascii="Trebuchet MS" w:hAnsi="Trebuchet MS" w:cs="Arial"/>
          <w:sz w:val="20"/>
          <w:lang w:eastAsia="pt-PT"/>
        </w:rPr>
        <w:t>hipertemia</w:t>
      </w:r>
      <w:r w:rsidR="00CB0AA9">
        <w:rPr>
          <w:rFonts w:ascii="Trebuchet MS" w:hAnsi="Trebuchet MS" w:cs="Arial"/>
          <w:sz w:val="20"/>
          <w:lang w:eastAsia="pt-PT"/>
        </w:rPr>
        <w:t xml:space="preserve"> e</w:t>
      </w:r>
      <w:r w:rsidRPr="003B7012">
        <w:rPr>
          <w:rFonts w:ascii="Trebuchet MS" w:hAnsi="Trebuchet MS" w:cs="Arial"/>
          <w:sz w:val="20"/>
          <w:lang w:eastAsia="pt-PT"/>
        </w:rPr>
        <w:t xml:space="preserve"> hip</w:t>
      </w:r>
      <w:r w:rsidRPr="003B7012">
        <w:rPr>
          <w:rFonts w:ascii="Trebuchet MS" w:hAnsi="Trebuchet MS" w:cs="Arial"/>
          <w:sz w:val="20"/>
          <w:lang w:eastAsia="pt-PT"/>
        </w:rPr>
        <w:t>o</w:t>
      </w:r>
      <w:r w:rsidR="007F290D">
        <w:rPr>
          <w:rFonts w:ascii="Trebuchet MS" w:hAnsi="Trebuchet MS" w:cs="Arial"/>
          <w:sz w:val="20"/>
          <w:lang w:eastAsia="pt-PT"/>
        </w:rPr>
        <w:t>termia ou</w:t>
      </w:r>
      <w:r w:rsidRPr="003B7012">
        <w:rPr>
          <w:rFonts w:ascii="Trebuchet MS" w:hAnsi="Trebuchet MS" w:cs="Arial"/>
          <w:sz w:val="20"/>
          <w:lang w:eastAsia="pt-PT"/>
        </w:rPr>
        <w:t xml:space="preserve"> </w:t>
      </w:r>
      <w:r w:rsidRPr="003B7012">
        <w:rPr>
          <w:rFonts w:ascii="Trebuchet MS" w:hAnsi="Trebuchet MS" w:cs="Arial"/>
          <w:sz w:val="20"/>
          <w:u w:val="single"/>
          <w:lang w:eastAsia="pt-PT"/>
        </w:rPr>
        <w:t>pré-condicionamento químico</w:t>
      </w:r>
      <w:r w:rsidRPr="003B7012">
        <w:rPr>
          <w:rFonts w:ascii="Trebuchet MS" w:hAnsi="Trebuchet MS" w:cs="Arial"/>
          <w:sz w:val="20"/>
          <w:lang w:eastAsia="pt-PT"/>
        </w:rPr>
        <w:t xml:space="preserve"> através do bloqueio do ciclo de krebs ou da cadeia respiratória, </w:t>
      </w:r>
      <w:r w:rsidR="00CB0AA9">
        <w:rPr>
          <w:rFonts w:ascii="Trebuchet MS" w:hAnsi="Trebuchet MS" w:cs="Arial"/>
          <w:sz w:val="20"/>
          <w:lang w:eastAsia="pt-PT"/>
        </w:rPr>
        <w:t>aplicação de</w:t>
      </w:r>
      <w:r w:rsidRPr="003B7012">
        <w:rPr>
          <w:rFonts w:ascii="Trebuchet MS" w:hAnsi="Trebuchet MS" w:cs="Arial"/>
          <w:sz w:val="20"/>
          <w:lang w:eastAsia="pt-PT"/>
        </w:rPr>
        <w:t xml:space="preserve"> glutamato, ácido linoléico, eritropoietina (ERO), factor de necrose tumoral (TNF), ceramida, </w:t>
      </w:r>
      <w:r w:rsidRPr="003B7012">
        <w:rPr>
          <w:rFonts w:ascii="Trebuchet MS" w:hAnsi="Trebuchet MS" w:cs="Arial"/>
          <w:bCs/>
          <w:sz w:val="20"/>
          <w:lang w:eastAsia="pt-PT"/>
        </w:rPr>
        <w:t>desferroxamina</w:t>
      </w:r>
      <w:r w:rsidRPr="003B7012">
        <w:rPr>
          <w:rFonts w:ascii="Trebuchet MS" w:hAnsi="Trebuchet MS" w:cs="Arial"/>
          <w:sz w:val="20"/>
          <w:lang w:eastAsia="pt-PT"/>
        </w:rPr>
        <w:t xml:space="preserve"> e cobalto, isoflurano, trombina e outros (</w:t>
      </w:r>
      <w:r w:rsidR="004149DC">
        <w:rPr>
          <w:rFonts w:ascii="Trebuchet MS" w:hAnsi="Trebuchet MS" w:cs="Arial"/>
          <w:sz w:val="20"/>
          <w:lang w:eastAsia="pt-PT"/>
        </w:rPr>
        <w:t>Para rev</w:t>
      </w:r>
      <w:r w:rsidR="004149DC">
        <w:rPr>
          <w:rFonts w:ascii="Trebuchet MS" w:hAnsi="Trebuchet MS" w:cs="Arial"/>
          <w:sz w:val="20"/>
          <w:lang w:eastAsia="pt-PT"/>
        </w:rPr>
        <w:t>i</w:t>
      </w:r>
      <w:r w:rsidR="004149DC">
        <w:rPr>
          <w:rFonts w:ascii="Trebuchet MS" w:hAnsi="Trebuchet MS" w:cs="Arial"/>
          <w:sz w:val="20"/>
          <w:lang w:eastAsia="pt-PT"/>
        </w:rPr>
        <w:t>são ver</w:t>
      </w:r>
      <w:r w:rsidRPr="003B7012">
        <w:rPr>
          <w:rFonts w:ascii="Trebuchet MS" w:hAnsi="Trebuchet MS" w:cs="Arial"/>
          <w:sz w:val="20"/>
          <w:lang w:eastAsia="pt-PT"/>
        </w:rPr>
        <w:t xml:space="preserve"> Sharp </w:t>
      </w:r>
      <w:r w:rsidR="00F96813" w:rsidRPr="003B7012">
        <w:rPr>
          <w:rFonts w:ascii="Trebuchet MS" w:hAnsi="Trebuchet MS" w:cs="Arial"/>
          <w:i/>
          <w:sz w:val="20"/>
          <w:lang w:eastAsia="pt-PT"/>
        </w:rPr>
        <w:t>et al.</w:t>
      </w:r>
      <w:r w:rsidRPr="003B7012">
        <w:rPr>
          <w:rFonts w:ascii="Trebuchet MS" w:hAnsi="Trebuchet MS" w:cs="Arial"/>
          <w:sz w:val="20"/>
          <w:lang w:eastAsia="pt-PT"/>
        </w:rPr>
        <w:t>, 2004).</w:t>
      </w:r>
    </w:p>
    <w:p w:rsidR="00CD731F" w:rsidRPr="00751D14" w:rsidRDefault="00CD731F" w:rsidP="00E742A2">
      <w:pPr>
        <w:jc w:val="both"/>
        <w:textAlignment w:val="top"/>
        <w:rPr>
          <w:rFonts w:ascii="Trebuchet MS" w:hAnsi="Trebuchet MS" w:cs="Arial"/>
          <w:lang w:eastAsia="pt-PT"/>
        </w:rPr>
      </w:pPr>
    </w:p>
    <w:p w:rsidR="00CD731F" w:rsidRPr="00547EC2" w:rsidRDefault="00F13311" w:rsidP="00CD731F">
      <w:pPr>
        <w:spacing w:line="480" w:lineRule="auto"/>
        <w:ind w:left="284"/>
        <w:jc w:val="both"/>
        <w:rPr>
          <w:rFonts w:ascii="Trebuchet MS" w:hAnsi="Trebuchet MS"/>
          <w:b/>
          <w:smallCaps/>
          <w:shadow/>
          <w:color w:val="333399"/>
        </w:rPr>
      </w:pPr>
      <w:r>
        <w:rPr>
          <w:rFonts w:ascii="Trebuchet MS" w:hAnsi="Trebuchet MS"/>
          <w:b/>
          <w:shadow/>
          <w:color w:val="333399"/>
        </w:rPr>
        <w:t>1</w:t>
      </w:r>
      <w:r w:rsidR="00CD731F" w:rsidRPr="00547EC2">
        <w:rPr>
          <w:rFonts w:ascii="Trebuchet MS" w:hAnsi="Trebuchet MS"/>
          <w:b/>
          <w:shadow/>
          <w:color w:val="333399"/>
        </w:rPr>
        <w:t xml:space="preserve">.2.1. </w:t>
      </w:r>
      <w:r w:rsidR="00CD731F" w:rsidRPr="00547EC2">
        <w:rPr>
          <w:rFonts w:ascii="Trebuchet MS" w:hAnsi="Trebuchet MS"/>
          <w:b/>
          <w:smallCaps/>
          <w:shadow/>
          <w:color w:val="333399"/>
        </w:rPr>
        <w:t>Pré-condicionamento Isquémico (IPC)</w:t>
      </w:r>
    </w:p>
    <w:p w:rsidR="001A7CEB" w:rsidRPr="003B7012" w:rsidRDefault="00397BD6" w:rsidP="001A7CEB">
      <w:pPr>
        <w:spacing w:line="360" w:lineRule="auto"/>
        <w:ind w:firstLine="709"/>
        <w:jc w:val="both"/>
        <w:rPr>
          <w:rFonts w:ascii="Trebuchet MS" w:eastAsiaTheme="minorHAnsi" w:hAnsi="Trebuchet MS"/>
          <w:sz w:val="20"/>
        </w:rPr>
      </w:pPr>
      <w:r w:rsidRPr="00751D14">
        <w:rPr>
          <w:rFonts w:ascii="Trebuchet MS" w:hAnsi="Trebuchet MS" w:cs="Arial"/>
          <w:lang w:eastAsia="pt-PT"/>
        </w:rPr>
        <w:t xml:space="preserve"> </w:t>
      </w:r>
      <w:r w:rsidR="001A7CEB" w:rsidRPr="003B7012">
        <w:rPr>
          <w:rFonts w:ascii="Trebuchet MS" w:eastAsiaTheme="minorHAnsi" w:hAnsi="Trebuchet MS"/>
          <w:sz w:val="20"/>
        </w:rPr>
        <w:t xml:space="preserve">Numerosos estudos têm demonstrado que breves períodos não neurotóxicos de isquémia são capazes de reduzir os efeitos nocivos perante um insulto isquémico posterior letal (de maior duração) no coração, cérebro e em outros órgãos. Esta protecção endógena desenvolvida é conhecida como pré-condicionamento isquémico (IPC) (Centeno </w:t>
      </w:r>
      <w:r w:rsidR="001A7CEB" w:rsidRPr="003B7012">
        <w:rPr>
          <w:rFonts w:ascii="Trebuchet MS" w:eastAsiaTheme="minorHAnsi" w:hAnsi="Trebuchet MS"/>
          <w:i/>
          <w:sz w:val="20"/>
        </w:rPr>
        <w:t>et al.</w:t>
      </w:r>
      <w:r w:rsidR="001A7CEB" w:rsidRPr="003B7012">
        <w:rPr>
          <w:rFonts w:ascii="Trebuchet MS" w:eastAsiaTheme="minorHAnsi" w:hAnsi="Trebuchet MS"/>
          <w:sz w:val="20"/>
        </w:rPr>
        <w:t xml:space="preserve">, 1999; Dirnagl </w:t>
      </w:r>
      <w:r w:rsidR="001A7CEB" w:rsidRPr="003B7012">
        <w:rPr>
          <w:rFonts w:ascii="Trebuchet MS" w:eastAsiaTheme="minorHAnsi" w:hAnsi="Trebuchet MS"/>
          <w:i/>
          <w:sz w:val="20"/>
        </w:rPr>
        <w:t>et al.</w:t>
      </w:r>
      <w:r w:rsidR="001A7CEB" w:rsidRPr="003B7012">
        <w:rPr>
          <w:rFonts w:ascii="Trebuchet MS" w:eastAsiaTheme="minorHAnsi" w:hAnsi="Trebuchet MS"/>
          <w:sz w:val="20"/>
        </w:rPr>
        <w:t>, 2003;</w:t>
      </w:r>
      <w:r w:rsidR="001A7CEB" w:rsidRPr="003B7012">
        <w:rPr>
          <w:rFonts w:ascii="Trebuchet MS" w:eastAsiaTheme="minorHAnsi" w:hAnsi="Trebuchet MS"/>
          <w:color w:val="CC6600"/>
          <w:sz w:val="16"/>
        </w:rPr>
        <w:t xml:space="preserve"> </w:t>
      </w:r>
      <w:r w:rsidR="001A7CEB" w:rsidRPr="003B7012">
        <w:rPr>
          <w:rFonts w:ascii="Trebuchet MS" w:eastAsiaTheme="minorHAnsi" w:hAnsi="Trebuchet MS"/>
          <w:sz w:val="20"/>
        </w:rPr>
        <w:t xml:space="preserve">Gage and Staton, 1996; Hassen </w:t>
      </w:r>
      <w:r w:rsidR="001A7CEB" w:rsidRPr="003B7012">
        <w:rPr>
          <w:rFonts w:ascii="Trebuchet MS" w:eastAsiaTheme="minorHAnsi" w:hAnsi="Trebuchet MS"/>
          <w:i/>
          <w:sz w:val="20"/>
        </w:rPr>
        <w:t>et al.</w:t>
      </w:r>
      <w:r w:rsidR="001A7CEB" w:rsidRPr="003B7012">
        <w:rPr>
          <w:rFonts w:ascii="Trebuchet MS" w:eastAsiaTheme="minorHAnsi" w:hAnsi="Trebuchet MS"/>
          <w:sz w:val="20"/>
        </w:rPr>
        <w:t xml:space="preserve">, 2004; Pérez-Pinzón </w:t>
      </w:r>
      <w:r w:rsidR="001A7CEB" w:rsidRPr="003B7012">
        <w:rPr>
          <w:rFonts w:ascii="Trebuchet MS" w:eastAsiaTheme="minorHAnsi" w:hAnsi="Trebuchet MS"/>
          <w:i/>
          <w:sz w:val="20"/>
        </w:rPr>
        <w:t>et al.</w:t>
      </w:r>
      <w:r w:rsidR="001A7CEB" w:rsidRPr="003B7012">
        <w:rPr>
          <w:rFonts w:ascii="Trebuchet MS" w:eastAsiaTheme="minorHAnsi" w:hAnsi="Trebuchet MS"/>
          <w:sz w:val="20"/>
        </w:rPr>
        <w:t xml:space="preserve">, 1996; Pérez-Pinzón </w:t>
      </w:r>
      <w:r w:rsidR="001A7CEB" w:rsidRPr="003B7012">
        <w:rPr>
          <w:rFonts w:ascii="Trebuchet MS" w:eastAsiaTheme="minorHAnsi" w:hAnsi="Trebuchet MS"/>
          <w:i/>
          <w:sz w:val="20"/>
        </w:rPr>
        <w:t>et al.</w:t>
      </w:r>
      <w:r w:rsidR="001A7CEB" w:rsidRPr="003B7012">
        <w:rPr>
          <w:rFonts w:ascii="Trebuchet MS" w:eastAsiaTheme="minorHAnsi" w:hAnsi="Trebuchet MS"/>
          <w:sz w:val="20"/>
        </w:rPr>
        <w:t xml:space="preserve">, 1997; Xu </w:t>
      </w:r>
      <w:r w:rsidR="001A7CEB" w:rsidRPr="003B7012">
        <w:rPr>
          <w:rFonts w:ascii="Trebuchet MS" w:eastAsiaTheme="minorHAnsi" w:hAnsi="Trebuchet MS"/>
          <w:i/>
          <w:sz w:val="20"/>
        </w:rPr>
        <w:t>et al.</w:t>
      </w:r>
      <w:r w:rsidR="001A7CEB" w:rsidRPr="003B7012">
        <w:rPr>
          <w:rFonts w:ascii="Trebuchet MS" w:eastAsiaTheme="minorHAnsi" w:hAnsi="Trebuchet MS"/>
          <w:sz w:val="20"/>
        </w:rPr>
        <w:t xml:space="preserve">, 2002; Yuan </w:t>
      </w:r>
      <w:r w:rsidR="001A7CEB" w:rsidRPr="003B7012">
        <w:rPr>
          <w:rFonts w:ascii="Trebuchet MS" w:eastAsiaTheme="minorHAnsi" w:hAnsi="Trebuchet MS"/>
          <w:i/>
          <w:sz w:val="20"/>
        </w:rPr>
        <w:t>et al.</w:t>
      </w:r>
      <w:r w:rsidR="001A7CEB" w:rsidRPr="003B7012">
        <w:rPr>
          <w:rFonts w:ascii="Trebuchet MS" w:eastAsiaTheme="minorHAnsi" w:hAnsi="Trebuchet MS"/>
          <w:sz w:val="20"/>
        </w:rPr>
        <w:t>, 2004).</w:t>
      </w:r>
    </w:p>
    <w:p w:rsidR="001A7CEB" w:rsidRPr="003B7012" w:rsidRDefault="001A7CEB" w:rsidP="001A7CEB">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t xml:space="preserve">O </w:t>
      </w:r>
      <w:r w:rsidRPr="003B7012">
        <w:rPr>
          <w:rFonts w:ascii="Trebuchet MS" w:hAnsi="Trebuchet MS" w:cs="Arial"/>
          <w:sz w:val="20"/>
          <w:u w:val="single"/>
          <w:lang w:eastAsia="pt-PT"/>
        </w:rPr>
        <w:t>pré-condicionamento, através de insultos isquémicos subletais</w:t>
      </w:r>
      <w:r w:rsidRPr="003B7012">
        <w:rPr>
          <w:rFonts w:ascii="Trebuchet MS" w:hAnsi="Trebuchet MS" w:cs="Arial"/>
          <w:sz w:val="20"/>
          <w:lang w:eastAsia="pt-PT"/>
        </w:rPr>
        <w:t>, pode ter um impa</w:t>
      </w:r>
      <w:r w:rsidRPr="003B7012">
        <w:rPr>
          <w:rFonts w:ascii="Trebuchet MS" w:hAnsi="Trebuchet MS" w:cs="Arial"/>
          <w:sz w:val="20"/>
          <w:lang w:eastAsia="pt-PT"/>
        </w:rPr>
        <w:t>c</w:t>
      </w:r>
      <w:r w:rsidRPr="003B7012">
        <w:rPr>
          <w:rFonts w:ascii="Trebuchet MS" w:hAnsi="Trebuchet MS" w:cs="Arial"/>
          <w:sz w:val="20"/>
          <w:lang w:eastAsia="pt-PT"/>
        </w:rPr>
        <w:t>to clínico significativo, uma vez que, certos procedimentos cirúrgicos podem exigir, ou prod</w:t>
      </w:r>
      <w:r w:rsidRPr="003B7012">
        <w:rPr>
          <w:rFonts w:ascii="Trebuchet MS" w:hAnsi="Trebuchet MS" w:cs="Arial"/>
          <w:sz w:val="20"/>
          <w:lang w:eastAsia="pt-PT"/>
        </w:rPr>
        <w:t>u</w:t>
      </w:r>
      <w:r w:rsidRPr="003B7012">
        <w:rPr>
          <w:rFonts w:ascii="Trebuchet MS" w:hAnsi="Trebuchet MS" w:cs="Arial"/>
          <w:sz w:val="20"/>
          <w:lang w:eastAsia="pt-PT"/>
        </w:rPr>
        <w:t xml:space="preserve">zir, vários períodos de isquémia cerebral (Pérez-Pinzón </w:t>
      </w:r>
      <w:r w:rsidRPr="003B7012">
        <w:rPr>
          <w:rFonts w:ascii="Trebuchet MS" w:hAnsi="Trebuchet MS" w:cs="Arial"/>
          <w:i/>
          <w:sz w:val="20"/>
          <w:lang w:eastAsia="pt-PT"/>
        </w:rPr>
        <w:t>et al.</w:t>
      </w:r>
      <w:r w:rsidRPr="003B7012">
        <w:rPr>
          <w:rFonts w:ascii="Trebuchet MS" w:hAnsi="Trebuchet MS" w:cs="Arial"/>
          <w:sz w:val="20"/>
          <w:lang w:eastAsia="pt-PT"/>
        </w:rPr>
        <w:t xml:space="preserve">, 1996). A privação de oxigénio é determinante para a indução de pré-condicionamento (Fernández </w:t>
      </w:r>
      <w:r w:rsidRPr="003B7012">
        <w:rPr>
          <w:rFonts w:ascii="Trebuchet MS" w:hAnsi="Trebuchet MS" w:cs="Arial"/>
          <w:i/>
          <w:sz w:val="20"/>
          <w:lang w:eastAsia="pt-PT"/>
        </w:rPr>
        <w:t>et al.</w:t>
      </w:r>
      <w:r w:rsidRPr="003B7012">
        <w:rPr>
          <w:rFonts w:ascii="Trebuchet MS" w:hAnsi="Trebuchet MS" w:cs="Arial"/>
          <w:sz w:val="20"/>
          <w:lang w:eastAsia="pt-PT"/>
        </w:rPr>
        <w:t xml:space="preserve">, 2008). </w:t>
      </w:r>
      <w:r w:rsidR="008D5382">
        <w:rPr>
          <w:rFonts w:ascii="Trebuchet MS" w:hAnsi="Trebuchet MS" w:cs="Arial"/>
          <w:sz w:val="20"/>
          <w:lang w:eastAsia="pt-PT"/>
        </w:rPr>
        <w:t>Pensa-se que a</w:t>
      </w:r>
      <w:r w:rsidRPr="003B7012">
        <w:rPr>
          <w:rFonts w:ascii="Trebuchet MS" w:hAnsi="Trebuchet MS" w:cs="Arial"/>
          <w:sz w:val="20"/>
          <w:lang w:eastAsia="pt-PT"/>
        </w:rPr>
        <w:t xml:space="preserve"> falha de </w:t>
      </w:r>
      <w:r w:rsidR="008D5382">
        <w:rPr>
          <w:rFonts w:ascii="Trebuchet MS" w:hAnsi="Trebuchet MS" w:cs="Arial"/>
          <w:sz w:val="20"/>
          <w:lang w:eastAsia="pt-PT"/>
        </w:rPr>
        <w:t xml:space="preserve">produção de </w:t>
      </w:r>
      <w:r w:rsidRPr="003B7012">
        <w:rPr>
          <w:rFonts w:ascii="Trebuchet MS" w:hAnsi="Trebuchet MS" w:cs="Arial"/>
          <w:sz w:val="20"/>
          <w:lang w:eastAsia="pt-PT"/>
        </w:rPr>
        <w:t>energia</w:t>
      </w:r>
      <w:r w:rsidR="008D5382">
        <w:rPr>
          <w:rFonts w:ascii="Trebuchet MS" w:hAnsi="Trebuchet MS" w:cs="Arial"/>
          <w:sz w:val="20"/>
          <w:lang w:eastAsia="pt-PT"/>
        </w:rPr>
        <w:t xml:space="preserve"> que</w:t>
      </w:r>
      <w:r w:rsidRPr="003B7012">
        <w:rPr>
          <w:rFonts w:ascii="Trebuchet MS" w:hAnsi="Trebuchet MS" w:cs="Arial"/>
          <w:sz w:val="20"/>
          <w:lang w:eastAsia="pt-PT"/>
        </w:rPr>
        <w:t xml:space="preserve"> ocorre durante a isquémia </w:t>
      </w:r>
      <w:r w:rsidR="00A500AD">
        <w:rPr>
          <w:rFonts w:ascii="Trebuchet MS" w:hAnsi="Trebuchet MS" w:cs="Arial"/>
          <w:sz w:val="20"/>
          <w:lang w:eastAsia="pt-PT"/>
        </w:rPr>
        <w:t>seja o</w:t>
      </w:r>
      <w:r w:rsidRPr="003B7012">
        <w:rPr>
          <w:rFonts w:ascii="Trebuchet MS" w:hAnsi="Trebuchet MS" w:cs="Arial"/>
          <w:sz w:val="20"/>
          <w:lang w:eastAsia="pt-PT"/>
        </w:rPr>
        <w:t xml:space="preserve"> factor chave na indução do pré-condicionamento isquémico (Dirnagl </w:t>
      </w:r>
      <w:r w:rsidRPr="003B7012">
        <w:rPr>
          <w:rFonts w:ascii="Trebuchet MS" w:hAnsi="Trebuchet MS" w:cs="Arial"/>
          <w:i/>
          <w:sz w:val="20"/>
          <w:lang w:eastAsia="pt-PT"/>
        </w:rPr>
        <w:t>et al.</w:t>
      </w:r>
      <w:r w:rsidRPr="003B7012">
        <w:rPr>
          <w:rFonts w:ascii="Trebuchet MS" w:hAnsi="Trebuchet MS" w:cs="Arial"/>
          <w:sz w:val="20"/>
          <w:lang w:eastAsia="pt-PT"/>
        </w:rPr>
        <w:t>, 1993).</w:t>
      </w:r>
    </w:p>
    <w:p w:rsidR="008764E3" w:rsidRPr="003B7012" w:rsidRDefault="00397BD6" w:rsidP="001A7CEB">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t>O IPC tem sido descrito em muitos tecidos, incluindo o coração, cérebro, fígado e tr</w:t>
      </w:r>
      <w:r w:rsidRPr="003B7012">
        <w:rPr>
          <w:rFonts w:ascii="Trebuchet MS" w:hAnsi="Trebuchet MS" w:cs="Arial"/>
          <w:sz w:val="20"/>
          <w:lang w:eastAsia="pt-PT"/>
        </w:rPr>
        <w:t>a</w:t>
      </w:r>
      <w:r w:rsidRPr="003B7012">
        <w:rPr>
          <w:rFonts w:ascii="Trebuchet MS" w:hAnsi="Trebuchet MS" w:cs="Arial"/>
          <w:sz w:val="20"/>
          <w:lang w:eastAsia="pt-PT"/>
        </w:rPr>
        <w:t>to gastrointestinal (</w:t>
      </w:r>
      <w:r w:rsidR="004149DC">
        <w:rPr>
          <w:rFonts w:ascii="Trebuchet MS" w:hAnsi="Trebuchet MS" w:cs="Arial"/>
          <w:sz w:val="20"/>
          <w:lang w:eastAsia="pt-PT"/>
        </w:rPr>
        <w:t>Para revisão ver</w:t>
      </w:r>
      <w:r w:rsidRPr="003B7012">
        <w:rPr>
          <w:rFonts w:ascii="Trebuchet MS" w:hAnsi="Trebuchet MS" w:cs="Arial"/>
          <w:sz w:val="20"/>
          <w:lang w:eastAsia="pt-PT"/>
        </w:rPr>
        <w:t xml:space="preserve"> Huang, 2004).</w:t>
      </w:r>
      <w:r w:rsidR="001A7CEB" w:rsidRPr="003B7012">
        <w:rPr>
          <w:rFonts w:ascii="Trebuchet MS" w:hAnsi="Trebuchet MS" w:cs="Arial"/>
          <w:sz w:val="20"/>
          <w:lang w:eastAsia="pt-PT"/>
        </w:rPr>
        <w:t xml:space="preserve"> </w:t>
      </w:r>
    </w:p>
    <w:p w:rsidR="008D3E63" w:rsidRPr="003B7012" w:rsidRDefault="00862380" w:rsidP="001A7CEB">
      <w:pPr>
        <w:spacing w:line="360" w:lineRule="auto"/>
        <w:ind w:firstLine="708"/>
        <w:jc w:val="both"/>
        <w:textAlignment w:val="top"/>
        <w:rPr>
          <w:rFonts w:ascii="Trebuchet MS" w:eastAsiaTheme="minorHAnsi" w:hAnsi="Trebuchet MS"/>
          <w:sz w:val="20"/>
        </w:rPr>
      </w:pPr>
      <w:r w:rsidRPr="003B7012">
        <w:rPr>
          <w:rFonts w:ascii="Trebuchet MS" w:eastAsiaTheme="minorHAnsi" w:hAnsi="Trebuchet MS"/>
          <w:sz w:val="20"/>
        </w:rPr>
        <w:t>O IPC é uma condição intrínseca de adaptação que resulta em tolerância, em órgãos diferentes, quando são submetidas a leve</w:t>
      </w:r>
      <w:r w:rsidR="006F1E06">
        <w:rPr>
          <w:rFonts w:ascii="Trebuchet MS" w:eastAsiaTheme="minorHAnsi" w:hAnsi="Trebuchet MS"/>
          <w:sz w:val="20"/>
        </w:rPr>
        <w:t>s</w:t>
      </w:r>
      <w:r w:rsidRPr="003B7012">
        <w:rPr>
          <w:rFonts w:ascii="Trebuchet MS" w:eastAsiaTheme="minorHAnsi" w:hAnsi="Trebuchet MS"/>
          <w:sz w:val="20"/>
        </w:rPr>
        <w:t xml:space="preserve"> insultos isquémicos antes de um insulto isquémico letal (</w:t>
      </w:r>
      <w:r w:rsidR="008D3E63" w:rsidRPr="003B7012">
        <w:rPr>
          <w:rFonts w:ascii="Trebuchet MS" w:eastAsiaTheme="minorHAnsi" w:hAnsi="Trebuchet MS"/>
          <w:sz w:val="20"/>
        </w:rPr>
        <w:t>Pérez-Pinzón, 2004;</w:t>
      </w:r>
      <w:r w:rsidRPr="003B7012">
        <w:rPr>
          <w:rFonts w:ascii="Trebuchet MS" w:eastAsiaTheme="minorHAnsi" w:hAnsi="Trebuchet MS"/>
          <w:sz w:val="20"/>
        </w:rPr>
        <w:t xml:space="preserve">Raval </w:t>
      </w:r>
      <w:r w:rsidR="00F96813" w:rsidRPr="003B7012">
        <w:rPr>
          <w:rFonts w:ascii="Trebuchet MS" w:eastAsiaTheme="minorHAnsi" w:hAnsi="Trebuchet MS"/>
          <w:i/>
          <w:sz w:val="20"/>
        </w:rPr>
        <w:t>et al.</w:t>
      </w:r>
      <w:r w:rsidRPr="003B7012">
        <w:rPr>
          <w:rFonts w:ascii="Trebuchet MS" w:eastAsiaTheme="minorHAnsi" w:hAnsi="Trebuchet MS"/>
          <w:sz w:val="20"/>
        </w:rPr>
        <w:t>, 2003).</w:t>
      </w:r>
      <w:r w:rsidR="008D3E63" w:rsidRPr="003B7012">
        <w:rPr>
          <w:rFonts w:ascii="Trebuchet MS" w:eastAsiaTheme="minorHAnsi" w:hAnsi="Trebuchet MS"/>
          <w:sz w:val="20"/>
        </w:rPr>
        <w:t xml:space="preserve"> Vários estudos em animais e humanos demon</w:t>
      </w:r>
      <w:r w:rsidR="008D3E63" w:rsidRPr="003B7012">
        <w:rPr>
          <w:rFonts w:ascii="Trebuchet MS" w:eastAsiaTheme="minorHAnsi" w:hAnsi="Trebuchet MS"/>
          <w:sz w:val="20"/>
        </w:rPr>
        <w:t>s</w:t>
      </w:r>
      <w:r w:rsidR="008D3E63" w:rsidRPr="003B7012">
        <w:rPr>
          <w:rFonts w:ascii="Trebuchet MS" w:eastAsiaTheme="minorHAnsi" w:hAnsi="Trebuchet MS"/>
          <w:sz w:val="20"/>
        </w:rPr>
        <w:t xml:space="preserve">traram claramente a capacidade do IPC para proteger os órgãos contra a lesão isquémica (Dirnagl </w:t>
      </w:r>
      <w:r w:rsidR="00F96813" w:rsidRPr="003B7012">
        <w:rPr>
          <w:rFonts w:ascii="Trebuchet MS" w:eastAsiaTheme="minorHAnsi" w:hAnsi="Trebuchet MS"/>
          <w:i/>
          <w:sz w:val="20"/>
        </w:rPr>
        <w:t>et al.</w:t>
      </w:r>
      <w:r w:rsidR="008D3E63" w:rsidRPr="003B7012">
        <w:rPr>
          <w:rFonts w:ascii="Trebuchet MS" w:eastAsiaTheme="minorHAnsi" w:hAnsi="Trebuchet MS"/>
          <w:sz w:val="20"/>
        </w:rPr>
        <w:t xml:space="preserve">, 2003; Raval </w:t>
      </w:r>
      <w:r w:rsidR="00F96813" w:rsidRPr="003B7012">
        <w:rPr>
          <w:rFonts w:ascii="Trebuchet MS" w:eastAsiaTheme="minorHAnsi" w:hAnsi="Trebuchet MS"/>
          <w:i/>
          <w:sz w:val="20"/>
        </w:rPr>
        <w:t>et al.</w:t>
      </w:r>
      <w:r w:rsidR="008D3E63" w:rsidRPr="003B7012">
        <w:rPr>
          <w:rFonts w:ascii="Trebuchet MS" w:eastAsiaTheme="minorHAnsi" w:hAnsi="Trebuchet MS"/>
          <w:sz w:val="20"/>
        </w:rPr>
        <w:t>, 2006).</w:t>
      </w:r>
    </w:p>
    <w:p w:rsidR="00B24A86" w:rsidRDefault="00562006" w:rsidP="00B24A86">
      <w:pPr>
        <w:spacing w:line="360" w:lineRule="auto"/>
        <w:ind w:firstLine="708"/>
        <w:jc w:val="both"/>
        <w:rPr>
          <w:rFonts w:ascii="Trebuchet MS" w:eastAsiaTheme="minorHAnsi" w:hAnsi="Trebuchet MS" w:cstheme="minorBidi"/>
          <w:sz w:val="20"/>
        </w:rPr>
      </w:pPr>
      <w:r w:rsidRPr="003B7012">
        <w:rPr>
          <w:rFonts w:ascii="Trebuchet MS" w:eastAsiaTheme="minorHAnsi" w:hAnsi="Trebuchet MS" w:cstheme="minorBidi"/>
          <w:sz w:val="20"/>
        </w:rPr>
        <w:lastRenderedPageBreak/>
        <w:t xml:space="preserve">No cérebro, o IPC induz neuroprotecção robusta contra a isquémia na região CA1 do hipocampo em modelos </w:t>
      </w:r>
      <w:r w:rsidR="00194A32" w:rsidRPr="003B7012">
        <w:rPr>
          <w:rFonts w:ascii="Trebuchet MS" w:eastAsiaTheme="minorHAnsi" w:hAnsi="Trebuchet MS" w:cstheme="minorBidi"/>
          <w:i/>
          <w:sz w:val="20"/>
        </w:rPr>
        <w:t>in vivo</w:t>
      </w:r>
      <w:r w:rsidRPr="003B7012">
        <w:rPr>
          <w:rFonts w:ascii="Trebuchet MS" w:eastAsiaTheme="minorHAnsi" w:hAnsi="Trebuchet MS" w:cstheme="minorBidi"/>
          <w:sz w:val="20"/>
        </w:rPr>
        <w:t xml:space="preserve"> e </w:t>
      </w:r>
      <w:proofErr w:type="gramStart"/>
      <w:r w:rsidR="00194A32" w:rsidRPr="003B7012">
        <w:rPr>
          <w:rFonts w:ascii="Trebuchet MS" w:eastAsiaTheme="minorHAnsi" w:hAnsi="Trebuchet MS" w:cstheme="minorBidi"/>
          <w:i/>
          <w:sz w:val="20"/>
        </w:rPr>
        <w:t>in</w:t>
      </w:r>
      <w:r w:rsidR="001A7CEB" w:rsidRPr="003B7012">
        <w:rPr>
          <w:rFonts w:ascii="Trebuchet MS" w:eastAsiaTheme="minorHAnsi" w:hAnsi="Trebuchet MS" w:cstheme="minorBidi"/>
          <w:i/>
          <w:sz w:val="20"/>
        </w:rPr>
        <w:t xml:space="preserve"> </w:t>
      </w:r>
      <w:r w:rsidR="00194A32" w:rsidRPr="003B7012">
        <w:rPr>
          <w:rFonts w:ascii="Trebuchet MS" w:eastAsiaTheme="minorHAnsi" w:hAnsi="Trebuchet MS" w:cstheme="minorBidi"/>
          <w:i/>
          <w:sz w:val="20"/>
        </w:rPr>
        <w:t>vitro</w:t>
      </w:r>
      <w:proofErr w:type="gramEnd"/>
      <w:r w:rsidR="00194A32" w:rsidRPr="003B7012">
        <w:rPr>
          <w:rFonts w:ascii="Trebuchet MS" w:eastAsiaTheme="minorHAnsi" w:hAnsi="Trebuchet MS" w:cstheme="minorBidi"/>
          <w:i/>
          <w:sz w:val="20"/>
        </w:rPr>
        <w:t xml:space="preserve"> </w:t>
      </w:r>
      <w:r w:rsidRPr="003B7012">
        <w:rPr>
          <w:rFonts w:ascii="Trebuchet MS" w:eastAsiaTheme="minorHAnsi" w:hAnsi="Trebuchet MS" w:cstheme="minorBidi"/>
          <w:sz w:val="20"/>
        </w:rPr>
        <w:t xml:space="preserve">(Lange-Assehenfeldt </w:t>
      </w:r>
      <w:r w:rsidR="00F96813" w:rsidRPr="003B7012">
        <w:rPr>
          <w:rFonts w:ascii="Trebuchet MS" w:eastAsiaTheme="minorHAnsi" w:hAnsi="Trebuchet MS" w:cstheme="minorBidi"/>
          <w:i/>
          <w:sz w:val="20"/>
        </w:rPr>
        <w:t>et al.</w:t>
      </w:r>
      <w:r w:rsidRPr="003B7012">
        <w:rPr>
          <w:rFonts w:ascii="Trebuchet MS" w:eastAsiaTheme="minorHAnsi" w:hAnsi="Trebuchet MS" w:cstheme="minorBidi"/>
          <w:sz w:val="20"/>
        </w:rPr>
        <w:t xml:space="preserve">, 2004; Pérez-Pinzón </w:t>
      </w:r>
      <w:r w:rsidR="00F96813" w:rsidRPr="003B7012">
        <w:rPr>
          <w:rFonts w:ascii="Trebuchet MS" w:eastAsiaTheme="minorHAnsi" w:hAnsi="Trebuchet MS" w:cstheme="minorBidi"/>
          <w:i/>
          <w:sz w:val="20"/>
        </w:rPr>
        <w:t>et al.</w:t>
      </w:r>
      <w:r w:rsidRPr="003B7012">
        <w:rPr>
          <w:rFonts w:ascii="Trebuchet MS" w:eastAsiaTheme="minorHAnsi" w:hAnsi="Trebuchet MS" w:cstheme="minorBidi"/>
          <w:i/>
          <w:sz w:val="20"/>
        </w:rPr>
        <w:t>,</w:t>
      </w:r>
      <w:r w:rsidRPr="003B7012">
        <w:rPr>
          <w:rFonts w:ascii="Trebuchet MS" w:eastAsiaTheme="minorHAnsi" w:hAnsi="Trebuchet MS" w:cstheme="minorBidi"/>
          <w:sz w:val="20"/>
        </w:rPr>
        <w:t xml:space="preserve"> 1997; Raval </w:t>
      </w:r>
      <w:r w:rsidR="00F96813" w:rsidRPr="003B7012">
        <w:rPr>
          <w:rFonts w:ascii="Trebuchet MS" w:eastAsiaTheme="minorHAnsi" w:hAnsi="Trebuchet MS" w:cstheme="minorBidi"/>
          <w:i/>
          <w:sz w:val="20"/>
        </w:rPr>
        <w:t>et al.</w:t>
      </w:r>
      <w:r w:rsidRPr="003B7012">
        <w:rPr>
          <w:rFonts w:ascii="Trebuchet MS" w:eastAsiaTheme="minorHAnsi" w:hAnsi="Trebuchet MS" w:cstheme="minorBidi"/>
          <w:i/>
          <w:sz w:val="20"/>
        </w:rPr>
        <w:t>,</w:t>
      </w:r>
      <w:r w:rsidRPr="003B7012">
        <w:rPr>
          <w:rFonts w:ascii="Trebuchet MS" w:eastAsiaTheme="minorHAnsi" w:hAnsi="Trebuchet MS" w:cstheme="minorBidi"/>
          <w:sz w:val="20"/>
        </w:rPr>
        <w:t xml:space="preserve"> 2003)</w:t>
      </w:r>
      <w:r w:rsidR="00EC1DFB" w:rsidRPr="003B7012">
        <w:rPr>
          <w:rFonts w:ascii="Trebuchet MS" w:eastAsiaTheme="minorHAnsi" w:hAnsi="Trebuchet MS" w:cstheme="minorBidi"/>
          <w:sz w:val="20"/>
        </w:rPr>
        <w:t>.</w:t>
      </w:r>
    </w:p>
    <w:p w:rsidR="001542BE" w:rsidRPr="003B7012" w:rsidRDefault="001542BE" w:rsidP="00B24A86">
      <w:pPr>
        <w:spacing w:line="360" w:lineRule="auto"/>
        <w:ind w:firstLine="708"/>
        <w:jc w:val="both"/>
        <w:rPr>
          <w:rFonts w:ascii="Trebuchet MS" w:hAnsi="Trebuchet MS" w:cs="Arial"/>
          <w:sz w:val="20"/>
          <w:lang w:eastAsia="pt-PT"/>
        </w:rPr>
      </w:pPr>
      <w:r w:rsidRPr="003B7012">
        <w:rPr>
          <w:rFonts w:ascii="Trebuchet MS" w:hAnsi="Trebuchet MS" w:cs="Arial"/>
          <w:sz w:val="20"/>
          <w:lang w:eastAsia="pt-PT"/>
        </w:rPr>
        <w:t>A protecção induzida pelo IPC apresenta duas fases temporais</w:t>
      </w:r>
      <w:r w:rsidR="00BF6F89" w:rsidRPr="003B7012">
        <w:rPr>
          <w:rFonts w:ascii="Trebuchet MS" w:hAnsi="Trebuchet MS" w:cs="Arial"/>
          <w:sz w:val="20"/>
          <w:lang w:eastAsia="pt-PT"/>
        </w:rPr>
        <w:t xml:space="preserve"> (Fig. </w:t>
      </w:r>
      <w:r w:rsidR="002F49DB">
        <w:rPr>
          <w:rFonts w:ascii="Trebuchet MS" w:hAnsi="Trebuchet MS" w:cs="Arial"/>
          <w:sz w:val="20"/>
          <w:lang w:eastAsia="pt-PT"/>
        </w:rPr>
        <w:t>1</w:t>
      </w:r>
      <w:r w:rsidR="00BF6F89" w:rsidRPr="003B7012">
        <w:rPr>
          <w:rFonts w:ascii="Trebuchet MS" w:hAnsi="Trebuchet MS" w:cs="Arial"/>
          <w:sz w:val="20"/>
          <w:lang w:eastAsia="pt-PT"/>
        </w:rPr>
        <w:t>.2)</w:t>
      </w:r>
      <w:r w:rsidRPr="003B7012">
        <w:rPr>
          <w:rFonts w:ascii="Trebuchet MS" w:hAnsi="Trebuchet MS" w:cs="Arial"/>
          <w:sz w:val="20"/>
          <w:lang w:eastAsia="pt-PT"/>
        </w:rPr>
        <w:t xml:space="preserve">: </w:t>
      </w:r>
      <w:r w:rsidRPr="003B7012">
        <w:rPr>
          <w:rFonts w:ascii="Trebuchet MS" w:hAnsi="Trebuchet MS" w:cs="Arial"/>
          <w:b/>
          <w:sz w:val="20"/>
          <w:lang w:eastAsia="pt-PT"/>
        </w:rPr>
        <w:t>fase aguda</w:t>
      </w:r>
      <w:r w:rsidRPr="003B7012">
        <w:rPr>
          <w:rFonts w:ascii="Trebuchet MS" w:hAnsi="Trebuchet MS" w:cs="Arial"/>
          <w:sz w:val="20"/>
          <w:lang w:eastAsia="pt-PT"/>
        </w:rPr>
        <w:t xml:space="preserve"> (momentânea e transitória) e </w:t>
      </w:r>
      <w:r w:rsidRPr="003B7012">
        <w:rPr>
          <w:rFonts w:ascii="Trebuchet MS" w:hAnsi="Trebuchet MS" w:cs="Arial"/>
          <w:b/>
          <w:sz w:val="20"/>
          <w:lang w:eastAsia="pt-PT"/>
        </w:rPr>
        <w:t>fase tardia</w:t>
      </w:r>
      <w:r w:rsidRPr="003B7012">
        <w:rPr>
          <w:rFonts w:ascii="Trebuchet MS" w:hAnsi="Trebuchet MS" w:cs="Arial"/>
          <w:sz w:val="20"/>
          <w:lang w:eastAsia="pt-PT"/>
        </w:rPr>
        <w:t xml:space="preserve"> (prolongada) (Atochin </w:t>
      </w:r>
      <w:r w:rsidR="00F96813" w:rsidRPr="003B7012">
        <w:rPr>
          <w:rFonts w:ascii="Trebuchet MS" w:hAnsi="Trebuchet MS" w:cs="Arial"/>
          <w:i/>
          <w:sz w:val="20"/>
          <w:lang w:eastAsia="pt-PT"/>
        </w:rPr>
        <w:t>et al.</w:t>
      </w:r>
      <w:r w:rsidRPr="003B7012">
        <w:rPr>
          <w:rFonts w:ascii="Trebuchet MS" w:hAnsi="Trebuchet MS" w:cs="Arial"/>
          <w:sz w:val="20"/>
          <w:lang w:eastAsia="pt-PT"/>
        </w:rPr>
        <w:t>, 2002), com base no intervalo de tempo decorrido entre os episódios de pré-condicionamento e o insulto isquém</w:t>
      </w:r>
      <w:r w:rsidRPr="003B7012">
        <w:rPr>
          <w:rFonts w:ascii="Trebuchet MS" w:hAnsi="Trebuchet MS" w:cs="Arial"/>
          <w:sz w:val="20"/>
          <w:lang w:eastAsia="pt-PT"/>
        </w:rPr>
        <w:t>i</w:t>
      </w:r>
      <w:r w:rsidRPr="003B7012">
        <w:rPr>
          <w:rFonts w:ascii="Trebuchet MS" w:hAnsi="Trebuchet MS" w:cs="Arial"/>
          <w:sz w:val="20"/>
          <w:lang w:eastAsia="pt-PT"/>
        </w:rPr>
        <w:t>co (</w:t>
      </w:r>
      <w:r w:rsidR="004149DC">
        <w:rPr>
          <w:rFonts w:ascii="Trebuchet MS" w:hAnsi="Trebuchet MS" w:cs="Arial"/>
          <w:sz w:val="20"/>
          <w:lang w:eastAsia="pt-PT"/>
        </w:rPr>
        <w:t>Para revisão ver</w:t>
      </w:r>
      <w:r w:rsidRPr="003B7012">
        <w:rPr>
          <w:rFonts w:ascii="Trebuchet MS" w:hAnsi="Trebuchet MS" w:cs="Arial"/>
          <w:sz w:val="20"/>
          <w:lang w:eastAsia="pt-PT"/>
        </w:rPr>
        <w:t xml:space="preserve"> Huang, 2004).</w:t>
      </w:r>
    </w:p>
    <w:p w:rsidR="001542BE" w:rsidRPr="003B7012" w:rsidRDefault="001542BE" w:rsidP="00E844BA">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t xml:space="preserve">A </w:t>
      </w:r>
      <w:r w:rsidRPr="003B7012">
        <w:rPr>
          <w:rFonts w:ascii="Trebuchet MS" w:hAnsi="Trebuchet MS" w:cs="Arial"/>
          <w:sz w:val="20"/>
          <w:u w:val="single"/>
          <w:lang w:eastAsia="pt-PT"/>
        </w:rPr>
        <w:t>fase aguda</w:t>
      </w:r>
      <w:r w:rsidRPr="003B7012">
        <w:rPr>
          <w:rFonts w:ascii="Trebuchet MS" w:hAnsi="Trebuchet MS" w:cs="Arial"/>
          <w:sz w:val="20"/>
          <w:lang w:eastAsia="pt-PT"/>
        </w:rPr>
        <w:t xml:space="preserve"> aparece poucos minutos após um estímulo pré-condicionante, mantém-se por algumas horas e, geralmente, é mediada por alterações das funções de proteínas que já existem (Atochin </w:t>
      </w:r>
      <w:r w:rsidR="00F96813" w:rsidRPr="003B7012">
        <w:rPr>
          <w:rFonts w:ascii="Trebuchet MS" w:hAnsi="Trebuchet MS" w:cs="Arial"/>
          <w:i/>
          <w:sz w:val="20"/>
          <w:lang w:eastAsia="pt-PT"/>
        </w:rPr>
        <w:t>et al.</w:t>
      </w:r>
      <w:r w:rsidRPr="003B7012">
        <w:rPr>
          <w:rFonts w:ascii="Trebuchet MS" w:hAnsi="Trebuchet MS" w:cs="Arial"/>
          <w:sz w:val="20"/>
          <w:lang w:eastAsia="pt-PT"/>
        </w:rPr>
        <w:t xml:space="preserve">, 2002; Nandagopal </w:t>
      </w:r>
      <w:r w:rsidR="00F96813" w:rsidRPr="003B7012">
        <w:rPr>
          <w:rFonts w:ascii="Trebuchet MS" w:hAnsi="Trebuchet MS" w:cs="Arial"/>
          <w:i/>
          <w:sz w:val="20"/>
          <w:lang w:eastAsia="pt-PT"/>
        </w:rPr>
        <w:t>et al.</w:t>
      </w:r>
      <w:r w:rsidRPr="003B7012">
        <w:rPr>
          <w:rFonts w:ascii="Trebuchet MS" w:hAnsi="Trebuchet MS" w:cs="Arial"/>
          <w:sz w:val="20"/>
          <w:lang w:eastAsia="pt-PT"/>
        </w:rPr>
        <w:t>, 2001)</w:t>
      </w:r>
      <w:r w:rsidR="00E844BA" w:rsidRPr="003B7012">
        <w:rPr>
          <w:rFonts w:ascii="Trebuchet MS" w:hAnsi="Trebuchet MS" w:cs="Arial"/>
          <w:sz w:val="20"/>
          <w:lang w:eastAsia="pt-PT"/>
        </w:rPr>
        <w:t xml:space="preserve"> e não requer a síntese de prote</w:t>
      </w:r>
      <w:r w:rsidR="00E844BA" w:rsidRPr="003B7012">
        <w:rPr>
          <w:rFonts w:ascii="Trebuchet MS" w:hAnsi="Trebuchet MS" w:cs="Arial"/>
          <w:sz w:val="20"/>
          <w:lang w:eastAsia="pt-PT"/>
        </w:rPr>
        <w:t>í</w:t>
      </w:r>
      <w:r w:rsidR="00E844BA" w:rsidRPr="003B7012">
        <w:rPr>
          <w:rFonts w:ascii="Trebuchet MS" w:hAnsi="Trebuchet MS" w:cs="Arial"/>
          <w:sz w:val="20"/>
          <w:lang w:eastAsia="pt-PT"/>
        </w:rPr>
        <w:t>nas</w:t>
      </w:r>
      <w:r w:rsidR="00B24A86">
        <w:rPr>
          <w:rFonts w:ascii="Trebuchet MS" w:hAnsi="Trebuchet MS" w:cs="Arial"/>
          <w:sz w:val="20"/>
          <w:lang w:eastAsia="pt-PT"/>
        </w:rPr>
        <w:t>,</w:t>
      </w:r>
      <w:r w:rsidR="00E844BA" w:rsidRPr="003B7012">
        <w:rPr>
          <w:rFonts w:ascii="Trebuchet MS" w:hAnsi="Trebuchet MS" w:cs="Arial"/>
          <w:sz w:val="20"/>
          <w:lang w:eastAsia="pt-PT"/>
        </w:rPr>
        <w:t xml:space="preserve"> devido </w:t>
      </w:r>
      <w:r w:rsidR="00D004C5" w:rsidRPr="003B7012">
        <w:rPr>
          <w:rFonts w:ascii="Trebuchet MS" w:hAnsi="Trebuchet MS" w:cs="Arial"/>
          <w:sz w:val="20"/>
          <w:lang w:eastAsia="pt-PT"/>
        </w:rPr>
        <w:t xml:space="preserve">ao </w:t>
      </w:r>
      <w:r w:rsidR="00E844BA" w:rsidRPr="003B7012">
        <w:rPr>
          <w:rFonts w:ascii="Trebuchet MS" w:hAnsi="Trebuchet MS" w:cs="Arial"/>
          <w:sz w:val="20"/>
          <w:lang w:eastAsia="pt-PT"/>
        </w:rPr>
        <w:t xml:space="preserve">inicio rápido da neuroprotecção </w:t>
      </w:r>
      <w:r w:rsidR="00E844BA" w:rsidRPr="003B7012">
        <w:rPr>
          <w:rFonts w:ascii="Trebuchet MS" w:hAnsi="Trebuchet MS" w:cs="Garamond-Book"/>
          <w:sz w:val="20"/>
        </w:rPr>
        <w:t xml:space="preserve">(Yuan </w:t>
      </w:r>
      <w:r w:rsidR="00F96813" w:rsidRPr="003B7012">
        <w:rPr>
          <w:rFonts w:ascii="Trebuchet MS" w:hAnsi="Trebuchet MS" w:cs="Garamond-Book"/>
          <w:i/>
          <w:sz w:val="20"/>
        </w:rPr>
        <w:t>et al.</w:t>
      </w:r>
      <w:r w:rsidR="00E844BA" w:rsidRPr="003B7012">
        <w:rPr>
          <w:rFonts w:ascii="Trebuchet MS" w:hAnsi="Trebuchet MS" w:cs="Garamond-Book"/>
          <w:sz w:val="20"/>
        </w:rPr>
        <w:t>, 2004).</w:t>
      </w:r>
    </w:p>
    <w:p w:rsidR="001542BE" w:rsidRPr="003B7012" w:rsidRDefault="001542BE" w:rsidP="001542BE">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t xml:space="preserve">A </w:t>
      </w:r>
      <w:r w:rsidRPr="003B7012">
        <w:rPr>
          <w:rFonts w:ascii="Trebuchet MS" w:hAnsi="Trebuchet MS" w:cs="Arial"/>
          <w:sz w:val="20"/>
          <w:u w:val="single"/>
          <w:lang w:eastAsia="pt-PT"/>
        </w:rPr>
        <w:t>fase tardia</w:t>
      </w:r>
      <w:r w:rsidRPr="003B7012">
        <w:rPr>
          <w:rFonts w:ascii="Trebuchet MS" w:hAnsi="Trebuchet MS" w:cs="Arial"/>
          <w:sz w:val="20"/>
          <w:lang w:eastAsia="pt-PT"/>
        </w:rPr>
        <w:t xml:space="preserve"> desenvolve-se algumas horas após um evento de pré-condicionamento, pode manter-se por vários dias e muitas vezes requer a síntese de novas proteínas (Atochin </w:t>
      </w:r>
      <w:r w:rsidR="00F96813" w:rsidRPr="003B7012">
        <w:rPr>
          <w:rFonts w:ascii="Trebuchet MS" w:hAnsi="Trebuchet MS" w:cs="Arial"/>
          <w:i/>
          <w:sz w:val="20"/>
          <w:lang w:eastAsia="pt-PT"/>
        </w:rPr>
        <w:t>et al.</w:t>
      </w:r>
      <w:r w:rsidRPr="003B7012">
        <w:rPr>
          <w:rFonts w:ascii="Trebuchet MS" w:hAnsi="Trebuchet MS" w:cs="Arial"/>
          <w:sz w:val="20"/>
          <w:lang w:eastAsia="pt-PT"/>
        </w:rPr>
        <w:t xml:space="preserve">, 2002; Nandagopal </w:t>
      </w:r>
      <w:r w:rsidR="00194A32" w:rsidRPr="003B7012">
        <w:rPr>
          <w:rFonts w:ascii="Trebuchet MS" w:hAnsi="Trebuchet MS" w:cs="Arial"/>
          <w:i/>
          <w:sz w:val="20"/>
          <w:lang w:eastAsia="pt-PT"/>
        </w:rPr>
        <w:t xml:space="preserve">et al. </w:t>
      </w:r>
      <w:r w:rsidRPr="003B7012">
        <w:rPr>
          <w:rFonts w:ascii="Trebuchet MS" w:hAnsi="Trebuchet MS" w:cs="Arial"/>
          <w:sz w:val="20"/>
          <w:lang w:eastAsia="pt-PT"/>
        </w:rPr>
        <w:t>2001).</w:t>
      </w:r>
    </w:p>
    <w:p w:rsidR="00BF6F89" w:rsidRPr="00A3247F" w:rsidRDefault="00BF6F89" w:rsidP="00AD23D5">
      <w:pPr>
        <w:spacing w:line="360" w:lineRule="auto"/>
        <w:ind w:firstLine="708"/>
        <w:jc w:val="both"/>
        <w:textAlignment w:val="top"/>
        <w:rPr>
          <w:rFonts w:ascii="Trebuchet MS" w:hAnsi="Trebuchet MS" w:cs="Arial"/>
          <w:sz w:val="18"/>
          <w:szCs w:val="18"/>
          <w:vertAlign w:val="superscript"/>
          <w:lang w:eastAsia="pt-PT"/>
        </w:rPr>
      </w:pPr>
    </w:p>
    <w:p w:rsidR="00BF6F89" w:rsidRPr="00751D14" w:rsidRDefault="00BF6F89" w:rsidP="00A3247F">
      <w:pPr>
        <w:spacing w:line="360" w:lineRule="auto"/>
        <w:jc w:val="center"/>
        <w:textAlignment w:val="top"/>
        <w:rPr>
          <w:rFonts w:ascii="Trebuchet MS" w:hAnsi="Trebuchet MS" w:cs="Arial"/>
          <w:lang w:eastAsia="pt-PT"/>
        </w:rPr>
      </w:pPr>
      <w:r w:rsidRPr="00751D14">
        <w:rPr>
          <w:rFonts w:ascii="Trebuchet MS" w:hAnsi="Trebuchet MS" w:cs="Arial"/>
          <w:noProof/>
          <w:lang w:eastAsia="pt-PT"/>
        </w:rPr>
        <w:drawing>
          <wp:inline distT="0" distB="0" distL="0" distR="0">
            <wp:extent cx="5046525" cy="4555170"/>
            <wp:effectExtent l="19050" t="0" r="1725" b="0"/>
            <wp:docPr id="13"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srcRect l="5093" r="3565"/>
                    <a:stretch>
                      <a:fillRect/>
                    </a:stretch>
                  </pic:blipFill>
                  <pic:spPr bwMode="auto">
                    <a:xfrm>
                      <a:off x="0" y="0"/>
                      <a:ext cx="5046525" cy="4555170"/>
                    </a:xfrm>
                    <a:prstGeom prst="rect">
                      <a:avLst/>
                    </a:prstGeom>
                    <a:noFill/>
                    <a:ln w="9525">
                      <a:noFill/>
                      <a:miter lim="800000"/>
                      <a:headEnd/>
                      <a:tailEnd/>
                    </a:ln>
                  </pic:spPr>
                </pic:pic>
              </a:graphicData>
            </a:graphic>
          </wp:inline>
        </w:drawing>
      </w:r>
    </w:p>
    <w:p w:rsidR="00BF6F89" w:rsidRPr="003B7012" w:rsidRDefault="00383345" w:rsidP="007209B2">
      <w:pPr>
        <w:ind w:firstLine="708"/>
        <w:jc w:val="both"/>
        <w:textAlignment w:val="top"/>
        <w:rPr>
          <w:rFonts w:ascii="Trebuchet MS" w:hAnsi="Trebuchet MS" w:cs="Arial"/>
          <w:sz w:val="18"/>
          <w:szCs w:val="22"/>
          <w:lang w:eastAsia="pt-PT"/>
        </w:rPr>
      </w:pPr>
      <w:r w:rsidRPr="003B7012">
        <w:rPr>
          <w:rFonts w:ascii="Trebuchet MS" w:hAnsi="Trebuchet MS" w:cs="Arial"/>
          <w:sz w:val="18"/>
          <w:lang w:eastAsia="pt-PT"/>
        </w:rPr>
        <w:t xml:space="preserve"> Fig. </w:t>
      </w:r>
      <w:r w:rsidR="002441ED">
        <w:rPr>
          <w:rFonts w:ascii="Trebuchet MS" w:hAnsi="Trebuchet MS" w:cs="Arial"/>
          <w:sz w:val="18"/>
          <w:lang w:eastAsia="pt-PT"/>
        </w:rPr>
        <w:t>1</w:t>
      </w:r>
      <w:r w:rsidRPr="003B7012">
        <w:rPr>
          <w:rFonts w:ascii="Trebuchet MS" w:hAnsi="Trebuchet MS" w:cs="Arial"/>
          <w:sz w:val="18"/>
          <w:lang w:eastAsia="pt-PT"/>
        </w:rPr>
        <w:t xml:space="preserve">.2. Mediadores de neuroprotecção e tolerância. O pré-condicionamento isquémico ocorre </w:t>
      </w:r>
      <w:r w:rsidRPr="003B7012">
        <w:rPr>
          <w:rFonts w:ascii="Trebuchet MS" w:hAnsi="Trebuchet MS" w:cs="Arial"/>
          <w:sz w:val="18"/>
          <w:szCs w:val="22"/>
          <w:lang w:eastAsia="pt-PT"/>
        </w:rPr>
        <w:t>em duas fases temporais distintas: aguda e tardia. A estimulação dos</w:t>
      </w:r>
      <w:r w:rsidR="008764E3" w:rsidRPr="003B7012">
        <w:rPr>
          <w:rFonts w:ascii="Trebuchet MS" w:hAnsi="Trebuchet MS" w:cs="Arial"/>
          <w:sz w:val="18"/>
          <w:szCs w:val="22"/>
          <w:lang w:eastAsia="pt-PT"/>
        </w:rPr>
        <w:t xml:space="preserve"> </w:t>
      </w:r>
      <w:r w:rsidRPr="003B7012">
        <w:rPr>
          <w:rFonts w:ascii="Trebuchet MS" w:hAnsi="Trebuchet MS" w:cs="Arial"/>
          <w:sz w:val="18"/>
          <w:szCs w:val="22"/>
          <w:lang w:eastAsia="pt-PT"/>
        </w:rPr>
        <w:t>A</w:t>
      </w:r>
      <w:r w:rsidRPr="00B24A86">
        <w:rPr>
          <w:rFonts w:ascii="Trebuchet MS" w:hAnsi="Trebuchet MS" w:cs="Arial"/>
          <w:sz w:val="18"/>
          <w:szCs w:val="22"/>
          <w:vertAlign w:val="subscript"/>
          <w:lang w:eastAsia="pt-PT"/>
        </w:rPr>
        <w:t>1</w:t>
      </w:r>
      <w:r w:rsidRPr="003B7012">
        <w:rPr>
          <w:rFonts w:ascii="Trebuchet MS" w:hAnsi="Trebuchet MS" w:cs="Arial"/>
          <w:sz w:val="18"/>
          <w:szCs w:val="22"/>
          <w:lang w:eastAsia="pt-PT"/>
        </w:rPr>
        <w:t>R</w:t>
      </w:r>
      <w:r w:rsidR="00B24A86">
        <w:rPr>
          <w:rFonts w:ascii="Trebuchet MS" w:hAnsi="Trebuchet MS" w:cs="Arial"/>
          <w:sz w:val="18"/>
          <w:szCs w:val="22"/>
          <w:lang w:eastAsia="pt-PT"/>
        </w:rPr>
        <w:t>s</w:t>
      </w:r>
      <w:r w:rsidRPr="003B7012">
        <w:rPr>
          <w:rFonts w:ascii="Trebuchet MS" w:hAnsi="Trebuchet MS" w:cs="Arial"/>
          <w:sz w:val="18"/>
          <w:szCs w:val="22"/>
          <w:lang w:eastAsia="pt-PT"/>
        </w:rPr>
        <w:t xml:space="preserve"> e A</w:t>
      </w:r>
      <w:r w:rsidRPr="00B24A86">
        <w:rPr>
          <w:rFonts w:ascii="Trebuchet MS" w:hAnsi="Trebuchet MS" w:cs="Arial"/>
          <w:sz w:val="18"/>
          <w:szCs w:val="22"/>
          <w:vertAlign w:val="subscript"/>
          <w:lang w:eastAsia="pt-PT"/>
        </w:rPr>
        <w:t>3</w:t>
      </w:r>
      <w:r w:rsidRPr="003B7012">
        <w:rPr>
          <w:rFonts w:ascii="Trebuchet MS" w:hAnsi="Trebuchet MS" w:cs="Arial"/>
          <w:sz w:val="18"/>
          <w:szCs w:val="22"/>
          <w:lang w:eastAsia="pt-PT"/>
        </w:rPr>
        <w:t>R</w:t>
      </w:r>
      <w:r w:rsidR="00B24A86">
        <w:rPr>
          <w:rFonts w:ascii="Trebuchet MS" w:hAnsi="Trebuchet MS" w:cs="Arial"/>
          <w:sz w:val="18"/>
          <w:szCs w:val="22"/>
          <w:lang w:eastAsia="pt-PT"/>
        </w:rPr>
        <w:t>s</w:t>
      </w:r>
      <w:r w:rsidRPr="003B7012">
        <w:rPr>
          <w:rFonts w:ascii="Trebuchet MS" w:hAnsi="Trebuchet MS" w:cs="Arial"/>
          <w:sz w:val="18"/>
          <w:szCs w:val="22"/>
          <w:lang w:eastAsia="pt-PT"/>
        </w:rPr>
        <w:t xml:space="preserve"> resulta</w:t>
      </w:r>
      <w:r w:rsidR="008764E3" w:rsidRPr="003B7012">
        <w:rPr>
          <w:rFonts w:ascii="Trebuchet MS" w:hAnsi="Trebuchet MS" w:cs="Arial"/>
          <w:sz w:val="18"/>
          <w:szCs w:val="22"/>
          <w:lang w:eastAsia="pt-PT"/>
        </w:rPr>
        <w:t>m</w:t>
      </w:r>
      <w:r w:rsidRPr="003B7012">
        <w:rPr>
          <w:rFonts w:ascii="Trebuchet MS" w:hAnsi="Trebuchet MS" w:cs="Arial"/>
          <w:sz w:val="18"/>
          <w:szCs w:val="22"/>
          <w:lang w:eastAsia="pt-PT"/>
        </w:rPr>
        <w:t xml:space="preserve"> na activação da PKC</w:t>
      </w:r>
      <w:r w:rsidR="000151B3">
        <w:rPr>
          <w:rFonts w:ascii="Trebuchet MS" w:hAnsi="Trebuchet MS" w:cs="Arial"/>
          <w:caps/>
          <w:sz w:val="18"/>
          <w:szCs w:val="22"/>
          <w:lang w:eastAsia="pt-PT"/>
        </w:rPr>
        <w:sym w:font="Symbol" w:char="F065"/>
      </w:r>
      <w:r w:rsidRPr="003B7012">
        <w:rPr>
          <w:rFonts w:ascii="Trebuchet MS" w:hAnsi="Trebuchet MS" w:cs="Arial"/>
          <w:sz w:val="18"/>
          <w:szCs w:val="22"/>
          <w:lang w:eastAsia="pt-PT"/>
        </w:rPr>
        <w:t>, p38 MAPK, bem como, na abertura dos canais de K</w:t>
      </w:r>
      <w:r w:rsidRPr="003B7012">
        <w:rPr>
          <w:rFonts w:ascii="Trebuchet MS" w:hAnsi="Trebuchet MS" w:cs="Arial"/>
          <w:sz w:val="18"/>
          <w:szCs w:val="22"/>
          <w:vertAlign w:val="subscript"/>
          <w:lang w:eastAsia="pt-PT"/>
        </w:rPr>
        <w:t>ATP</w:t>
      </w:r>
      <w:r w:rsidRPr="003B7012">
        <w:rPr>
          <w:rFonts w:ascii="Trebuchet MS" w:hAnsi="Trebuchet MS" w:cs="Arial"/>
          <w:sz w:val="18"/>
          <w:szCs w:val="22"/>
          <w:lang w:eastAsia="pt-PT"/>
        </w:rPr>
        <w:t xml:space="preserve"> na fase aguda. NO a partir de activação da eNOS também contribuiu para a regulação dos canais de K</w:t>
      </w:r>
      <w:r w:rsidRPr="003B7012">
        <w:rPr>
          <w:rFonts w:ascii="Trebuchet MS" w:hAnsi="Trebuchet MS" w:cs="Arial"/>
          <w:sz w:val="18"/>
          <w:szCs w:val="22"/>
          <w:vertAlign w:val="subscript"/>
          <w:lang w:eastAsia="pt-PT"/>
        </w:rPr>
        <w:t>ATP</w:t>
      </w:r>
      <w:r w:rsidRPr="003B7012">
        <w:rPr>
          <w:rFonts w:ascii="Trebuchet MS" w:hAnsi="Trebuchet MS" w:cs="Arial"/>
          <w:sz w:val="18"/>
          <w:szCs w:val="22"/>
          <w:lang w:eastAsia="pt-PT"/>
        </w:rPr>
        <w:t>.</w:t>
      </w:r>
      <w:r w:rsidR="00C33426" w:rsidRPr="003B7012">
        <w:rPr>
          <w:rFonts w:ascii="Trebuchet MS" w:hAnsi="Trebuchet MS" w:cs="Arial"/>
          <w:sz w:val="18"/>
          <w:szCs w:val="22"/>
          <w:lang w:eastAsia="pt-PT"/>
        </w:rPr>
        <w:t xml:space="preserve"> </w:t>
      </w:r>
      <w:r w:rsidRPr="003B7012">
        <w:rPr>
          <w:rFonts w:ascii="Trebuchet MS" w:hAnsi="Trebuchet MS" w:cs="Arial"/>
          <w:sz w:val="18"/>
          <w:szCs w:val="22"/>
          <w:lang w:eastAsia="pt-PT"/>
        </w:rPr>
        <w:t>A fase tardia de pré-condicionamento pode envolver activação da PKC</w:t>
      </w:r>
      <w:r w:rsidR="000151B3">
        <w:rPr>
          <w:rFonts w:ascii="Trebuchet MS" w:hAnsi="Trebuchet MS" w:cs="Arial"/>
          <w:sz w:val="18"/>
          <w:szCs w:val="22"/>
          <w:lang w:eastAsia="pt-PT"/>
        </w:rPr>
        <w:sym w:font="Symbol" w:char="F065"/>
      </w:r>
      <w:r w:rsidRPr="003B7012">
        <w:rPr>
          <w:rFonts w:ascii="Trebuchet MS" w:hAnsi="Trebuchet MS" w:cs="Arial"/>
          <w:sz w:val="18"/>
          <w:szCs w:val="22"/>
          <w:lang w:eastAsia="pt-PT"/>
        </w:rPr>
        <w:t xml:space="preserve"> a partir dos AR</w:t>
      </w:r>
      <w:r w:rsidR="000151B3">
        <w:rPr>
          <w:rFonts w:ascii="Trebuchet MS" w:hAnsi="Trebuchet MS" w:cs="Arial"/>
          <w:sz w:val="18"/>
          <w:szCs w:val="22"/>
          <w:lang w:eastAsia="pt-PT"/>
        </w:rPr>
        <w:t>s</w:t>
      </w:r>
      <w:r w:rsidRPr="003B7012">
        <w:rPr>
          <w:rFonts w:ascii="Trebuchet MS" w:hAnsi="Trebuchet MS" w:cs="Arial"/>
          <w:sz w:val="18"/>
          <w:szCs w:val="22"/>
          <w:lang w:eastAsia="pt-PT"/>
        </w:rPr>
        <w:t xml:space="preserve">, </w:t>
      </w:r>
      <w:r w:rsidR="007209B2" w:rsidRPr="003B7012">
        <w:rPr>
          <w:rFonts w:ascii="Trebuchet MS" w:hAnsi="Trebuchet MS" w:cs="Arial"/>
          <w:sz w:val="18"/>
          <w:szCs w:val="22"/>
          <w:lang w:eastAsia="pt-PT"/>
        </w:rPr>
        <w:t xml:space="preserve">eNOS </w:t>
      </w:r>
      <w:r w:rsidRPr="003B7012">
        <w:rPr>
          <w:rFonts w:ascii="Trebuchet MS" w:hAnsi="Trebuchet MS" w:cs="Arial"/>
          <w:sz w:val="18"/>
          <w:szCs w:val="22"/>
          <w:lang w:eastAsia="pt-PT"/>
        </w:rPr>
        <w:t>forma</w:t>
      </w:r>
      <w:r w:rsidR="000151B3">
        <w:rPr>
          <w:rFonts w:ascii="Trebuchet MS" w:hAnsi="Trebuchet MS" w:cs="Arial"/>
          <w:sz w:val="18"/>
          <w:szCs w:val="22"/>
          <w:lang w:eastAsia="pt-PT"/>
        </w:rPr>
        <w:t xml:space="preserve"> NO</w:t>
      </w:r>
      <w:r w:rsidRPr="003B7012">
        <w:rPr>
          <w:rFonts w:ascii="Trebuchet MS" w:hAnsi="Trebuchet MS" w:cs="Arial"/>
          <w:sz w:val="18"/>
          <w:szCs w:val="22"/>
          <w:lang w:eastAsia="pt-PT"/>
        </w:rPr>
        <w:t>, e peroxinitrito (ONOO</w:t>
      </w:r>
      <w:r w:rsidR="007209B2" w:rsidRPr="003B7012">
        <w:rPr>
          <w:rFonts w:ascii="Trebuchet MS" w:hAnsi="Trebuchet MS" w:cs="Arial"/>
          <w:sz w:val="18"/>
          <w:szCs w:val="22"/>
          <w:vertAlign w:val="superscript"/>
          <w:lang w:eastAsia="pt-PT"/>
        </w:rPr>
        <w:t>-</w:t>
      </w:r>
      <w:r w:rsidRPr="003B7012">
        <w:rPr>
          <w:rFonts w:ascii="Trebuchet MS" w:hAnsi="Trebuchet MS" w:cs="Arial"/>
          <w:sz w:val="18"/>
          <w:szCs w:val="22"/>
          <w:lang w:eastAsia="pt-PT"/>
        </w:rPr>
        <w:t xml:space="preserve">) </w:t>
      </w:r>
      <w:r w:rsidR="000151B3">
        <w:rPr>
          <w:rFonts w:ascii="Trebuchet MS" w:hAnsi="Trebuchet MS" w:cs="Arial"/>
          <w:sz w:val="18"/>
          <w:szCs w:val="22"/>
          <w:lang w:eastAsia="pt-PT"/>
        </w:rPr>
        <w:t xml:space="preserve">o qual </w:t>
      </w:r>
      <w:r w:rsidRPr="003B7012">
        <w:rPr>
          <w:rFonts w:ascii="Trebuchet MS" w:hAnsi="Trebuchet MS" w:cs="Arial"/>
          <w:sz w:val="18"/>
          <w:szCs w:val="22"/>
          <w:lang w:eastAsia="pt-PT"/>
        </w:rPr>
        <w:t>pode a</w:t>
      </w:r>
      <w:r w:rsidR="007209B2" w:rsidRPr="003B7012">
        <w:rPr>
          <w:rFonts w:ascii="Trebuchet MS" w:hAnsi="Trebuchet MS" w:cs="Arial"/>
          <w:sz w:val="18"/>
          <w:szCs w:val="22"/>
          <w:lang w:eastAsia="pt-PT"/>
        </w:rPr>
        <w:t>ctivar</w:t>
      </w:r>
      <w:r w:rsidRPr="003B7012">
        <w:rPr>
          <w:rFonts w:ascii="Trebuchet MS" w:hAnsi="Trebuchet MS" w:cs="Arial"/>
          <w:sz w:val="18"/>
          <w:szCs w:val="22"/>
          <w:lang w:eastAsia="pt-PT"/>
        </w:rPr>
        <w:t xml:space="preserve"> </w:t>
      </w:r>
      <w:r w:rsidR="000151B3">
        <w:rPr>
          <w:rFonts w:ascii="Trebuchet MS" w:hAnsi="Trebuchet MS" w:cs="Arial"/>
          <w:sz w:val="18"/>
          <w:szCs w:val="22"/>
          <w:lang w:eastAsia="pt-PT"/>
        </w:rPr>
        <w:t xml:space="preserve">também a </w:t>
      </w:r>
      <w:r w:rsidRPr="003B7012">
        <w:rPr>
          <w:rFonts w:ascii="Trebuchet MS" w:hAnsi="Trebuchet MS" w:cs="Arial"/>
          <w:sz w:val="18"/>
          <w:szCs w:val="22"/>
          <w:lang w:eastAsia="pt-PT"/>
        </w:rPr>
        <w:t xml:space="preserve">PKC. </w:t>
      </w:r>
      <w:r w:rsidR="000151B3">
        <w:rPr>
          <w:rFonts w:ascii="Trebuchet MS" w:hAnsi="Trebuchet MS" w:cs="Arial"/>
          <w:sz w:val="18"/>
          <w:szCs w:val="22"/>
          <w:lang w:eastAsia="pt-PT"/>
        </w:rPr>
        <w:t xml:space="preserve">A </w:t>
      </w:r>
      <w:r w:rsidRPr="003B7012">
        <w:rPr>
          <w:rFonts w:ascii="Trebuchet MS" w:hAnsi="Trebuchet MS" w:cs="Arial"/>
          <w:sz w:val="18"/>
          <w:szCs w:val="22"/>
          <w:lang w:eastAsia="pt-PT"/>
        </w:rPr>
        <w:t>PKC</w:t>
      </w:r>
      <w:r w:rsidR="000151B3">
        <w:rPr>
          <w:rFonts w:ascii="Trebuchet MS" w:hAnsi="Trebuchet MS" w:cs="Arial"/>
          <w:sz w:val="18"/>
          <w:szCs w:val="22"/>
          <w:lang w:eastAsia="pt-PT"/>
        </w:rPr>
        <w:sym w:font="Symbol" w:char="F065"/>
      </w:r>
      <w:r w:rsidRPr="003B7012">
        <w:rPr>
          <w:rFonts w:ascii="Trebuchet MS" w:hAnsi="Trebuchet MS" w:cs="Arial"/>
          <w:sz w:val="18"/>
          <w:szCs w:val="22"/>
          <w:lang w:eastAsia="pt-PT"/>
        </w:rPr>
        <w:t xml:space="preserve"> envolve uma complexa cascata de sinalização</w:t>
      </w:r>
      <w:r w:rsidR="007209B2" w:rsidRPr="003B7012">
        <w:rPr>
          <w:rFonts w:ascii="Trebuchet MS" w:hAnsi="Trebuchet MS" w:cs="Arial"/>
          <w:sz w:val="18"/>
          <w:szCs w:val="22"/>
          <w:lang w:eastAsia="pt-PT"/>
        </w:rPr>
        <w:t xml:space="preserve"> (Adaptado de Nandagopal </w:t>
      </w:r>
      <w:r w:rsidR="00F96813" w:rsidRPr="003B7012">
        <w:rPr>
          <w:rFonts w:ascii="Trebuchet MS" w:hAnsi="Trebuchet MS" w:cs="Arial"/>
          <w:i/>
          <w:sz w:val="18"/>
          <w:szCs w:val="22"/>
          <w:lang w:eastAsia="pt-PT"/>
        </w:rPr>
        <w:t>et al.</w:t>
      </w:r>
      <w:r w:rsidR="007209B2" w:rsidRPr="003B7012">
        <w:rPr>
          <w:rFonts w:ascii="Trebuchet MS" w:hAnsi="Trebuchet MS" w:cs="Arial"/>
          <w:sz w:val="18"/>
          <w:szCs w:val="22"/>
          <w:lang w:eastAsia="pt-PT"/>
        </w:rPr>
        <w:t>, 2001)</w:t>
      </w:r>
      <w:r w:rsidR="00C33426" w:rsidRPr="003B7012">
        <w:rPr>
          <w:rFonts w:ascii="Trebuchet MS" w:hAnsi="Trebuchet MS" w:cs="Arial"/>
          <w:sz w:val="18"/>
          <w:szCs w:val="22"/>
          <w:lang w:eastAsia="pt-PT"/>
        </w:rPr>
        <w:t>.</w:t>
      </w:r>
    </w:p>
    <w:p w:rsidR="00613DCE" w:rsidRPr="003B7012" w:rsidRDefault="00613DCE" w:rsidP="00613DCE">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lastRenderedPageBreak/>
        <w:t>A protecção conferida pelo IPC tardio dura mais tempo do que o IPC agudo. Em muitos modelos de IPC tardio, a síntese de novas proteínas é necessária, o que sugere que as subs</w:t>
      </w:r>
      <w:r w:rsidRPr="003B7012">
        <w:rPr>
          <w:rFonts w:ascii="Trebuchet MS" w:hAnsi="Trebuchet MS" w:cs="Arial"/>
          <w:sz w:val="20"/>
          <w:lang w:eastAsia="pt-PT"/>
        </w:rPr>
        <w:t>e</w:t>
      </w:r>
      <w:r w:rsidRPr="003B7012">
        <w:rPr>
          <w:rFonts w:ascii="Trebuchet MS" w:hAnsi="Trebuchet MS" w:cs="Arial"/>
          <w:sz w:val="20"/>
          <w:lang w:eastAsia="pt-PT"/>
        </w:rPr>
        <w:t>quentes alterações na expressão g</w:t>
      </w:r>
      <w:r w:rsidR="0090305D">
        <w:rPr>
          <w:rFonts w:ascii="Trebuchet MS" w:hAnsi="Trebuchet MS" w:cs="Arial"/>
          <w:sz w:val="20"/>
          <w:lang w:eastAsia="pt-PT"/>
        </w:rPr>
        <w:t>enética</w:t>
      </w:r>
      <w:r w:rsidRPr="003B7012">
        <w:rPr>
          <w:rFonts w:ascii="Trebuchet MS" w:hAnsi="Trebuchet MS" w:cs="Arial"/>
          <w:sz w:val="20"/>
          <w:lang w:eastAsia="pt-PT"/>
        </w:rPr>
        <w:t xml:space="preserve"> são a razão pela demora do IPC de fase tardia. No entanto, é evidente que algumas alterações na expressão g</w:t>
      </w:r>
      <w:r w:rsidR="0090305D">
        <w:rPr>
          <w:rFonts w:ascii="Trebuchet MS" w:hAnsi="Trebuchet MS" w:cs="Arial"/>
          <w:sz w:val="20"/>
          <w:lang w:eastAsia="pt-PT"/>
        </w:rPr>
        <w:t>enética</w:t>
      </w:r>
      <w:r w:rsidRPr="003B7012">
        <w:rPr>
          <w:rFonts w:ascii="Trebuchet MS" w:hAnsi="Trebuchet MS" w:cs="Arial"/>
          <w:sz w:val="20"/>
          <w:lang w:eastAsia="pt-PT"/>
        </w:rPr>
        <w:t xml:space="preserve"> ocorrem extremamente rápido, por isso, pode haver uma considerável sobreposição nos mecanismos de IPC de fase aguda e tardia, coincidindo entre si no desenvolvimento de neuroprotecção – tolerância isquémica (Atochin </w:t>
      </w:r>
      <w:r w:rsidRPr="003B7012">
        <w:rPr>
          <w:rFonts w:ascii="Trebuchet MS" w:hAnsi="Trebuchet MS" w:cs="Arial"/>
          <w:i/>
          <w:sz w:val="20"/>
          <w:lang w:eastAsia="pt-PT"/>
        </w:rPr>
        <w:t>et al.</w:t>
      </w:r>
      <w:r w:rsidRPr="003B7012">
        <w:rPr>
          <w:rFonts w:ascii="Trebuchet MS" w:hAnsi="Trebuchet MS" w:cs="Arial"/>
          <w:sz w:val="20"/>
          <w:lang w:eastAsia="pt-PT"/>
        </w:rPr>
        <w:t xml:space="preserve">, 2002; </w:t>
      </w:r>
      <w:r w:rsidR="004149DC">
        <w:rPr>
          <w:rFonts w:ascii="Trebuchet MS" w:hAnsi="Trebuchet MS" w:cs="Arial"/>
          <w:sz w:val="20"/>
          <w:lang w:eastAsia="pt-PT"/>
        </w:rPr>
        <w:t>Para revisão ver</w:t>
      </w:r>
      <w:r w:rsidRPr="003B7012">
        <w:rPr>
          <w:rFonts w:ascii="Trebuchet MS" w:hAnsi="Trebuchet MS" w:cs="Arial"/>
          <w:sz w:val="20"/>
          <w:lang w:eastAsia="pt-PT"/>
        </w:rPr>
        <w:t xml:space="preserve"> Huang, 2004). </w:t>
      </w:r>
    </w:p>
    <w:p w:rsidR="00613DCE" w:rsidRPr="003B7012" w:rsidRDefault="00613DCE" w:rsidP="007209B2">
      <w:pPr>
        <w:spacing w:line="360" w:lineRule="auto"/>
        <w:jc w:val="both"/>
        <w:textAlignment w:val="top"/>
        <w:rPr>
          <w:rFonts w:ascii="Trebuchet MS" w:hAnsi="Trebuchet MS" w:cs="Arial"/>
          <w:sz w:val="20"/>
          <w:lang w:eastAsia="pt-PT"/>
        </w:rPr>
      </w:pPr>
    </w:p>
    <w:p w:rsidR="00A9711D" w:rsidRPr="003B7012" w:rsidRDefault="00A9711D" w:rsidP="00A9711D">
      <w:pPr>
        <w:autoSpaceDE w:val="0"/>
        <w:autoSpaceDN w:val="0"/>
        <w:adjustRightInd w:val="0"/>
        <w:rPr>
          <w:rFonts w:ascii="Trebuchet MS" w:eastAsiaTheme="minorHAnsi" w:hAnsi="Trebuchet MS" w:cs="AdvTT5843c571"/>
          <w:b/>
          <w:smallCaps/>
          <w:shadow/>
          <w:sz w:val="20"/>
          <w:u w:val="single"/>
        </w:rPr>
      </w:pPr>
      <w:r w:rsidRPr="003B7012">
        <w:rPr>
          <w:rFonts w:ascii="Trebuchet MS" w:hAnsi="Trebuchet MS" w:cs="Arial"/>
          <w:sz w:val="20"/>
          <w:lang w:eastAsia="pt-PT"/>
        </w:rPr>
        <w:sym w:font="Wingdings" w:char="F0D6"/>
      </w:r>
      <w:r w:rsidRPr="003B7012">
        <w:rPr>
          <w:rFonts w:ascii="Trebuchet MS" w:eastAsiaTheme="minorHAnsi" w:hAnsi="Trebuchet MS" w:cs="AdvTT5843c571"/>
          <w:b/>
          <w:smallCaps/>
          <w:shadow/>
          <w:sz w:val="20"/>
          <w:u w:val="single"/>
        </w:rPr>
        <w:t xml:space="preserve"> Estudos </w:t>
      </w:r>
      <w:r w:rsidR="00203171">
        <w:rPr>
          <w:rFonts w:ascii="Trebuchet MS" w:eastAsiaTheme="minorHAnsi" w:hAnsi="Trebuchet MS" w:cs="AdvTT5843c571"/>
          <w:b/>
          <w:smallCaps/>
          <w:shadow/>
          <w:sz w:val="20"/>
          <w:u w:val="single"/>
        </w:rPr>
        <w:t>Prévios</w:t>
      </w:r>
      <w:r w:rsidRPr="003B7012">
        <w:rPr>
          <w:rFonts w:ascii="Trebuchet MS" w:eastAsiaTheme="minorHAnsi" w:hAnsi="Trebuchet MS" w:cs="AdvTT5843c571"/>
          <w:b/>
          <w:smallCaps/>
          <w:shadow/>
          <w:sz w:val="20"/>
          <w:u w:val="single"/>
        </w:rPr>
        <w:t xml:space="preserve"> sobre IPC </w:t>
      </w:r>
    </w:p>
    <w:p w:rsidR="00A9711D" w:rsidRPr="003B7012" w:rsidRDefault="00A9711D" w:rsidP="00A9711D">
      <w:pPr>
        <w:autoSpaceDE w:val="0"/>
        <w:autoSpaceDN w:val="0"/>
        <w:adjustRightInd w:val="0"/>
        <w:rPr>
          <w:rFonts w:ascii="Trebuchet MS" w:eastAsiaTheme="minorHAnsi" w:hAnsi="Trebuchet MS"/>
          <w:b/>
          <w:smallCaps/>
          <w:shadow/>
          <w:color w:val="CC6600"/>
          <w:sz w:val="18"/>
          <w:szCs w:val="20"/>
          <w:u w:val="single"/>
        </w:rPr>
      </w:pPr>
    </w:p>
    <w:p w:rsidR="00336BBA" w:rsidRPr="003B7012" w:rsidRDefault="009D46CF" w:rsidP="009D46CF">
      <w:pPr>
        <w:spacing w:line="360" w:lineRule="auto"/>
        <w:ind w:firstLine="708"/>
        <w:jc w:val="both"/>
        <w:textAlignment w:val="top"/>
        <w:rPr>
          <w:rFonts w:ascii="Trebuchet MS" w:hAnsi="Trebuchet MS" w:cs="Arial"/>
          <w:sz w:val="20"/>
          <w:lang w:eastAsia="pt-PT"/>
        </w:rPr>
      </w:pPr>
      <w:r w:rsidRPr="003B7012">
        <w:rPr>
          <w:rFonts w:ascii="Trebuchet MS" w:hAnsi="Trebuchet MS" w:cs="Arial"/>
          <w:sz w:val="20"/>
          <w:lang w:eastAsia="pt-PT"/>
        </w:rPr>
        <w:t xml:space="preserve">Kitagawa </w:t>
      </w:r>
      <w:r w:rsidR="00F96813" w:rsidRPr="003B7012">
        <w:rPr>
          <w:rFonts w:ascii="Trebuchet MS" w:hAnsi="Trebuchet MS" w:cs="Arial"/>
          <w:i/>
          <w:sz w:val="20"/>
          <w:lang w:eastAsia="pt-PT"/>
        </w:rPr>
        <w:t>et al.</w:t>
      </w:r>
      <w:r w:rsidRPr="003B7012">
        <w:rPr>
          <w:rFonts w:ascii="Trebuchet MS" w:hAnsi="Trebuchet MS" w:cs="Arial"/>
          <w:sz w:val="20"/>
          <w:lang w:eastAsia="pt-PT"/>
        </w:rPr>
        <w:t xml:space="preserve"> (1990) utilizaram um modelo de isquémia global </w:t>
      </w:r>
      <w:r w:rsidR="009D1081" w:rsidRPr="003B7012">
        <w:rPr>
          <w:rFonts w:ascii="Trebuchet MS" w:hAnsi="Trebuchet MS" w:cs="Arial"/>
          <w:i/>
          <w:sz w:val="20"/>
          <w:lang w:eastAsia="pt-PT"/>
        </w:rPr>
        <w:t>in vivo</w:t>
      </w:r>
      <w:r w:rsidRPr="003B7012">
        <w:rPr>
          <w:rFonts w:ascii="Trebuchet MS" w:hAnsi="Trebuchet MS" w:cs="Arial"/>
          <w:sz w:val="20"/>
          <w:lang w:eastAsia="pt-PT"/>
        </w:rPr>
        <w:t xml:space="preserve"> </w:t>
      </w:r>
      <w:r w:rsidR="00BD2FFF">
        <w:rPr>
          <w:rFonts w:ascii="Trebuchet MS" w:hAnsi="Trebuchet MS" w:cs="Arial"/>
          <w:sz w:val="20"/>
          <w:lang w:eastAsia="pt-PT"/>
        </w:rPr>
        <w:t xml:space="preserve">em gerbos </w:t>
      </w:r>
      <w:r w:rsidRPr="003B7012">
        <w:rPr>
          <w:rFonts w:ascii="Trebuchet MS" w:hAnsi="Trebuchet MS" w:cs="Arial"/>
          <w:sz w:val="20"/>
          <w:lang w:eastAsia="pt-PT"/>
        </w:rPr>
        <w:t xml:space="preserve">e </w:t>
      </w:r>
      <w:r w:rsidR="00226ABD">
        <w:rPr>
          <w:rFonts w:ascii="Trebuchet MS" w:hAnsi="Trebuchet MS" w:cs="Arial"/>
          <w:sz w:val="20"/>
          <w:lang w:eastAsia="pt-PT"/>
        </w:rPr>
        <w:t>observaram</w:t>
      </w:r>
      <w:r w:rsidRPr="003B7012">
        <w:rPr>
          <w:rFonts w:ascii="Trebuchet MS" w:hAnsi="Trebuchet MS" w:cs="Arial"/>
          <w:sz w:val="20"/>
          <w:lang w:eastAsia="pt-PT"/>
        </w:rPr>
        <w:t xml:space="preserve"> que a oclusão de duas artérias por 5 minutos</w:t>
      </w:r>
      <w:proofErr w:type="gramStart"/>
      <w:r w:rsidRPr="003B7012">
        <w:rPr>
          <w:rFonts w:ascii="Trebuchet MS" w:hAnsi="Trebuchet MS" w:cs="Arial"/>
          <w:sz w:val="20"/>
          <w:lang w:eastAsia="pt-PT"/>
        </w:rPr>
        <w:t>,</w:t>
      </w:r>
      <w:proofErr w:type="gramEnd"/>
      <w:r w:rsidRPr="003B7012">
        <w:rPr>
          <w:rFonts w:ascii="Trebuchet MS" w:hAnsi="Trebuchet MS" w:cs="Arial"/>
          <w:sz w:val="20"/>
          <w:lang w:eastAsia="pt-PT"/>
        </w:rPr>
        <w:t xml:space="preserve"> provoca danos nos neurónios </w:t>
      </w:r>
      <w:r w:rsidR="008D2F06">
        <w:rPr>
          <w:rFonts w:ascii="Trebuchet MS" w:hAnsi="Trebuchet MS" w:cs="Arial"/>
          <w:sz w:val="20"/>
          <w:lang w:eastAsia="pt-PT"/>
        </w:rPr>
        <w:t>d</w:t>
      </w:r>
      <w:r w:rsidRPr="003B7012">
        <w:rPr>
          <w:rFonts w:ascii="Trebuchet MS" w:hAnsi="Trebuchet MS" w:cs="Arial"/>
          <w:sz w:val="20"/>
          <w:lang w:eastAsia="pt-PT"/>
        </w:rPr>
        <w:t>a região CA1 do hipocampo. Comprovaram que se a isquémia global for precedida de dois ep</w:t>
      </w:r>
      <w:r w:rsidRPr="003B7012">
        <w:rPr>
          <w:rFonts w:ascii="Trebuchet MS" w:hAnsi="Trebuchet MS" w:cs="Arial"/>
          <w:sz w:val="20"/>
          <w:lang w:eastAsia="pt-PT"/>
        </w:rPr>
        <w:t>i</w:t>
      </w:r>
      <w:r w:rsidRPr="003B7012">
        <w:rPr>
          <w:rFonts w:ascii="Trebuchet MS" w:hAnsi="Trebuchet MS" w:cs="Arial"/>
          <w:sz w:val="20"/>
          <w:lang w:eastAsia="pt-PT"/>
        </w:rPr>
        <w:t xml:space="preserve">sódios de isquémia transitória, cada um com duração de 2 minutos, </w:t>
      </w:r>
      <w:r w:rsidR="00B34674">
        <w:rPr>
          <w:rFonts w:ascii="Trebuchet MS" w:hAnsi="Trebuchet MS" w:cs="Arial"/>
          <w:sz w:val="20"/>
          <w:lang w:eastAsia="pt-PT"/>
        </w:rPr>
        <w:t>há</w:t>
      </w:r>
      <w:r w:rsidRPr="003B7012">
        <w:rPr>
          <w:rFonts w:ascii="Trebuchet MS" w:hAnsi="Trebuchet MS" w:cs="Arial"/>
          <w:sz w:val="20"/>
          <w:lang w:eastAsia="pt-PT"/>
        </w:rPr>
        <w:t xml:space="preserve"> menos danos neuronais na região CA1, o que sugere os breves episódios de isquémia resultam em protecção. </w:t>
      </w:r>
      <w:r w:rsidR="00336BBA" w:rsidRPr="003B7012">
        <w:rPr>
          <w:rFonts w:ascii="Trebuchet MS" w:hAnsi="Trebuchet MS" w:cs="Arial"/>
          <w:sz w:val="20"/>
          <w:lang w:eastAsia="pt-PT"/>
        </w:rPr>
        <w:t>A isquémia letal foi produzida 24</w:t>
      </w:r>
      <w:r w:rsidR="00034A20">
        <w:rPr>
          <w:rFonts w:ascii="Trebuchet MS" w:hAnsi="Trebuchet MS" w:cs="Arial"/>
          <w:sz w:val="20"/>
          <w:lang w:eastAsia="pt-PT"/>
        </w:rPr>
        <w:t xml:space="preserve"> </w:t>
      </w:r>
      <w:r w:rsidR="00336BBA" w:rsidRPr="003B7012">
        <w:rPr>
          <w:rFonts w:ascii="Trebuchet MS" w:hAnsi="Trebuchet MS" w:cs="Arial"/>
          <w:sz w:val="20"/>
          <w:lang w:eastAsia="pt-PT"/>
        </w:rPr>
        <w:t>h</w:t>
      </w:r>
      <w:r w:rsidR="00034A20">
        <w:rPr>
          <w:rFonts w:ascii="Trebuchet MS" w:hAnsi="Trebuchet MS" w:cs="Arial"/>
          <w:sz w:val="20"/>
          <w:lang w:eastAsia="pt-PT"/>
        </w:rPr>
        <w:t>oras</w:t>
      </w:r>
      <w:r w:rsidR="00336BBA" w:rsidRPr="003B7012">
        <w:rPr>
          <w:rFonts w:ascii="Trebuchet MS" w:hAnsi="Trebuchet MS" w:cs="Arial"/>
          <w:sz w:val="20"/>
          <w:lang w:eastAsia="pt-PT"/>
        </w:rPr>
        <w:t xml:space="preserve"> após pré-condicionamento. </w:t>
      </w:r>
      <w:r w:rsidRPr="003B7012">
        <w:rPr>
          <w:rFonts w:ascii="Trebuchet MS" w:hAnsi="Trebuchet MS" w:cs="Arial"/>
          <w:sz w:val="20"/>
          <w:lang w:eastAsia="pt-PT"/>
        </w:rPr>
        <w:t xml:space="preserve">A protecção foi observada 1-2 </w:t>
      </w:r>
      <w:r w:rsidR="009D1081" w:rsidRPr="003B7012">
        <w:rPr>
          <w:rFonts w:ascii="Trebuchet MS" w:hAnsi="Trebuchet MS" w:cs="Arial"/>
          <w:sz w:val="20"/>
          <w:lang w:eastAsia="pt-PT"/>
        </w:rPr>
        <w:t xml:space="preserve">dias </w:t>
      </w:r>
      <w:r w:rsidRPr="003B7012">
        <w:rPr>
          <w:rFonts w:ascii="Trebuchet MS" w:hAnsi="Trebuchet MS" w:cs="Arial"/>
          <w:sz w:val="20"/>
          <w:lang w:eastAsia="pt-PT"/>
        </w:rPr>
        <w:t xml:space="preserve">mais tarde, </w:t>
      </w:r>
      <w:r w:rsidR="008D2F06">
        <w:rPr>
          <w:rFonts w:ascii="Trebuchet MS" w:hAnsi="Trebuchet MS" w:cs="Arial"/>
          <w:sz w:val="20"/>
          <w:lang w:eastAsia="pt-PT"/>
        </w:rPr>
        <w:t>constituindo</w:t>
      </w:r>
      <w:r w:rsidRPr="003B7012">
        <w:rPr>
          <w:rFonts w:ascii="Trebuchet MS" w:hAnsi="Trebuchet MS" w:cs="Arial"/>
          <w:sz w:val="20"/>
          <w:lang w:eastAsia="pt-PT"/>
        </w:rPr>
        <w:t xml:space="preserve"> um exemplo de IPC de fase tardia. </w:t>
      </w:r>
      <w:r w:rsidR="00336BBA" w:rsidRPr="003B7012">
        <w:rPr>
          <w:rFonts w:ascii="Trebuchet MS" w:hAnsi="Trebuchet MS" w:cs="Arial"/>
          <w:sz w:val="20"/>
          <w:lang w:eastAsia="pt-PT"/>
        </w:rPr>
        <w:t>O efeito do IPC dura vários dias.</w:t>
      </w:r>
    </w:p>
    <w:p w:rsidR="006A5D5E" w:rsidRPr="00751D14" w:rsidRDefault="009D11E1" w:rsidP="007156C4">
      <w:pPr>
        <w:spacing w:line="360" w:lineRule="auto"/>
        <w:ind w:firstLine="708"/>
        <w:jc w:val="both"/>
        <w:textAlignment w:val="top"/>
        <w:rPr>
          <w:rFonts w:ascii="Trebuchet MS" w:eastAsiaTheme="minorHAnsi" w:hAnsi="Trebuchet MS"/>
          <w:sz w:val="20"/>
        </w:rPr>
      </w:pPr>
      <w:r w:rsidRPr="003B7012">
        <w:rPr>
          <w:rFonts w:ascii="Trebuchet MS" w:hAnsi="Trebuchet MS" w:cs="Arial"/>
          <w:sz w:val="20"/>
          <w:lang w:eastAsia="pt-PT"/>
        </w:rPr>
        <w:t xml:space="preserve">Liu </w:t>
      </w:r>
      <w:r w:rsidR="00194A32" w:rsidRPr="003B7012">
        <w:rPr>
          <w:rFonts w:ascii="Trebuchet MS" w:hAnsi="Trebuchet MS" w:cs="Arial"/>
          <w:i/>
          <w:sz w:val="20"/>
          <w:lang w:eastAsia="pt-PT"/>
        </w:rPr>
        <w:t xml:space="preserve">et al. </w:t>
      </w:r>
      <w:r w:rsidRPr="003B7012">
        <w:rPr>
          <w:rFonts w:ascii="Trebuchet MS" w:hAnsi="Trebuchet MS" w:cs="Arial"/>
          <w:sz w:val="20"/>
          <w:lang w:eastAsia="pt-PT"/>
        </w:rPr>
        <w:t xml:space="preserve">(1992) testaram </w:t>
      </w:r>
      <w:r w:rsidR="00412A66">
        <w:rPr>
          <w:rFonts w:ascii="Trebuchet MS" w:hAnsi="Trebuchet MS" w:cs="Arial"/>
          <w:sz w:val="20"/>
          <w:lang w:eastAsia="pt-PT"/>
        </w:rPr>
        <w:t xml:space="preserve">no rato </w:t>
      </w:r>
      <w:r w:rsidRPr="003B7012">
        <w:rPr>
          <w:rFonts w:ascii="Trebuchet MS" w:hAnsi="Trebuchet MS" w:cs="Arial"/>
          <w:sz w:val="20"/>
          <w:lang w:eastAsia="pt-PT"/>
        </w:rPr>
        <w:t>se o IPC protege contra danos neuronais após su</w:t>
      </w:r>
      <w:r w:rsidRPr="003B7012">
        <w:rPr>
          <w:rFonts w:ascii="Trebuchet MS" w:hAnsi="Trebuchet MS" w:cs="Arial"/>
          <w:sz w:val="20"/>
          <w:lang w:eastAsia="pt-PT"/>
        </w:rPr>
        <w:t>b</w:t>
      </w:r>
      <w:r w:rsidRPr="003B7012">
        <w:rPr>
          <w:rFonts w:ascii="Trebuchet MS" w:hAnsi="Trebuchet MS" w:cs="Arial"/>
          <w:sz w:val="20"/>
          <w:lang w:eastAsia="pt-PT"/>
        </w:rPr>
        <w:t xml:space="preserve">sequente insulto isquémico letal. </w:t>
      </w:r>
      <w:r w:rsidR="00412A66">
        <w:rPr>
          <w:rFonts w:ascii="Trebuchet MS" w:hAnsi="Trebuchet MS" w:cs="Arial"/>
          <w:sz w:val="20"/>
          <w:lang w:eastAsia="pt-PT"/>
        </w:rPr>
        <w:t>Um</w:t>
      </w:r>
      <w:r w:rsidR="007156C4" w:rsidRPr="003B7012">
        <w:rPr>
          <w:rFonts w:ascii="Trebuchet MS" w:hAnsi="Trebuchet MS" w:cs="Arial"/>
          <w:sz w:val="20"/>
          <w:lang w:eastAsia="pt-PT"/>
        </w:rPr>
        <w:t xml:space="preserve"> </w:t>
      </w:r>
      <w:r w:rsidRPr="003B7012">
        <w:rPr>
          <w:rFonts w:ascii="Trebuchet MS" w:hAnsi="Trebuchet MS" w:cs="Arial"/>
          <w:sz w:val="20"/>
          <w:lang w:eastAsia="pt-PT"/>
        </w:rPr>
        <w:t xml:space="preserve">IPC </w:t>
      </w:r>
      <w:r w:rsidR="00412A66">
        <w:rPr>
          <w:rFonts w:ascii="Trebuchet MS" w:hAnsi="Trebuchet MS" w:cs="Arial"/>
          <w:sz w:val="20"/>
          <w:lang w:eastAsia="pt-PT"/>
        </w:rPr>
        <w:t>de</w:t>
      </w:r>
      <w:r w:rsidRPr="003B7012">
        <w:rPr>
          <w:rFonts w:ascii="Trebuchet MS" w:hAnsi="Trebuchet MS" w:cs="Arial"/>
          <w:sz w:val="20"/>
          <w:lang w:eastAsia="pt-PT"/>
        </w:rPr>
        <w:t xml:space="preserve"> 3 minutos</w:t>
      </w:r>
      <w:r w:rsidR="007156C4" w:rsidRPr="003B7012">
        <w:rPr>
          <w:rFonts w:ascii="Trebuchet MS" w:hAnsi="Trebuchet MS" w:cs="Arial"/>
          <w:sz w:val="20"/>
          <w:lang w:eastAsia="pt-PT"/>
        </w:rPr>
        <w:t>, seguidos de 3 dias de reperfusão, pr</w:t>
      </w:r>
      <w:r w:rsidR="007156C4" w:rsidRPr="003B7012">
        <w:rPr>
          <w:rFonts w:ascii="Trebuchet MS" w:hAnsi="Trebuchet MS" w:cs="Arial"/>
          <w:sz w:val="20"/>
          <w:lang w:eastAsia="pt-PT"/>
        </w:rPr>
        <w:t>o</w:t>
      </w:r>
      <w:r w:rsidR="007156C4" w:rsidRPr="003B7012">
        <w:rPr>
          <w:rFonts w:ascii="Trebuchet MS" w:hAnsi="Trebuchet MS" w:cs="Arial"/>
          <w:sz w:val="20"/>
          <w:lang w:eastAsia="pt-PT"/>
        </w:rPr>
        <w:t xml:space="preserve">tegeu contra os danos neuronais na região CA1 do </w:t>
      </w:r>
      <w:r w:rsidR="007156C4" w:rsidRPr="00751D14">
        <w:rPr>
          <w:rFonts w:ascii="Trebuchet MS" w:hAnsi="Trebuchet MS" w:cs="Arial"/>
          <w:sz w:val="20"/>
          <w:lang w:eastAsia="pt-PT"/>
        </w:rPr>
        <w:t>hipocampo, após 6 minutos e 8 minutos de insulto isquémi</w:t>
      </w:r>
      <w:r w:rsidR="009404DB">
        <w:rPr>
          <w:rFonts w:ascii="Trebuchet MS" w:hAnsi="Trebuchet MS" w:cs="Arial"/>
          <w:sz w:val="20"/>
          <w:lang w:eastAsia="pt-PT"/>
        </w:rPr>
        <w:t>co</w:t>
      </w:r>
      <w:r w:rsidR="007156C4" w:rsidRPr="00751D14">
        <w:rPr>
          <w:rFonts w:ascii="Trebuchet MS" w:hAnsi="Trebuchet MS" w:cs="Arial"/>
          <w:sz w:val="20"/>
          <w:lang w:eastAsia="pt-PT"/>
        </w:rPr>
        <w:t>, mas não protegeu após 10 minutos de insulto isquémico. Concluíram que o resultado sugere fortemente que a resposta ao stress induzido pela isquémia subletal protege cont</w:t>
      </w:r>
      <w:r w:rsidR="00412A66">
        <w:rPr>
          <w:rFonts w:ascii="Trebuchet MS" w:hAnsi="Trebuchet MS" w:cs="Arial"/>
          <w:sz w:val="20"/>
          <w:lang w:eastAsia="pt-PT"/>
        </w:rPr>
        <w:t xml:space="preserve">ra danos cerebrais isquémicos. Também em ratos, </w:t>
      </w:r>
      <w:r w:rsidR="006A5D5E" w:rsidRPr="00751D14">
        <w:rPr>
          <w:rFonts w:ascii="Trebuchet MS" w:eastAsiaTheme="minorHAnsi" w:hAnsi="Trebuchet MS"/>
          <w:sz w:val="20"/>
        </w:rPr>
        <w:t xml:space="preserve">Heurteaux </w:t>
      </w:r>
      <w:r w:rsidR="00194A32" w:rsidRPr="00751D14">
        <w:rPr>
          <w:rFonts w:ascii="Trebuchet MS" w:eastAsiaTheme="minorHAnsi" w:hAnsi="Trebuchet MS"/>
          <w:i/>
          <w:sz w:val="20"/>
        </w:rPr>
        <w:t xml:space="preserve">et al. </w:t>
      </w:r>
      <w:r w:rsidR="006A5D5E" w:rsidRPr="00751D14">
        <w:rPr>
          <w:rFonts w:ascii="Trebuchet MS" w:eastAsiaTheme="minorHAnsi" w:hAnsi="Trebuchet MS"/>
          <w:sz w:val="20"/>
        </w:rPr>
        <w:t xml:space="preserve">(1995) demonstraram que o pré-tratamento com um insulto isquémico não letal (3 minutos) protege o hipocampo de ratos adultos contra o dano neuronal provocado por um insulto isquémico posterior (6 minutos de isquémia). O intervalo entre os insultos isquémicos é um factor determinante, uma vez que, a indução de 3 minutos de isquémia seguidos de 6 minutos de isquémia, apenas com 1 hora de intervalo, causa a destruição de quase todas as células piramidais da região CA1. Em contraste, o dano neuronal na região CA1 pode ser prevenido quando o intervalo entre os dois insultos isquémicos for de 3 dias. Desta forma, o IPC confere protecção de quase 100% do dano provocado pela isquémia em CA1 (Heurteaux </w:t>
      </w:r>
      <w:r w:rsidR="00F96813" w:rsidRPr="00751D14">
        <w:rPr>
          <w:rFonts w:ascii="Trebuchet MS" w:eastAsiaTheme="minorHAnsi" w:hAnsi="Trebuchet MS"/>
          <w:i/>
          <w:sz w:val="20"/>
        </w:rPr>
        <w:t>et al.</w:t>
      </w:r>
      <w:r w:rsidR="00AB62F4" w:rsidRPr="00751D14">
        <w:rPr>
          <w:rFonts w:ascii="Trebuchet MS" w:eastAsiaTheme="minorHAnsi" w:hAnsi="Trebuchet MS"/>
          <w:sz w:val="20"/>
        </w:rPr>
        <w:t>, 1995).</w:t>
      </w:r>
    </w:p>
    <w:p w:rsidR="00AB62F4" w:rsidRPr="00751D14" w:rsidRDefault="00D929ED" w:rsidP="008D32C2">
      <w:pPr>
        <w:spacing w:line="360" w:lineRule="auto"/>
        <w:ind w:firstLine="708"/>
        <w:jc w:val="both"/>
        <w:textAlignment w:val="top"/>
        <w:rPr>
          <w:rFonts w:ascii="Trebuchet MS" w:hAnsi="Trebuchet MS" w:cs="Arial"/>
          <w:sz w:val="20"/>
          <w:szCs w:val="20"/>
          <w:lang w:eastAsia="pt-PT"/>
        </w:rPr>
      </w:pPr>
      <w:r>
        <w:rPr>
          <w:rFonts w:ascii="Trebuchet MS" w:hAnsi="Trebuchet MS" w:cs="Arial"/>
          <w:sz w:val="20"/>
          <w:lang w:eastAsia="pt-PT"/>
        </w:rPr>
        <w:t xml:space="preserve">Utilizando fatias de hipocampo, </w:t>
      </w:r>
      <w:r w:rsidR="00D4370F" w:rsidRPr="00751D14">
        <w:rPr>
          <w:rFonts w:ascii="Trebuchet MS" w:hAnsi="Trebuchet MS" w:cs="Arial"/>
          <w:sz w:val="20"/>
          <w:lang w:eastAsia="pt-PT"/>
        </w:rPr>
        <w:t>Gage and Staton (1996) demonstraram</w:t>
      </w:r>
      <w:r w:rsidR="00227299" w:rsidRPr="00751D14">
        <w:rPr>
          <w:rFonts w:ascii="Trebuchet MS" w:hAnsi="Trebuchet MS" w:cs="Arial"/>
          <w:sz w:val="20"/>
          <w:lang w:eastAsia="pt-PT"/>
        </w:rPr>
        <w:t xml:space="preserve"> que o IPC (5minutos) impediu a diminuição da </w:t>
      </w:r>
      <w:r w:rsidR="005B32D5">
        <w:rPr>
          <w:rFonts w:ascii="Trebuchet MS" w:hAnsi="Trebuchet MS" w:cs="Arial"/>
          <w:sz w:val="20"/>
          <w:lang w:eastAsia="pt-PT"/>
        </w:rPr>
        <w:t>transmissão sináptica induzida por privação de oxigénio e glucose (</w:t>
      </w:r>
      <w:r w:rsidR="00227299" w:rsidRPr="00751D14">
        <w:rPr>
          <w:rFonts w:ascii="Trebuchet MS" w:hAnsi="Trebuchet MS" w:cs="Arial"/>
          <w:sz w:val="20"/>
          <w:lang w:eastAsia="pt-PT"/>
        </w:rPr>
        <w:t>POG</w:t>
      </w:r>
      <w:r w:rsidR="005B32D5">
        <w:rPr>
          <w:rFonts w:ascii="Trebuchet MS" w:hAnsi="Trebuchet MS" w:cs="Arial"/>
          <w:sz w:val="20"/>
          <w:lang w:eastAsia="pt-PT"/>
        </w:rPr>
        <w:t>)</w:t>
      </w:r>
      <w:r w:rsidR="00227299" w:rsidRPr="00751D14">
        <w:rPr>
          <w:rFonts w:ascii="Trebuchet MS" w:hAnsi="Trebuchet MS" w:cs="Arial"/>
          <w:sz w:val="20"/>
          <w:lang w:eastAsia="pt-PT"/>
        </w:rPr>
        <w:t xml:space="preserve"> prolongada (15 minutos). Este efeito foi eliminado quando o IPC e subsequente reoxigenação </w:t>
      </w:r>
      <w:proofErr w:type="gramStart"/>
      <w:r w:rsidR="00227299" w:rsidRPr="00751D14">
        <w:rPr>
          <w:rFonts w:ascii="Trebuchet MS" w:hAnsi="Trebuchet MS" w:cs="Arial"/>
          <w:sz w:val="20"/>
          <w:lang w:eastAsia="pt-PT"/>
        </w:rPr>
        <w:t>ocorreu</w:t>
      </w:r>
      <w:proofErr w:type="gramEnd"/>
      <w:r w:rsidR="00227299" w:rsidRPr="00751D14">
        <w:rPr>
          <w:rFonts w:ascii="Trebuchet MS" w:hAnsi="Trebuchet MS" w:cs="Arial"/>
          <w:sz w:val="20"/>
          <w:lang w:eastAsia="pt-PT"/>
        </w:rPr>
        <w:t xml:space="preserve"> na presença de inibidores da síntese de proteínas activas </w:t>
      </w:r>
      <w:r w:rsidR="00DB423A">
        <w:rPr>
          <w:rFonts w:ascii="Trebuchet MS" w:hAnsi="Trebuchet MS" w:cs="Arial"/>
          <w:sz w:val="20"/>
          <w:lang w:eastAsia="pt-PT"/>
        </w:rPr>
        <w:t>n</w:t>
      </w:r>
      <w:r w:rsidR="00227299" w:rsidRPr="00751D14">
        <w:rPr>
          <w:rFonts w:ascii="Trebuchet MS" w:hAnsi="Trebuchet MS" w:cs="Arial"/>
          <w:sz w:val="20"/>
          <w:lang w:eastAsia="pt-PT"/>
        </w:rPr>
        <w:t>as fases de transcrição e tradução</w:t>
      </w:r>
      <w:r w:rsidR="00DB423A">
        <w:rPr>
          <w:rFonts w:ascii="Trebuchet MS" w:hAnsi="Trebuchet MS" w:cs="Arial"/>
          <w:sz w:val="20"/>
          <w:lang w:eastAsia="pt-PT"/>
        </w:rPr>
        <w:t xml:space="preserve">. Usaram </w:t>
      </w:r>
      <w:r w:rsidR="00227299" w:rsidRPr="00751D14">
        <w:rPr>
          <w:rFonts w:ascii="Trebuchet MS" w:hAnsi="Trebuchet MS" w:cs="Arial"/>
          <w:sz w:val="20"/>
          <w:lang w:eastAsia="pt-PT"/>
        </w:rPr>
        <w:t>actinomicina D</w:t>
      </w:r>
      <w:r w:rsidR="00DB423A">
        <w:rPr>
          <w:rFonts w:ascii="Trebuchet MS" w:hAnsi="Trebuchet MS" w:cs="Arial"/>
          <w:sz w:val="20"/>
          <w:lang w:eastAsia="pt-PT"/>
        </w:rPr>
        <w:t xml:space="preserve"> para inibir a</w:t>
      </w:r>
      <w:r w:rsidR="00A64377">
        <w:rPr>
          <w:rFonts w:ascii="Trebuchet MS" w:hAnsi="Trebuchet MS" w:cs="Arial"/>
          <w:sz w:val="20"/>
          <w:lang w:eastAsia="pt-PT"/>
        </w:rPr>
        <w:t xml:space="preserve"> transcrição génica</w:t>
      </w:r>
      <w:r w:rsidR="00227299" w:rsidRPr="00751D14">
        <w:rPr>
          <w:rFonts w:ascii="Trebuchet MS" w:hAnsi="Trebuchet MS" w:cs="Arial"/>
          <w:sz w:val="20"/>
          <w:lang w:eastAsia="pt-PT"/>
        </w:rPr>
        <w:t xml:space="preserve"> e ciclohexim</w:t>
      </w:r>
      <w:r w:rsidR="00227299" w:rsidRPr="00751D14">
        <w:rPr>
          <w:rFonts w:ascii="Trebuchet MS" w:hAnsi="Trebuchet MS" w:cs="Arial"/>
          <w:sz w:val="20"/>
          <w:lang w:eastAsia="pt-PT"/>
        </w:rPr>
        <w:t>i</w:t>
      </w:r>
      <w:r w:rsidR="00227299" w:rsidRPr="00751D14">
        <w:rPr>
          <w:rFonts w:ascii="Trebuchet MS" w:hAnsi="Trebuchet MS" w:cs="Arial"/>
          <w:sz w:val="20"/>
          <w:lang w:eastAsia="pt-PT"/>
        </w:rPr>
        <w:t>da</w:t>
      </w:r>
      <w:r w:rsidR="00DB423A">
        <w:rPr>
          <w:rFonts w:ascii="Trebuchet MS" w:hAnsi="Trebuchet MS" w:cs="Arial"/>
          <w:sz w:val="20"/>
          <w:lang w:eastAsia="pt-PT"/>
        </w:rPr>
        <w:t xml:space="preserve"> para inibir a </w:t>
      </w:r>
      <w:r w:rsidR="00A64377">
        <w:rPr>
          <w:rFonts w:ascii="Trebuchet MS" w:hAnsi="Trebuchet MS" w:cs="Arial"/>
          <w:sz w:val="20"/>
          <w:lang w:eastAsia="pt-PT"/>
        </w:rPr>
        <w:t>síntese proteíca</w:t>
      </w:r>
      <w:r w:rsidR="001E5763">
        <w:rPr>
          <w:rFonts w:ascii="Trebuchet MS" w:hAnsi="Trebuchet MS" w:cs="Arial"/>
          <w:sz w:val="20"/>
          <w:lang w:eastAsia="pt-PT"/>
        </w:rPr>
        <w:t>, respectivamente</w:t>
      </w:r>
      <w:r w:rsidR="00227299" w:rsidRPr="00751D14">
        <w:rPr>
          <w:rFonts w:ascii="Trebuchet MS" w:hAnsi="Trebuchet MS" w:cs="Arial"/>
          <w:sz w:val="20"/>
          <w:lang w:eastAsia="pt-PT"/>
        </w:rPr>
        <w:t>.</w:t>
      </w:r>
      <w:r w:rsidR="009E691E">
        <w:rPr>
          <w:rFonts w:ascii="Trebuchet MS" w:hAnsi="Trebuchet MS" w:cs="Arial"/>
          <w:sz w:val="20"/>
          <w:lang w:eastAsia="pt-PT"/>
        </w:rPr>
        <w:t xml:space="preserve"> </w:t>
      </w:r>
      <w:proofErr w:type="gramStart"/>
      <w:r w:rsidR="00AB62F4" w:rsidRPr="00751D14">
        <w:rPr>
          <w:rFonts w:ascii="Trebuchet MS" w:eastAsiaTheme="minorHAnsi" w:hAnsi="Trebuchet MS"/>
          <w:sz w:val="20"/>
          <w:szCs w:val="20"/>
        </w:rPr>
        <w:t xml:space="preserve">Centeno </w:t>
      </w:r>
      <w:r w:rsidR="00F96813" w:rsidRPr="00751D14">
        <w:rPr>
          <w:rFonts w:ascii="Trebuchet MS" w:eastAsiaTheme="minorHAnsi" w:hAnsi="Trebuchet MS"/>
          <w:i/>
          <w:sz w:val="20"/>
          <w:szCs w:val="20"/>
        </w:rPr>
        <w:t>et al.</w:t>
      </w:r>
      <w:r w:rsidR="00AB62F4" w:rsidRPr="00751D14">
        <w:rPr>
          <w:rFonts w:ascii="Trebuchet MS" w:eastAsiaTheme="minorHAnsi" w:hAnsi="Trebuchet MS"/>
          <w:sz w:val="20"/>
          <w:szCs w:val="20"/>
        </w:rPr>
        <w:t xml:space="preserve"> (1999) demonstr</w:t>
      </w:r>
      <w:r w:rsidR="009E691E">
        <w:rPr>
          <w:rFonts w:ascii="Trebuchet MS" w:eastAsiaTheme="minorHAnsi" w:hAnsi="Trebuchet MS"/>
          <w:sz w:val="20"/>
          <w:szCs w:val="20"/>
        </w:rPr>
        <w:t>aram</w:t>
      </w:r>
      <w:proofErr w:type="gramEnd"/>
      <w:r w:rsidR="009E691E">
        <w:rPr>
          <w:rFonts w:ascii="Trebuchet MS" w:eastAsiaTheme="minorHAnsi" w:hAnsi="Trebuchet MS"/>
          <w:sz w:val="20"/>
          <w:szCs w:val="20"/>
        </w:rPr>
        <w:t xml:space="preserve"> ta</w:t>
      </w:r>
      <w:r w:rsidR="009E691E">
        <w:rPr>
          <w:rFonts w:ascii="Trebuchet MS" w:eastAsiaTheme="minorHAnsi" w:hAnsi="Trebuchet MS"/>
          <w:sz w:val="20"/>
          <w:szCs w:val="20"/>
        </w:rPr>
        <w:t>m</w:t>
      </w:r>
      <w:r w:rsidR="009E691E">
        <w:rPr>
          <w:rFonts w:ascii="Trebuchet MS" w:eastAsiaTheme="minorHAnsi" w:hAnsi="Trebuchet MS"/>
          <w:sz w:val="20"/>
          <w:szCs w:val="20"/>
        </w:rPr>
        <w:t>bém</w:t>
      </w:r>
      <w:r w:rsidR="00AB62F4" w:rsidRPr="00751D14">
        <w:rPr>
          <w:rFonts w:ascii="Trebuchet MS" w:eastAsiaTheme="minorHAnsi" w:hAnsi="Trebuchet MS"/>
          <w:sz w:val="20"/>
          <w:szCs w:val="20"/>
        </w:rPr>
        <w:t xml:space="preserve"> que, em fatias de hipocampo, 3 pequenos insultos subletais antes do insulto isquémico letal, conferia neuroprotecção.</w:t>
      </w:r>
    </w:p>
    <w:p w:rsidR="00BE03DC" w:rsidRPr="00751D14" w:rsidRDefault="00253867" w:rsidP="00BE03DC">
      <w:pPr>
        <w:spacing w:line="360" w:lineRule="auto"/>
        <w:ind w:firstLine="708"/>
        <w:jc w:val="both"/>
        <w:textAlignment w:val="top"/>
        <w:rPr>
          <w:rFonts w:ascii="Trebuchet MS" w:hAnsi="Trebuchet MS" w:cs="Arial"/>
          <w:sz w:val="20"/>
          <w:lang w:eastAsia="pt-PT"/>
        </w:rPr>
      </w:pPr>
      <w:r>
        <w:rPr>
          <w:rFonts w:ascii="Trebuchet MS" w:hAnsi="Trebuchet MS" w:cs="Arial"/>
          <w:sz w:val="20"/>
          <w:szCs w:val="20"/>
          <w:lang w:eastAsia="pt-PT"/>
        </w:rPr>
        <w:lastRenderedPageBreak/>
        <w:t xml:space="preserve">Utilizando fatias organotípicas de hipocampo, </w:t>
      </w:r>
      <w:r w:rsidR="00BE03DC" w:rsidRPr="00751D14">
        <w:rPr>
          <w:rFonts w:ascii="Trebuchet MS" w:hAnsi="Trebuchet MS" w:cs="Arial"/>
          <w:sz w:val="20"/>
          <w:szCs w:val="20"/>
          <w:lang w:eastAsia="pt-PT"/>
        </w:rPr>
        <w:t xml:space="preserve">Xu </w:t>
      </w:r>
      <w:r w:rsidR="00194A32" w:rsidRPr="00751D14">
        <w:rPr>
          <w:rFonts w:ascii="Trebuchet MS" w:hAnsi="Trebuchet MS" w:cs="Arial"/>
          <w:i/>
          <w:sz w:val="20"/>
          <w:szCs w:val="20"/>
          <w:lang w:eastAsia="pt-PT"/>
        </w:rPr>
        <w:t xml:space="preserve">et al. </w:t>
      </w:r>
      <w:r w:rsidR="00BE03DC" w:rsidRPr="00751D14">
        <w:rPr>
          <w:rFonts w:ascii="Trebuchet MS" w:hAnsi="Trebuchet MS" w:cs="Arial"/>
          <w:sz w:val="20"/>
          <w:szCs w:val="20"/>
          <w:lang w:eastAsia="pt-PT"/>
        </w:rPr>
        <w:t>(2002) comprovaram</w:t>
      </w:r>
      <w:r>
        <w:rPr>
          <w:rFonts w:ascii="Trebuchet MS" w:hAnsi="Trebuchet MS" w:cs="Arial"/>
          <w:sz w:val="20"/>
          <w:szCs w:val="20"/>
          <w:lang w:eastAsia="pt-PT"/>
        </w:rPr>
        <w:t xml:space="preserve"> </w:t>
      </w:r>
      <w:proofErr w:type="gramStart"/>
      <w:r w:rsidRPr="00253867">
        <w:rPr>
          <w:rFonts w:ascii="Trebuchet MS" w:hAnsi="Trebuchet MS" w:cs="Arial"/>
          <w:i/>
          <w:sz w:val="20"/>
          <w:szCs w:val="20"/>
          <w:lang w:eastAsia="pt-PT"/>
        </w:rPr>
        <w:t>in vitro</w:t>
      </w:r>
      <w:proofErr w:type="gramEnd"/>
      <w:r w:rsidR="00BE03DC" w:rsidRPr="00751D14">
        <w:rPr>
          <w:rFonts w:ascii="Trebuchet MS" w:hAnsi="Trebuchet MS" w:cs="Arial"/>
          <w:sz w:val="20"/>
          <w:szCs w:val="20"/>
          <w:lang w:eastAsia="pt-PT"/>
        </w:rPr>
        <w:t xml:space="preserve"> que, um insulto</w:t>
      </w:r>
      <w:r w:rsidR="00BE03DC" w:rsidRPr="00751D14">
        <w:rPr>
          <w:rFonts w:ascii="Trebuchet MS" w:hAnsi="Trebuchet MS" w:cs="Arial"/>
          <w:sz w:val="20"/>
          <w:lang w:eastAsia="pt-PT"/>
        </w:rPr>
        <w:t xml:space="preserve"> subletal isquémico </w:t>
      </w:r>
      <w:r w:rsidR="00194A32" w:rsidRPr="00751D14">
        <w:rPr>
          <w:rFonts w:ascii="Trebuchet MS" w:hAnsi="Trebuchet MS" w:cs="Arial"/>
          <w:i/>
          <w:sz w:val="20"/>
          <w:lang w:eastAsia="pt-PT"/>
        </w:rPr>
        <w:t xml:space="preserve">in vitro </w:t>
      </w:r>
      <w:r w:rsidR="00BE03DC" w:rsidRPr="00751D14">
        <w:rPr>
          <w:rFonts w:ascii="Trebuchet MS" w:hAnsi="Trebuchet MS" w:cs="Arial"/>
          <w:sz w:val="20"/>
          <w:lang w:eastAsia="pt-PT"/>
        </w:rPr>
        <w:t xml:space="preserve">protege contra a morte celular neuronal produzida por um insulto isquémico letal. </w:t>
      </w:r>
      <w:r w:rsidR="003A6242">
        <w:rPr>
          <w:rFonts w:ascii="Trebuchet MS" w:hAnsi="Trebuchet MS" w:cs="Arial"/>
          <w:sz w:val="20"/>
          <w:lang w:eastAsia="pt-PT"/>
        </w:rPr>
        <w:t xml:space="preserve">Concretamente </w:t>
      </w:r>
      <w:r w:rsidR="00BE03DC" w:rsidRPr="00751D14">
        <w:rPr>
          <w:rFonts w:ascii="Trebuchet MS" w:hAnsi="Trebuchet MS" w:cs="Arial"/>
          <w:sz w:val="20"/>
          <w:lang w:eastAsia="pt-PT"/>
        </w:rPr>
        <w:t xml:space="preserve">a aplicação de IPC de 15 minutos </w:t>
      </w:r>
      <w:r w:rsidR="003A6242">
        <w:rPr>
          <w:rFonts w:ascii="Trebuchet MS" w:hAnsi="Trebuchet MS" w:cs="Arial"/>
          <w:sz w:val="20"/>
          <w:lang w:eastAsia="pt-PT"/>
        </w:rPr>
        <w:t>confere</w:t>
      </w:r>
      <w:r w:rsidR="00BE03DC" w:rsidRPr="00751D14">
        <w:rPr>
          <w:rFonts w:ascii="Trebuchet MS" w:hAnsi="Trebuchet MS" w:cs="Arial"/>
          <w:sz w:val="20"/>
          <w:lang w:eastAsia="pt-PT"/>
        </w:rPr>
        <w:t xml:space="preserve"> robusta neuroprotecção contra </w:t>
      </w:r>
      <w:r w:rsidR="003A6242">
        <w:rPr>
          <w:rFonts w:ascii="Trebuchet MS" w:hAnsi="Trebuchet MS" w:cs="Arial"/>
          <w:sz w:val="20"/>
          <w:lang w:eastAsia="pt-PT"/>
        </w:rPr>
        <w:t xml:space="preserve">uma </w:t>
      </w:r>
      <w:r w:rsidR="00BE03DC" w:rsidRPr="00751D14">
        <w:rPr>
          <w:rFonts w:ascii="Trebuchet MS" w:hAnsi="Trebuchet MS" w:cs="Arial"/>
          <w:sz w:val="20"/>
          <w:lang w:eastAsia="pt-PT"/>
        </w:rPr>
        <w:t xml:space="preserve">POG de </w:t>
      </w:r>
      <w:r w:rsidR="003A6242">
        <w:rPr>
          <w:rFonts w:ascii="Trebuchet MS" w:hAnsi="Trebuchet MS" w:cs="Arial"/>
          <w:sz w:val="20"/>
          <w:lang w:eastAsia="pt-PT"/>
        </w:rPr>
        <w:t xml:space="preserve">40 - </w:t>
      </w:r>
      <w:r w:rsidR="00BE03DC" w:rsidRPr="00751D14">
        <w:rPr>
          <w:rFonts w:ascii="Trebuchet MS" w:hAnsi="Trebuchet MS" w:cs="Arial"/>
          <w:sz w:val="20"/>
          <w:lang w:eastAsia="pt-PT"/>
        </w:rPr>
        <w:t>45 minutos, com intervalo de 48</w:t>
      </w:r>
      <w:r w:rsidR="0096186D" w:rsidRPr="00751D14">
        <w:rPr>
          <w:rFonts w:ascii="Trebuchet MS" w:hAnsi="Trebuchet MS" w:cs="Arial"/>
          <w:sz w:val="20"/>
          <w:lang w:eastAsia="pt-PT"/>
        </w:rPr>
        <w:t xml:space="preserve"> </w:t>
      </w:r>
      <w:r w:rsidR="00BE03DC" w:rsidRPr="00751D14">
        <w:rPr>
          <w:rFonts w:ascii="Trebuchet MS" w:hAnsi="Trebuchet MS" w:cs="Arial"/>
          <w:sz w:val="20"/>
          <w:lang w:eastAsia="pt-PT"/>
        </w:rPr>
        <w:t>h</w:t>
      </w:r>
      <w:r w:rsidR="0096186D" w:rsidRPr="00751D14">
        <w:rPr>
          <w:rFonts w:ascii="Trebuchet MS" w:hAnsi="Trebuchet MS" w:cs="Arial"/>
          <w:sz w:val="20"/>
          <w:lang w:eastAsia="pt-PT"/>
        </w:rPr>
        <w:t>o</w:t>
      </w:r>
      <w:r w:rsidR="00BE03DC" w:rsidRPr="00751D14">
        <w:rPr>
          <w:rFonts w:ascii="Trebuchet MS" w:hAnsi="Trebuchet MS" w:cs="Arial"/>
          <w:sz w:val="20"/>
          <w:lang w:eastAsia="pt-PT"/>
        </w:rPr>
        <w:t>r</w:t>
      </w:r>
      <w:r w:rsidR="0096186D" w:rsidRPr="00751D14">
        <w:rPr>
          <w:rFonts w:ascii="Trebuchet MS" w:hAnsi="Trebuchet MS" w:cs="Arial"/>
          <w:sz w:val="20"/>
          <w:lang w:eastAsia="pt-PT"/>
        </w:rPr>
        <w:t>a</w:t>
      </w:r>
      <w:r w:rsidR="00DB00F2">
        <w:rPr>
          <w:rFonts w:ascii="Trebuchet MS" w:hAnsi="Trebuchet MS" w:cs="Arial"/>
          <w:sz w:val="20"/>
          <w:lang w:eastAsia="pt-PT"/>
        </w:rPr>
        <w:t xml:space="preserve">s entre os insultos </w:t>
      </w:r>
      <w:r w:rsidR="00DB00F2" w:rsidRPr="00751D14">
        <w:rPr>
          <w:rFonts w:ascii="Trebuchet MS" w:hAnsi="Trebuchet MS" w:cs="Arial"/>
          <w:sz w:val="20"/>
          <w:lang w:eastAsia="pt-PT"/>
        </w:rPr>
        <w:t xml:space="preserve">(Lange-Asschenfeldt </w:t>
      </w:r>
      <w:r w:rsidR="00DB00F2" w:rsidRPr="00751D14">
        <w:rPr>
          <w:rFonts w:ascii="Trebuchet MS" w:hAnsi="Trebuchet MS" w:cs="Arial"/>
          <w:i/>
          <w:sz w:val="20"/>
          <w:lang w:eastAsia="pt-PT"/>
        </w:rPr>
        <w:t>et al.</w:t>
      </w:r>
      <w:r w:rsidR="00DB00F2" w:rsidRPr="00751D14">
        <w:rPr>
          <w:rFonts w:ascii="Trebuchet MS" w:hAnsi="Trebuchet MS" w:cs="Arial"/>
          <w:sz w:val="20"/>
          <w:lang w:eastAsia="pt-PT"/>
        </w:rPr>
        <w:t>, 2004</w:t>
      </w:r>
      <w:r w:rsidR="00DB00F2">
        <w:rPr>
          <w:rFonts w:ascii="Trebuchet MS" w:hAnsi="Trebuchet MS" w:cs="Arial"/>
          <w:sz w:val="20"/>
          <w:lang w:eastAsia="pt-PT"/>
        </w:rPr>
        <w:t xml:space="preserve">; </w:t>
      </w:r>
      <w:r w:rsidR="003A6242" w:rsidRPr="00751D14">
        <w:rPr>
          <w:rFonts w:ascii="Trebuchet MS" w:hAnsi="Trebuchet MS" w:cs="Arial"/>
          <w:sz w:val="20"/>
          <w:lang w:eastAsia="pt-PT"/>
        </w:rPr>
        <w:t xml:space="preserve">Raval </w:t>
      </w:r>
      <w:r w:rsidR="003A6242" w:rsidRPr="00751D14">
        <w:rPr>
          <w:rFonts w:ascii="Trebuchet MS" w:hAnsi="Trebuchet MS" w:cs="Arial"/>
          <w:i/>
          <w:sz w:val="20"/>
          <w:lang w:eastAsia="pt-PT"/>
        </w:rPr>
        <w:t>et al.</w:t>
      </w:r>
      <w:r w:rsidR="003A6242">
        <w:rPr>
          <w:rFonts w:ascii="Trebuchet MS" w:hAnsi="Trebuchet MS" w:cs="Arial"/>
          <w:i/>
          <w:sz w:val="20"/>
          <w:lang w:eastAsia="pt-PT"/>
        </w:rPr>
        <w:t xml:space="preserve">, </w:t>
      </w:r>
      <w:r w:rsidR="003A6242">
        <w:rPr>
          <w:rFonts w:ascii="Trebuchet MS" w:hAnsi="Trebuchet MS" w:cs="Arial"/>
          <w:sz w:val="20"/>
          <w:lang w:eastAsia="pt-PT"/>
        </w:rPr>
        <w:t>2003;</w:t>
      </w:r>
      <w:r w:rsidR="003A6242" w:rsidRPr="003A6242">
        <w:rPr>
          <w:rFonts w:ascii="Trebuchet MS" w:hAnsi="Trebuchet MS" w:cs="Arial"/>
          <w:sz w:val="20"/>
          <w:lang w:eastAsia="pt-PT"/>
        </w:rPr>
        <w:t xml:space="preserve"> </w:t>
      </w:r>
      <w:r w:rsidR="003A6242" w:rsidRPr="00751D14">
        <w:rPr>
          <w:rFonts w:ascii="Trebuchet MS" w:hAnsi="Trebuchet MS" w:cs="Arial"/>
          <w:sz w:val="20"/>
          <w:lang w:eastAsia="pt-PT"/>
        </w:rPr>
        <w:t xml:space="preserve">Raval </w:t>
      </w:r>
      <w:r w:rsidR="003A6242" w:rsidRPr="00751D14">
        <w:rPr>
          <w:rFonts w:ascii="Trebuchet MS" w:hAnsi="Trebuchet MS" w:cs="Arial"/>
          <w:i/>
          <w:sz w:val="20"/>
          <w:lang w:eastAsia="pt-PT"/>
        </w:rPr>
        <w:t>et al.</w:t>
      </w:r>
      <w:r w:rsidR="003A6242">
        <w:rPr>
          <w:rFonts w:ascii="Trebuchet MS" w:hAnsi="Trebuchet MS" w:cs="Arial"/>
          <w:sz w:val="20"/>
          <w:lang w:eastAsia="pt-PT"/>
        </w:rPr>
        <w:t xml:space="preserve">, </w:t>
      </w:r>
      <w:r w:rsidR="00A63A57">
        <w:rPr>
          <w:rFonts w:ascii="Trebuchet MS" w:hAnsi="Trebuchet MS" w:cs="Arial"/>
          <w:sz w:val="20"/>
          <w:lang w:eastAsia="pt-PT"/>
        </w:rPr>
        <w:t xml:space="preserve">2006; </w:t>
      </w:r>
      <w:r w:rsidR="00A63A57" w:rsidRPr="00751D14">
        <w:rPr>
          <w:rFonts w:ascii="Trebuchet MS" w:hAnsi="Trebuchet MS" w:cs="Arial"/>
          <w:sz w:val="20"/>
          <w:lang w:eastAsia="pt-PT"/>
        </w:rPr>
        <w:t>Xu</w:t>
      </w:r>
      <w:r w:rsidR="00BE03DC" w:rsidRPr="00751D14">
        <w:rPr>
          <w:rFonts w:ascii="Trebuchet MS" w:hAnsi="Trebuchet MS" w:cs="Arial"/>
          <w:sz w:val="20"/>
          <w:lang w:eastAsia="pt-PT"/>
        </w:rPr>
        <w:t xml:space="preserve"> </w:t>
      </w:r>
      <w:r w:rsidR="00F96813" w:rsidRPr="00751D14">
        <w:rPr>
          <w:rFonts w:ascii="Trebuchet MS" w:hAnsi="Trebuchet MS" w:cs="Arial"/>
          <w:i/>
          <w:sz w:val="20"/>
          <w:lang w:eastAsia="pt-PT"/>
        </w:rPr>
        <w:t>et al.</w:t>
      </w:r>
      <w:r w:rsidR="00BE03DC" w:rsidRPr="00751D14">
        <w:rPr>
          <w:rFonts w:ascii="Trebuchet MS" w:hAnsi="Trebuchet MS" w:cs="Arial"/>
          <w:i/>
          <w:sz w:val="20"/>
          <w:lang w:eastAsia="pt-PT"/>
        </w:rPr>
        <w:t>,</w:t>
      </w:r>
      <w:r w:rsidR="00BE03DC" w:rsidRPr="00751D14">
        <w:rPr>
          <w:rFonts w:ascii="Trebuchet MS" w:hAnsi="Trebuchet MS" w:cs="Arial"/>
          <w:sz w:val="20"/>
          <w:lang w:eastAsia="pt-PT"/>
        </w:rPr>
        <w:t xml:space="preserve"> 2002). </w:t>
      </w:r>
    </w:p>
    <w:p w:rsidR="00AA1F65" w:rsidRDefault="00BE03DC" w:rsidP="00BE03DC">
      <w:pPr>
        <w:spacing w:line="360" w:lineRule="auto"/>
        <w:ind w:firstLine="708"/>
        <w:jc w:val="both"/>
        <w:textAlignment w:val="top"/>
        <w:rPr>
          <w:rFonts w:ascii="Trebuchet MS" w:hAnsi="Trebuchet MS" w:cs="Arial"/>
          <w:sz w:val="20"/>
          <w:lang w:eastAsia="pt-PT"/>
        </w:rPr>
      </w:pPr>
      <w:r w:rsidRPr="00751D14">
        <w:rPr>
          <w:rFonts w:ascii="Trebuchet MS" w:hAnsi="Trebuchet MS" w:cs="Arial"/>
          <w:sz w:val="20"/>
          <w:lang w:eastAsia="pt-PT"/>
        </w:rPr>
        <w:t xml:space="preserve">Raval </w:t>
      </w:r>
      <w:r w:rsidR="00194A32" w:rsidRPr="00751D14">
        <w:rPr>
          <w:rFonts w:ascii="Trebuchet MS" w:hAnsi="Trebuchet MS" w:cs="Arial"/>
          <w:i/>
          <w:sz w:val="20"/>
          <w:lang w:eastAsia="pt-PT"/>
        </w:rPr>
        <w:t xml:space="preserve">et al. </w:t>
      </w:r>
      <w:r w:rsidR="00DB00F2">
        <w:rPr>
          <w:rFonts w:ascii="Trebuchet MS" w:hAnsi="Trebuchet MS" w:cs="Arial"/>
          <w:sz w:val="20"/>
          <w:lang w:eastAsia="pt-PT"/>
        </w:rPr>
        <w:t>(</w:t>
      </w:r>
      <w:r w:rsidR="00A63A57">
        <w:rPr>
          <w:rFonts w:ascii="Trebuchet MS" w:hAnsi="Trebuchet MS" w:cs="Arial"/>
          <w:sz w:val="20"/>
          <w:lang w:eastAsia="pt-PT"/>
        </w:rPr>
        <w:t>2006</w:t>
      </w:r>
      <w:r w:rsidRPr="00751D14">
        <w:rPr>
          <w:rFonts w:ascii="Trebuchet MS" w:hAnsi="Trebuchet MS" w:cs="Arial"/>
          <w:sz w:val="20"/>
          <w:lang w:eastAsia="pt-PT"/>
        </w:rPr>
        <w:t xml:space="preserve">) </w:t>
      </w:r>
      <w:r w:rsidR="00AA1F65">
        <w:rPr>
          <w:rFonts w:ascii="Trebuchet MS" w:hAnsi="Trebuchet MS" w:cs="Arial"/>
          <w:sz w:val="20"/>
          <w:lang w:eastAsia="pt-PT"/>
        </w:rPr>
        <w:t xml:space="preserve">observaram que o intervalo </w:t>
      </w:r>
      <w:r w:rsidR="00AA1F65" w:rsidRPr="00751D14">
        <w:rPr>
          <w:rFonts w:ascii="Trebuchet MS" w:hAnsi="Trebuchet MS" w:cs="Arial"/>
          <w:sz w:val="20"/>
          <w:lang w:eastAsia="pt-PT"/>
        </w:rPr>
        <w:t>de tempo para a indução de neuropr</w:t>
      </w:r>
      <w:r w:rsidR="00AA1F65" w:rsidRPr="00751D14">
        <w:rPr>
          <w:rFonts w:ascii="Trebuchet MS" w:hAnsi="Trebuchet MS" w:cs="Arial"/>
          <w:sz w:val="20"/>
          <w:lang w:eastAsia="pt-PT"/>
        </w:rPr>
        <w:t>o</w:t>
      </w:r>
      <w:r w:rsidR="00AA1F65" w:rsidRPr="00751D14">
        <w:rPr>
          <w:rFonts w:ascii="Trebuchet MS" w:hAnsi="Trebuchet MS" w:cs="Arial"/>
          <w:sz w:val="20"/>
          <w:lang w:eastAsia="pt-PT"/>
        </w:rPr>
        <w:t>tecção, conferido pelo IPC, durou 96h.</w:t>
      </w:r>
    </w:p>
    <w:p w:rsidR="000F4C88" w:rsidRPr="00751D14" w:rsidRDefault="00662D29" w:rsidP="00662D29">
      <w:pPr>
        <w:spacing w:line="360" w:lineRule="auto"/>
        <w:ind w:firstLine="708"/>
        <w:jc w:val="both"/>
        <w:textAlignment w:val="top"/>
        <w:rPr>
          <w:rFonts w:ascii="Trebuchet MS" w:hAnsi="Trebuchet MS" w:cs="Arial"/>
          <w:sz w:val="20"/>
          <w:lang w:eastAsia="pt-PT"/>
        </w:rPr>
      </w:pPr>
      <w:r w:rsidRPr="00751D14">
        <w:rPr>
          <w:rFonts w:ascii="Trebuchet MS" w:hAnsi="Trebuchet MS" w:cs="Arial"/>
          <w:sz w:val="20"/>
          <w:lang w:eastAsia="pt-PT"/>
        </w:rPr>
        <w:t xml:space="preserve">Hassen </w:t>
      </w:r>
      <w:r w:rsidR="00194A32" w:rsidRPr="00751D14">
        <w:rPr>
          <w:rFonts w:ascii="Trebuchet MS" w:hAnsi="Trebuchet MS" w:cs="Arial"/>
          <w:i/>
          <w:sz w:val="20"/>
          <w:lang w:eastAsia="pt-PT"/>
        </w:rPr>
        <w:t xml:space="preserve">et al. </w:t>
      </w:r>
      <w:r w:rsidR="00AD7FBD">
        <w:rPr>
          <w:rFonts w:ascii="Trebuchet MS" w:hAnsi="Trebuchet MS" w:cs="Arial"/>
          <w:sz w:val="20"/>
          <w:lang w:eastAsia="pt-PT"/>
        </w:rPr>
        <w:t xml:space="preserve">(2004) demonstraram </w:t>
      </w:r>
      <w:r w:rsidR="00AD7FBD" w:rsidRPr="00AD7FBD">
        <w:rPr>
          <w:rFonts w:ascii="Trebuchet MS" w:hAnsi="Trebuchet MS" w:cs="Arial"/>
          <w:i/>
          <w:sz w:val="20"/>
          <w:lang w:eastAsia="pt-PT"/>
        </w:rPr>
        <w:t xml:space="preserve">in vitro </w:t>
      </w:r>
      <w:r w:rsidRPr="00751D14">
        <w:rPr>
          <w:rFonts w:ascii="Trebuchet MS" w:hAnsi="Trebuchet MS" w:cs="Arial"/>
          <w:sz w:val="20"/>
          <w:lang w:eastAsia="pt-PT"/>
        </w:rPr>
        <w:t>que</w:t>
      </w:r>
      <w:r w:rsidR="000F4C88" w:rsidRPr="00751D14">
        <w:rPr>
          <w:rFonts w:ascii="Trebuchet MS" w:hAnsi="Trebuchet MS" w:cs="Arial"/>
          <w:sz w:val="20"/>
          <w:lang w:eastAsia="pt-PT"/>
        </w:rPr>
        <w:t>,</w:t>
      </w:r>
      <w:r w:rsidRPr="00751D14">
        <w:rPr>
          <w:rFonts w:ascii="Trebuchet MS" w:hAnsi="Trebuchet MS" w:cs="Arial"/>
          <w:sz w:val="20"/>
          <w:lang w:eastAsia="pt-PT"/>
        </w:rPr>
        <w:t xml:space="preserve"> </w:t>
      </w:r>
      <w:r w:rsidR="000F4C88" w:rsidRPr="00751D14">
        <w:rPr>
          <w:rFonts w:ascii="Trebuchet MS" w:hAnsi="Trebuchet MS" w:cs="Arial"/>
          <w:sz w:val="20"/>
          <w:lang w:eastAsia="pt-PT"/>
        </w:rPr>
        <w:t xml:space="preserve">em </w:t>
      </w:r>
      <w:r w:rsidRPr="00751D14">
        <w:rPr>
          <w:rFonts w:ascii="Trebuchet MS" w:hAnsi="Trebuchet MS" w:cs="Arial"/>
          <w:sz w:val="20"/>
          <w:lang w:eastAsia="pt-PT"/>
        </w:rPr>
        <w:t>cultura de fatias de ratos adultos</w:t>
      </w:r>
      <w:r w:rsidR="000F4C88" w:rsidRPr="00751D14">
        <w:rPr>
          <w:rFonts w:ascii="Trebuchet MS" w:hAnsi="Trebuchet MS" w:cs="Arial"/>
          <w:sz w:val="20"/>
          <w:lang w:eastAsia="pt-PT"/>
        </w:rPr>
        <w:t xml:space="preserve"> </w:t>
      </w:r>
      <w:r w:rsidR="00194A32" w:rsidRPr="00751D14">
        <w:rPr>
          <w:rFonts w:ascii="Trebuchet MS" w:hAnsi="Trebuchet MS" w:cs="Arial"/>
          <w:i/>
          <w:sz w:val="20"/>
          <w:lang w:eastAsia="pt-PT"/>
        </w:rPr>
        <w:t>in vitro</w:t>
      </w:r>
      <w:r w:rsidRPr="00751D14">
        <w:rPr>
          <w:rFonts w:ascii="Trebuchet MS" w:hAnsi="Trebuchet MS" w:cs="Arial"/>
          <w:sz w:val="20"/>
          <w:lang w:eastAsia="pt-PT"/>
        </w:rPr>
        <w:t xml:space="preserve">, </w:t>
      </w:r>
      <w:r w:rsidR="000F4C88" w:rsidRPr="00751D14">
        <w:rPr>
          <w:rFonts w:ascii="Trebuchet MS" w:hAnsi="Trebuchet MS" w:cs="Arial"/>
          <w:sz w:val="20"/>
          <w:lang w:eastAsia="pt-PT"/>
        </w:rPr>
        <w:t>um tratamento de 5 minutos de POG não é neurotóxico, enquanto</w:t>
      </w:r>
      <w:r w:rsidR="005C078F" w:rsidRPr="00751D14">
        <w:rPr>
          <w:rFonts w:ascii="Trebuchet MS" w:hAnsi="Trebuchet MS" w:cs="Arial"/>
          <w:sz w:val="20"/>
          <w:lang w:eastAsia="pt-PT"/>
        </w:rPr>
        <w:t>, 10</w:t>
      </w:r>
      <w:r w:rsidR="00B2695F" w:rsidRPr="00751D14">
        <w:rPr>
          <w:rFonts w:ascii="Trebuchet MS" w:hAnsi="Trebuchet MS" w:cs="Arial"/>
          <w:sz w:val="20"/>
          <w:lang w:eastAsia="pt-PT"/>
        </w:rPr>
        <w:t xml:space="preserve"> </w:t>
      </w:r>
      <w:proofErr w:type="gramStart"/>
      <w:r w:rsidR="000F4C88" w:rsidRPr="00751D14">
        <w:rPr>
          <w:rFonts w:ascii="Trebuchet MS" w:hAnsi="Trebuchet MS" w:cs="Arial"/>
          <w:sz w:val="20"/>
          <w:lang w:eastAsia="pt-PT"/>
        </w:rPr>
        <w:t>minutos de tratamento com POG é altamente neurotóxico</w:t>
      </w:r>
      <w:proofErr w:type="gramEnd"/>
      <w:r w:rsidR="005C078F" w:rsidRPr="00751D14">
        <w:rPr>
          <w:rFonts w:ascii="Trebuchet MS" w:hAnsi="Trebuchet MS" w:cs="Arial"/>
          <w:sz w:val="20"/>
          <w:lang w:eastAsia="pt-PT"/>
        </w:rPr>
        <w:t xml:space="preserve">. Comprovaram que o tratamento com POG durante 5 minutos induz uma falha de </w:t>
      </w:r>
      <w:r w:rsidR="0070159B">
        <w:rPr>
          <w:rFonts w:ascii="Trebuchet MS" w:hAnsi="Trebuchet MS" w:cs="Arial"/>
          <w:sz w:val="20"/>
          <w:lang w:eastAsia="pt-PT"/>
        </w:rPr>
        <w:t xml:space="preserve">produção de </w:t>
      </w:r>
      <w:r w:rsidR="005C078F" w:rsidRPr="00751D14">
        <w:rPr>
          <w:rFonts w:ascii="Trebuchet MS" w:hAnsi="Trebuchet MS" w:cs="Arial"/>
          <w:sz w:val="20"/>
          <w:lang w:eastAsia="pt-PT"/>
        </w:rPr>
        <w:t xml:space="preserve">energia rápida e reversível nas culturas de fatias. </w:t>
      </w:r>
      <w:r w:rsidR="000F4C88" w:rsidRPr="00751D14">
        <w:rPr>
          <w:rFonts w:ascii="Trebuchet MS" w:hAnsi="Trebuchet MS" w:cs="Arial"/>
          <w:sz w:val="20"/>
          <w:lang w:eastAsia="pt-PT"/>
        </w:rPr>
        <w:t>Também demonstraram que o pré-condicionamento com 5 minutos de POG protege contra o subsequente tratamento com POG durante 10 minutos, realizado 24</w:t>
      </w:r>
      <w:r w:rsidR="0096186D" w:rsidRPr="00751D14">
        <w:rPr>
          <w:rFonts w:ascii="Trebuchet MS" w:hAnsi="Trebuchet MS" w:cs="Arial"/>
          <w:sz w:val="20"/>
          <w:lang w:eastAsia="pt-PT"/>
        </w:rPr>
        <w:t xml:space="preserve"> horas</w:t>
      </w:r>
      <w:r w:rsidR="000F4C88" w:rsidRPr="00751D14">
        <w:rPr>
          <w:rFonts w:ascii="Trebuchet MS" w:hAnsi="Trebuchet MS" w:cs="Arial"/>
          <w:sz w:val="20"/>
          <w:lang w:eastAsia="pt-PT"/>
        </w:rPr>
        <w:t xml:space="preserve"> após IPC.</w:t>
      </w:r>
      <w:r w:rsidR="005C078F" w:rsidRPr="00751D14">
        <w:rPr>
          <w:rFonts w:ascii="Trebuchet MS" w:hAnsi="Trebuchet MS" w:cs="Arial"/>
          <w:sz w:val="20"/>
          <w:lang w:eastAsia="pt-PT"/>
        </w:rPr>
        <w:t xml:space="preserve"> </w:t>
      </w:r>
    </w:p>
    <w:p w:rsidR="00D4370F" w:rsidRPr="00751D14" w:rsidRDefault="00562006" w:rsidP="00662D29">
      <w:pPr>
        <w:spacing w:line="360" w:lineRule="auto"/>
        <w:ind w:firstLine="708"/>
        <w:jc w:val="both"/>
        <w:textAlignment w:val="top"/>
        <w:rPr>
          <w:rFonts w:ascii="Trebuchet MS" w:hAnsi="Trebuchet MS" w:cs="Arial"/>
          <w:sz w:val="20"/>
          <w:lang w:eastAsia="pt-PT"/>
        </w:rPr>
      </w:pPr>
      <w:r w:rsidRPr="00751D14">
        <w:rPr>
          <w:rFonts w:ascii="Trebuchet MS" w:hAnsi="Trebuchet MS" w:cs="Arial"/>
          <w:sz w:val="20"/>
          <w:lang w:eastAsia="pt-PT"/>
        </w:rPr>
        <w:t xml:space="preserve">Raval </w:t>
      </w:r>
      <w:r w:rsidR="00F96813" w:rsidRPr="00751D14">
        <w:rPr>
          <w:rFonts w:ascii="Trebuchet MS" w:hAnsi="Trebuchet MS" w:cs="Arial"/>
          <w:i/>
          <w:sz w:val="20"/>
          <w:lang w:eastAsia="pt-PT"/>
        </w:rPr>
        <w:t>et al.</w:t>
      </w:r>
      <w:r w:rsidRPr="00751D14">
        <w:rPr>
          <w:rFonts w:ascii="Trebuchet MS" w:hAnsi="Trebuchet MS" w:cs="Arial"/>
          <w:sz w:val="20"/>
          <w:lang w:eastAsia="pt-PT"/>
        </w:rPr>
        <w:t>, (2006) verificaram que o intervalo de tempo para a indução de neuropr</w:t>
      </w:r>
      <w:r w:rsidRPr="00751D14">
        <w:rPr>
          <w:rFonts w:ascii="Trebuchet MS" w:hAnsi="Trebuchet MS" w:cs="Arial"/>
          <w:sz w:val="20"/>
          <w:lang w:eastAsia="pt-PT"/>
        </w:rPr>
        <w:t>o</w:t>
      </w:r>
      <w:r w:rsidRPr="00751D14">
        <w:rPr>
          <w:rFonts w:ascii="Trebuchet MS" w:hAnsi="Trebuchet MS" w:cs="Arial"/>
          <w:sz w:val="20"/>
          <w:lang w:eastAsia="pt-PT"/>
        </w:rPr>
        <w:t>tecção, conferido pelo IPC, durou 96h. Demonstraram que 15 minutos de IPC, seguidos de 48</w:t>
      </w:r>
      <w:r w:rsidR="0096186D" w:rsidRPr="00751D14">
        <w:rPr>
          <w:rFonts w:ascii="Trebuchet MS" w:hAnsi="Trebuchet MS" w:cs="Arial"/>
          <w:sz w:val="20"/>
          <w:lang w:eastAsia="pt-PT"/>
        </w:rPr>
        <w:t xml:space="preserve"> horas</w:t>
      </w:r>
      <w:r w:rsidRPr="00751D14">
        <w:rPr>
          <w:rFonts w:ascii="Trebuchet MS" w:hAnsi="Trebuchet MS" w:cs="Arial"/>
          <w:sz w:val="20"/>
          <w:lang w:eastAsia="pt-PT"/>
        </w:rPr>
        <w:t xml:space="preserve"> de reperfusão, induziram tolerância isquémica perante o teste isquémico (40 minutos de </w:t>
      </w:r>
      <w:r w:rsidR="00B2695F" w:rsidRPr="00751D14">
        <w:rPr>
          <w:rFonts w:ascii="Trebuchet MS" w:hAnsi="Trebuchet MS" w:cs="Arial"/>
          <w:sz w:val="20"/>
          <w:lang w:eastAsia="pt-PT"/>
        </w:rPr>
        <w:t>P</w:t>
      </w:r>
      <w:r w:rsidRPr="00751D14">
        <w:rPr>
          <w:rFonts w:ascii="Trebuchet MS" w:hAnsi="Trebuchet MS" w:cs="Arial"/>
          <w:sz w:val="20"/>
          <w:lang w:eastAsia="pt-PT"/>
        </w:rPr>
        <w:t xml:space="preserve">OG) em fatias organotípicas de hipocampo (Lange-Asschenfeldt </w:t>
      </w:r>
      <w:r w:rsidR="00F96813" w:rsidRPr="00751D14">
        <w:rPr>
          <w:rFonts w:ascii="Trebuchet MS" w:hAnsi="Trebuchet MS" w:cs="Arial"/>
          <w:i/>
          <w:sz w:val="20"/>
          <w:lang w:eastAsia="pt-PT"/>
        </w:rPr>
        <w:t>et al.</w:t>
      </w:r>
      <w:r w:rsidRPr="00751D14">
        <w:rPr>
          <w:rFonts w:ascii="Trebuchet MS" w:hAnsi="Trebuchet MS" w:cs="Arial"/>
          <w:sz w:val="20"/>
          <w:lang w:eastAsia="pt-PT"/>
        </w:rPr>
        <w:t xml:space="preserve">, 2004; Raval </w:t>
      </w:r>
      <w:r w:rsidR="00F96813" w:rsidRPr="00751D14">
        <w:rPr>
          <w:rFonts w:ascii="Trebuchet MS" w:hAnsi="Trebuchet MS" w:cs="Arial"/>
          <w:i/>
          <w:sz w:val="20"/>
          <w:lang w:eastAsia="pt-PT"/>
        </w:rPr>
        <w:t>et al.</w:t>
      </w:r>
      <w:r w:rsidRPr="00751D14">
        <w:rPr>
          <w:rFonts w:ascii="Trebuchet MS" w:hAnsi="Trebuchet MS" w:cs="Arial"/>
          <w:sz w:val="20"/>
          <w:lang w:eastAsia="pt-PT"/>
        </w:rPr>
        <w:t xml:space="preserve">, 2003; Xu </w:t>
      </w:r>
      <w:r w:rsidR="00F96813" w:rsidRPr="00751D14">
        <w:rPr>
          <w:rFonts w:ascii="Trebuchet MS" w:hAnsi="Trebuchet MS" w:cs="Arial"/>
          <w:i/>
          <w:sz w:val="20"/>
          <w:lang w:eastAsia="pt-PT"/>
        </w:rPr>
        <w:t>et al.</w:t>
      </w:r>
      <w:r w:rsidRPr="00751D14">
        <w:rPr>
          <w:rFonts w:ascii="Trebuchet MS" w:hAnsi="Trebuchet MS" w:cs="Arial"/>
          <w:sz w:val="20"/>
          <w:lang w:eastAsia="pt-PT"/>
        </w:rPr>
        <w:t>, 2002).</w:t>
      </w:r>
    </w:p>
    <w:p w:rsidR="00C452C5" w:rsidRPr="00D902B5" w:rsidRDefault="00C452C5" w:rsidP="0096186D">
      <w:pPr>
        <w:spacing w:after="200"/>
        <w:ind w:left="284"/>
        <w:jc w:val="both"/>
        <w:rPr>
          <w:rFonts w:ascii="Trebuchet MS" w:hAnsi="Trebuchet MS"/>
          <w:b/>
          <w:shadow/>
          <w:color w:val="333399"/>
          <w:sz w:val="20"/>
          <w:szCs w:val="20"/>
        </w:rPr>
      </w:pPr>
    </w:p>
    <w:p w:rsidR="00EF46EE" w:rsidRPr="00751D14" w:rsidRDefault="00F13311" w:rsidP="00A3247F">
      <w:pPr>
        <w:spacing w:after="200" w:line="360" w:lineRule="auto"/>
        <w:ind w:left="284"/>
        <w:jc w:val="both"/>
        <w:rPr>
          <w:rFonts w:ascii="Trebuchet MS" w:hAnsi="Trebuchet MS"/>
          <w:b/>
          <w:smallCaps/>
          <w:shadow/>
          <w:color w:val="333399"/>
        </w:rPr>
      </w:pPr>
      <w:r>
        <w:rPr>
          <w:rFonts w:ascii="Trebuchet MS" w:hAnsi="Trebuchet MS"/>
          <w:b/>
          <w:shadow/>
          <w:color w:val="333399"/>
        </w:rPr>
        <w:t>1</w:t>
      </w:r>
      <w:r w:rsidR="00EF46EE" w:rsidRPr="00751D14">
        <w:rPr>
          <w:rFonts w:ascii="Trebuchet MS" w:hAnsi="Trebuchet MS"/>
          <w:b/>
          <w:shadow/>
          <w:color w:val="333399"/>
        </w:rPr>
        <w:t xml:space="preserve">.2.2. </w:t>
      </w:r>
      <w:r w:rsidR="00EF46EE" w:rsidRPr="00751D14">
        <w:rPr>
          <w:rFonts w:ascii="Trebuchet MS" w:hAnsi="Trebuchet MS"/>
          <w:b/>
          <w:smallCaps/>
          <w:shadow/>
          <w:color w:val="333399"/>
        </w:rPr>
        <w:t>Pré-condicionamento Químico</w:t>
      </w:r>
      <w:r w:rsidR="008651DE">
        <w:rPr>
          <w:rFonts w:ascii="Trebuchet MS" w:hAnsi="Trebuchet MS"/>
          <w:b/>
          <w:smallCaps/>
          <w:shadow/>
          <w:color w:val="333399"/>
        </w:rPr>
        <w:t xml:space="preserve"> (CPC)</w:t>
      </w:r>
    </w:p>
    <w:p w:rsidR="00EF46EE" w:rsidRPr="003B7012" w:rsidRDefault="00EF46EE" w:rsidP="00DA383C">
      <w:pPr>
        <w:autoSpaceDE w:val="0"/>
        <w:autoSpaceDN w:val="0"/>
        <w:adjustRightInd w:val="0"/>
        <w:spacing w:line="360" w:lineRule="auto"/>
        <w:ind w:firstLine="720"/>
        <w:jc w:val="both"/>
        <w:rPr>
          <w:rFonts w:ascii="Trebuchet MS" w:eastAsiaTheme="minorHAnsi" w:hAnsi="Trebuchet MS" w:cs="ArialMT"/>
          <w:sz w:val="20"/>
        </w:rPr>
      </w:pPr>
      <w:r w:rsidRPr="003B7012">
        <w:rPr>
          <w:rFonts w:ascii="Trebuchet MS" w:eastAsiaTheme="minorHAnsi" w:hAnsi="Trebuchet MS" w:cs="ArialMT"/>
          <w:sz w:val="20"/>
        </w:rPr>
        <w:t>Um dos principais objectivos</w:t>
      </w:r>
      <w:r w:rsidR="00F145BF" w:rsidRPr="003B7012">
        <w:rPr>
          <w:rFonts w:ascii="Trebuchet MS" w:eastAsiaTheme="minorHAnsi" w:hAnsi="Trebuchet MS" w:cs="ArialMT"/>
          <w:sz w:val="20"/>
        </w:rPr>
        <w:t xml:space="preserve"> </w:t>
      </w:r>
      <w:r w:rsidR="003A6242">
        <w:rPr>
          <w:rFonts w:ascii="Trebuchet MS" w:eastAsiaTheme="minorHAnsi" w:hAnsi="Trebuchet MS" w:cs="ArialMT"/>
          <w:sz w:val="20"/>
        </w:rPr>
        <w:t>do estudo das</w:t>
      </w:r>
      <w:r w:rsidRPr="003B7012">
        <w:rPr>
          <w:rFonts w:ascii="Trebuchet MS" w:eastAsiaTheme="minorHAnsi" w:hAnsi="Trebuchet MS" w:cs="ArialMT"/>
          <w:sz w:val="20"/>
        </w:rPr>
        <w:t xml:space="preserve"> vias envolvidas no IPC é </w:t>
      </w:r>
      <w:r w:rsidR="003A6242">
        <w:rPr>
          <w:rFonts w:ascii="Trebuchet MS" w:eastAsiaTheme="minorHAnsi" w:hAnsi="Trebuchet MS" w:cs="ArialMT"/>
          <w:sz w:val="20"/>
        </w:rPr>
        <w:t>a possibilidade de delinear novas terapias que permitem</w:t>
      </w:r>
      <w:r w:rsidRPr="003B7012">
        <w:rPr>
          <w:rFonts w:ascii="Trebuchet MS" w:eastAsiaTheme="minorHAnsi" w:hAnsi="Trebuchet MS" w:cs="ArialMT"/>
          <w:sz w:val="20"/>
        </w:rPr>
        <w:t xml:space="preserve"> imitar </w:t>
      </w:r>
      <w:r w:rsidR="003A6242">
        <w:rPr>
          <w:rFonts w:ascii="Trebuchet MS" w:eastAsiaTheme="minorHAnsi" w:hAnsi="Trebuchet MS" w:cs="ArialMT"/>
          <w:sz w:val="20"/>
        </w:rPr>
        <w:t xml:space="preserve">o </w:t>
      </w:r>
      <w:r w:rsidRPr="003B7012">
        <w:rPr>
          <w:rFonts w:ascii="Trebuchet MS" w:eastAsiaTheme="minorHAnsi" w:hAnsi="Trebuchet MS" w:cs="ArialMT"/>
          <w:sz w:val="20"/>
        </w:rPr>
        <w:t xml:space="preserve">IPC farmacologicamente. </w:t>
      </w:r>
      <w:r w:rsidR="007E5730" w:rsidRPr="003B7012">
        <w:rPr>
          <w:rFonts w:ascii="Trebuchet MS" w:eastAsiaTheme="minorHAnsi" w:hAnsi="Trebuchet MS" w:cs="ArialMT"/>
          <w:sz w:val="20"/>
        </w:rPr>
        <w:t>Um</w:t>
      </w:r>
      <w:r w:rsidR="003A6242">
        <w:rPr>
          <w:rFonts w:ascii="Trebuchet MS" w:eastAsiaTheme="minorHAnsi" w:hAnsi="Trebuchet MS" w:cs="ArialMT"/>
          <w:sz w:val="20"/>
        </w:rPr>
        <w:t>a</w:t>
      </w:r>
      <w:r w:rsidR="007E5730" w:rsidRPr="003B7012">
        <w:rPr>
          <w:rFonts w:ascii="Trebuchet MS" w:eastAsiaTheme="minorHAnsi" w:hAnsi="Trebuchet MS" w:cs="ArialMT"/>
          <w:sz w:val="20"/>
        </w:rPr>
        <w:t xml:space="preserve"> </w:t>
      </w:r>
      <w:r w:rsidR="003A6242">
        <w:rPr>
          <w:rFonts w:ascii="Trebuchet MS" w:eastAsiaTheme="minorHAnsi" w:hAnsi="Trebuchet MS" w:cs="ArialMT"/>
          <w:sz w:val="20"/>
        </w:rPr>
        <w:t>variedade</w:t>
      </w:r>
      <w:r w:rsidR="007E5730" w:rsidRPr="003B7012">
        <w:rPr>
          <w:rFonts w:ascii="Trebuchet MS" w:eastAsiaTheme="minorHAnsi" w:hAnsi="Trebuchet MS" w:cs="ArialMT"/>
          <w:sz w:val="20"/>
        </w:rPr>
        <w:t xml:space="preserve"> de diferentes </w:t>
      </w:r>
      <w:r w:rsidR="003A6242">
        <w:rPr>
          <w:rFonts w:ascii="Trebuchet MS" w:eastAsiaTheme="minorHAnsi" w:hAnsi="Trebuchet MS" w:cs="ArialMT"/>
          <w:sz w:val="20"/>
        </w:rPr>
        <w:t>moléculas</w:t>
      </w:r>
      <w:r w:rsidR="007E5730" w:rsidRPr="003B7012">
        <w:rPr>
          <w:rFonts w:ascii="Trebuchet MS" w:eastAsiaTheme="minorHAnsi" w:hAnsi="Trebuchet MS" w:cs="ArialMT"/>
          <w:sz w:val="20"/>
        </w:rPr>
        <w:t xml:space="preserve"> imita o IPC, tais como: sulfonilureias, anestésicos voláteis</w:t>
      </w:r>
      <w:r w:rsidR="004336E9" w:rsidRPr="003B7012">
        <w:rPr>
          <w:rFonts w:ascii="Trebuchet MS" w:eastAsiaTheme="minorHAnsi" w:hAnsi="Trebuchet MS" w:cs="ArialMT"/>
          <w:sz w:val="20"/>
        </w:rPr>
        <w:t>, levosime</w:t>
      </w:r>
      <w:r w:rsidR="004336E9" w:rsidRPr="003B7012">
        <w:rPr>
          <w:rFonts w:ascii="Trebuchet MS" w:eastAsiaTheme="minorHAnsi" w:hAnsi="Trebuchet MS" w:cs="ArialMT"/>
          <w:sz w:val="20"/>
        </w:rPr>
        <w:t>n</w:t>
      </w:r>
      <w:r w:rsidR="004336E9" w:rsidRPr="003B7012">
        <w:rPr>
          <w:rFonts w:ascii="Trebuchet MS" w:eastAsiaTheme="minorHAnsi" w:hAnsi="Trebuchet MS" w:cs="ArialMT"/>
          <w:sz w:val="20"/>
        </w:rPr>
        <w:t xml:space="preserve">dan, eritropoietina, opioides, e estrogénio, entre outros (Dirnagl </w:t>
      </w:r>
      <w:r w:rsidR="00F96813" w:rsidRPr="003B7012">
        <w:rPr>
          <w:rFonts w:ascii="Trebuchet MS" w:eastAsiaTheme="minorHAnsi" w:hAnsi="Trebuchet MS" w:cs="ArialMT"/>
          <w:i/>
          <w:sz w:val="20"/>
        </w:rPr>
        <w:t>et al.</w:t>
      </w:r>
      <w:r w:rsidR="004336E9" w:rsidRPr="003B7012">
        <w:rPr>
          <w:rFonts w:ascii="Trebuchet MS" w:eastAsiaTheme="minorHAnsi" w:hAnsi="Trebuchet MS" w:cs="ArialMT"/>
          <w:sz w:val="20"/>
        </w:rPr>
        <w:t>, 2003).</w:t>
      </w:r>
    </w:p>
    <w:p w:rsidR="00212775" w:rsidRDefault="00212775" w:rsidP="00D902B5">
      <w:pPr>
        <w:spacing w:line="360" w:lineRule="auto"/>
        <w:ind w:firstLine="851"/>
        <w:jc w:val="both"/>
        <w:rPr>
          <w:rFonts w:ascii="Trebuchet MS" w:hAnsi="Trebuchet MS"/>
          <w:b/>
          <w:shadow/>
          <w:color w:val="333399"/>
        </w:rPr>
      </w:pPr>
    </w:p>
    <w:p w:rsidR="00EF46EE" w:rsidRPr="002861BA" w:rsidRDefault="00F13311" w:rsidP="00E8097D">
      <w:pPr>
        <w:spacing w:after="120" w:line="360" w:lineRule="auto"/>
        <w:ind w:firstLine="567"/>
        <w:jc w:val="both"/>
        <w:rPr>
          <w:rFonts w:ascii="Trebuchet MS" w:hAnsi="Trebuchet MS"/>
          <w:b/>
          <w:smallCaps/>
          <w:shadow/>
          <w:color w:val="333399"/>
        </w:rPr>
      </w:pPr>
      <w:r>
        <w:rPr>
          <w:rFonts w:ascii="Trebuchet MS" w:hAnsi="Trebuchet MS"/>
          <w:b/>
          <w:shadow/>
          <w:color w:val="333399"/>
        </w:rPr>
        <w:t>1</w:t>
      </w:r>
      <w:r w:rsidR="00EF46EE" w:rsidRPr="002861BA">
        <w:rPr>
          <w:rFonts w:ascii="Trebuchet MS" w:hAnsi="Trebuchet MS"/>
          <w:b/>
          <w:shadow/>
          <w:color w:val="333399"/>
        </w:rPr>
        <w:t xml:space="preserve">.2.2.1. </w:t>
      </w:r>
      <w:r w:rsidR="00EF46EE" w:rsidRPr="002861BA">
        <w:rPr>
          <w:rFonts w:ascii="Trebuchet MS" w:hAnsi="Trebuchet MS"/>
          <w:b/>
          <w:smallCaps/>
          <w:shadow/>
          <w:color w:val="333399"/>
        </w:rPr>
        <w:t>Adenosina</w:t>
      </w:r>
      <w:r w:rsidR="004E18F1">
        <w:rPr>
          <w:rFonts w:ascii="Trebuchet MS" w:hAnsi="Trebuchet MS"/>
          <w:b/>
          <w:smallCaps/>
          <w:shadow/>
          <w:color w:val="333399"/>
        </w:rPr>
        <w:t xml:space="preserve"> e o </w:t>
      </w:r>
      <w:r>
        <w:rPr>
          <w:rFonts w:ascii="Trebuchet MS" w:hAnsi="Trebuchet MS"/>
          <w:b/>
          <w:smallCaps/>
          <w:shadow/>
          <w:color w:val="333399"/>
        </w:rPr>
        <w:t>S</w:t>
      </w:r>
      <w:r w:rsidR="004E18F1">
        <w:rPr>
          <w:rFonts w:ascii="Trebuchet MS" w:hAnsi="Trebuchet MS"/>
          <w:b/>
          <w:smallCaps/>
          <w:shadow/>
          <w:color w:val="333399"/>
        </w:rPr>
        <w:t xml:space="preserve">istema </w:t>
      </w:r>
      <w:r>
        <w:rPr>
          <w:rFonts w:ascii="Trebuchet MS" w:hAnsi="Trebuchet MS"/>
          <w:b/>
          <w:smallCaps/>
          <w:shadow/>
          <w:color w:val="333399"/>
        </w:rPr>
        <w:t>N</w:t>
      </w:r>
      <w:r w:rsidR="004E18F1">
        <w:rPr>
          <w:rFonts w:ascii="Trebuchet MS" w:hAnsi="Trebuchet MS"/>
          <w:b/>
          <w:smallCaps/>
          <w:shadow/>
          <w:color w:val="333399"/>
        </w:rPr>
        <w:t>ervoso</w:t>
      </w:r>
    </w:p>
    <w:p w:rsidR="004E18F1" w:rsidRPr="0055053C" w:rsidRDefault="0055053C" w:rsidP="0055053C">
      <w:pPr>
        <w:autoSpaceDE w:val="0"/>
        <w:autoSpaceDN w:val="0"/>
        <w:adjustRightInd w:val="0"/>
        <w:spacing w:line="360" w:lineRule="auto"/>
        <w:jc w:val="both"/>
        <w:rPr>
          <w:rFonts w:ascii="Trebuchet MS" w:hAnsi="Trebuchet MS" w:cs="NewCenturySchlbk-Roman"/>
          <w:sz w:val="20"/>
          <w:szCs w:val="20"/>
          <w:lang w:eastAsia="pt-PT"/>
        </w:rPr>
      </w:pPr>
      <w:r>
        <w:rPr>
          <w:rStyle w:val="hps"/>
          <w:rFonts w:ascii="Trebuchet MS" w:hAnsi="Trebuchet MS" w:cs="Arial"/>
          <w:color w:val="000000"/>
          <w:sz w:val="20"/>
          <w:szCs w:val="20"/>
        </w:rPr>
        <w:tab/>
      </w:r>
      <w:r w:rsidR="007E2482">
        <w:rPr>
          <w:rStyle w:val="hps"/>
          <w:rFonts w:ascii="Trebuchet MS" w:hAnsi="Trebuchet MS" w:cs="Arial"/>
          <w:color w:val="000000"/>
          <w:sz w:val="20"/>
          <w:szCs w:val="20"/>
        </w:rPr>
        <w:t xml:space="preserve">A Adenosina é um ribonucleósido constituído por uma base púrica (adenina) ligada a uma pentose (D-ribose). </w:t>
      </w:r>
      <w:r w:rsidRPr="0055053C">
        <w:rPr>
          <w:rStyle w:val="hps"/>
          <w:rFonts w:ascii="Trebuchet MS" w:hAnsi="Trebuchet MS" w:cs="Arial"/>
          <w:color w:val="000000"/>
          <w:sz w:val="20"/>
          <w:szCs w:val="20"/>
        </w:rPr>
        <w:t>A adenosina é</w:t>
      </w:r>
      <w:r w:rsidRPr="0055053C">
        <w:rPr>
          <w:rFonts w:ascii="Trebuchet MS" w:hAnsi="Trebuchet MS" w:cs="Arial"/>
          <w:color w:val="000000"/>
          <w:sz w:val="20"/>
          <w:szCs w:val="20"/>
        </w:rPr>
        <w:t xml:space="preserve"> </w:t>
      </w:r>
      <w:r w:rsidRPr="0055053C">
        <w:rPr>
          <w:rStyle w:val="hps"/>
          <w:rFonts w:ascii="Trebuchet MS" w:hAnsi="Trebuchet MS" w:cs="Arial"/>
          <w:color w:val="000000"/>
          <w:sz w:val="20"/>
          <w:szCs w:val="20"/>
        </w:rPr>
        <w:t>um</w:t>
      </w:r>
      <w:r w:rsidRPr="0055053C">
        <w:rPr>
          <w:rFonts w:ascii="Trebuchet MS" w:hAnsi="Trebuchet MS" w:cs="Arial"/>
          <w:color w:val="000000"/>
          <w:sz w:val="20"/>
          <w:szCs w:val="20"/>
        </w:rPr>
        <w:t xml:space="preserve"> </w:t>
      </w:r>
      <w:r w:rsidRPr="0055053C">
        <w:rPr>
          <w:rStyle w:val="hps"/>
          <w:rFonts w:ascii="Trebuchet MS" w:hAnsi="Trebuchet MS" w:cs="Arial"/>
          <w:color w:val="000000"/>
          <w:sz w:val="20"/>
          <w:szCs w:val="20"/>
        </w:rPr>
        <w:t>nucleósido</w:t>
      </w:r>
      <w:r w:rsidRPr="0055053C">
        <w:rPr>
          <w:rFonts w:ascii="Trebuchet MS" w:hAnsi="Trebuchet MS" w:cs="Arial"/>
          <w:color w:val="000000"/>
          <w:sz w:val="20"/>
          <w:szCs w:val="20"/>
        </w:rPr>
        <w:t xml:space="preserve"> </w:t>
      </w:r>
      <w:r w:rsidRPr="0055053C">
        <w:rPr>
          <w:rStyle w:val="hps"/>
          <w:rFonts w:ascii="Trebuchet MS" w:hAnsi="Trebuchet MS" w:cs="Arial"/>
          <w:color w:val="000000"/>
          <w:sz w:val="20"/>
          <w:szCs w:val="20"/>
        </w:rPr>
        <w:t>endógeno</w:t>
      </w:r>
      <w:r w:rsidRPr="0055053C">
        <w:rPr>
          <w:rFonts w:ascii="Trebuchet MS" w:hAnsi="Trebuchet MS" w:cs="Arial"/>
          <w:color w:val="000000"/>
          <w:sz w:val="20"/>
          <w:szCs w:val="20"/>
        </w:rPr>
        <w:t xml:space="preserve"> </w:t>
      </w:r>
      <w:r w:rsidRPr="0055053C">
        <w:rPr>
          <w:rStyle w:val="hps"/>
          <w:rFonts w:ascii="Trebuchet MS" w:hAnsi="Trebuchet MS" w:cs="Arial"/>
          <w:color w:val="000000"/>
          <w:sz w:val="20"/>
          <w:szCs w:val="20"/>
        </w:rPr>
        <w:t>que modula</w:t>
      </w:r>
      <w:r w:rsidRPr="0055053C">
        <w:rPr>
          <w:rFonts w:ascii="Trebuchet MS" w:hAnsi="Trebuchet MS" w:cs="Arial"/>
          <w:color w:val="000000"/>
          <w:sz w:val="20"/>
          <w:szCs w:val="20"/>
        </w:rPr>
        <w:t xml:space="preserve"> </w:t>
      </w:r>
      <w:r w:rsidRPr="0055053C">
        <w:rPr>
          <w:rStyle w:val="hps"/>
          <w:rFonts w:ascii="Trebuchet MS" w:hAnsi="Trebuchet MS" w:cs="Arial"/>
          <w:color w:val="000000"/>
          <w:sz w:val="20"/>
          <w:szCs w:val="20"/>
        </w:rPr>
        <w:t>diversos proce</w:t>
      </w:r>
      <w:r w:rsidRPr="0055053C">
        <w:rPr>
          <w:rStyle w:val="hps"/>
          <w:rFonts w:ascii="Trebuchet MS" w:hAnsi="Trebuchet MS" w:cs="Arial"/>
          <w:color w:val="000000"/>
          <w:sz w:val="20"/>
          <w:szCs w:val="20"/>
        </w:rPr>
        <w:t>s</w:t>
      </w:r>
      <w:r w:rsidRPr="0055053C">
        <w:rPr>
          <w:rStyle w:val="hps"/>
          <w:rFonts w:ascii="Trebuchet MS" w:hAnsi="Trebuchet MS" w:cs="Arial"/>
          <w:color w:val="000000"/>
          <w:sz w:val="20"/>
          <w:szCs w:val="20"/>
        </w:rPr>
        <w:t>sos</w:t>
      </w:r>
      <w:r w:rsidRPr="0055053C">
        <w:rPr>
          <w:rFonts w:ascii="Trebuchet MS" w:hAnsi="Trebuchet MS" w:cs="Arial"/>
          <w:color w:val="000000"/>
          <w:sz w:val="20"/>
          <w:szCs w:val="20"/>
        </w:rPr>
        <w:t xml:space="preserve"> </w:t>
      </w:r>
      <w:r w:rsidRPr="0055053C">
        <w:rPr>
          <w:rStyle w:val="hps"/>
          <w:rFonts w:ascii="Trebuchet MS" w:hAnsi="Trebuchet MS" w:cs="Arial"/>
          <w:color w:val="000000"/>
          <w:sz w:val="20"/>
          <w:szCs w:val="20"/>
        </w:rPr>
        <w:t xml:space="preserve">fisiológicos </w:t>
      </w:r>
      <w:r w:rsidRPr="0055053C">
        <w:rPr>
          <w:rFonts w:ascii="Trebuchet MS" w:hAnsi="Trebuchet MS" w:cs="NewCenturySchlbk-Roman"/>
          <w:sz w:val="20"/>
          <w:szCs w:val="20"/>
          <w:lang w:eastAsia="pt-PT"/>
        </w:rPr>
        <w:t>(</w:t>
      </w:r>
      <w:r w:rsidR="004149DC">
        <w:rPr>
          <w:rFonts w:ascii="Trebuchet MS" w:hAnsi="Trebuchet MS" w:cs="NewCenturySchlbk-Roman"/>
          <w:sz w:val="20"/>
          <w:szCs w:val="20"/>
          <w:lang w:eastAsia="pt-PT"/>
        </w:rPr>
        <w:t>Para revisão ver</w:t>
      </w:r>
      <w:r w:rsidRPr="0055053C">
        <w:rPr>
          <w:rFonts w:ascii="Trebuchet MS" w:hAnsi="Trebuchet MS" w:cs="NewCenturySchlbk-Roman"/>
          <w:sz w:val="20"/>
          <w:szCs w:val="20"/>
          <w:lang w:eastAsia="pt-PT"/>
        </w:rPr>
        <w:t xml:space="preserve"> Feoktistov and Biaggioni, 1997)</w:t>
      </w:r>
      <w:r w:rsidRPr="0055053C">
        <w:rPr>
          <w:rStyle w:val="hps"/>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A adenosina</w:t>
      </w:r>
      <w:r w:rsidR="004E18F1" w:rsidRPr="0055053C">
        <w:rPr>
          <w:rFonts w:ascii="Trebuchet MS" w:hAnsi="Trebuchet MS" w:cs="Arial"/>
          <w:color w:val="000000"/>
          <w:sz w:val="20"/>
          <w:szCs w:val="20"/>
        </w:rPr>
        <w:t xml:space="preserve"> modula a </w:t>
      </w:r>
      <w:r w:rsidR="004E18F1" w:rsidRPr="0055053C">
        <w:rPr>
          <w:rStyle w:val="hps"/>
          <w:rFonts w:ascii="Trebuchet MS" w:hAnsi="Trebuchet MS" w:cs="Arial"/>
          <w:color w:val="000000"/>
          <w:sz w:val="20"/>
          <w:szCs w:val="20"/>
        </w:rPr>
        <w:t>prol</w:t>
      </w:r>
      <w:r w:rsidR="004E18F1" w:rsidRPr="0055053C">
        <w:rPr>
          <w:rStyle w:val="hps"/>
          <w:rFonts w:ascii="Trebuchet MS" w:hAnsi="Trebuchet MS" w:cs="Arial"/>
          <w:color w:val="000000"/>
          <w:sz w:val="20"/>
          <w:szCs w:val="20"/>
        </w:rPr>
        <w:t>i</w:t>
      </w:r>
      <w:r w:rsidR="004E18F1" w:rsidRPr="0055053C">
        <w:rPr>
          <w:rStyle w:val="hps"/>
          <w:rFonts w:ascii="Trebuchet MS" w:hAnsi="Trebuchet MS" w:cs="Arial"/>
          <w:color w:val="000000"/>
          <w:sz w:val="20"/>
          <w:szCs w:val="20"/>
        </w:rPr>
        <w:t>feração</w:t>
      </w:r>
      <w:r w:rsidR="004E18F1" w:rsidRPr="0055053C">
        <w:rPr>
          <w:rFonts w:ascii="Trebuchet MS" w:hAnsi="Trebuchet MS" w:cs="Arial"/>
          <w:color w:val="000000"/>
          <w:sz w:val="20"/>
          <w:szCs w:val="20"/>
        </w:rPr>
        <w:t xml:space="preserve">, sobrevivência e </w:t>
      </w:r>
      <w:r w:rsidR="004E18F1" w:rsidRPr="0055053C">
        <w:rPr>
          <w:rStyle w:val="hps"/>
          <w:rFonts w:ascii="Trebuchet MS" w:hAnsi="Trebuchet MS" w:cs="Arial"/>
          <w:color w:val="000000"/>
          <w:sz w:val="20"/>
          <w:szCs w:val="20"/>
        </w:rPr>
        <w:t>apoptose</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de muitos tipos</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diferentes de células</w:t>
      </w:r>
      <w:r w:rsidR="004E18F1" w:rsidRPr="0055053C">
        <w:rPr>
          <w:rFonts w:ascii="Trebuchet MS" w:hAnsi="Trebuchet MS" w:cs="Arial"/>
          <w:color w:val="000000"/>
          <w:sz w:val="20"/>
          <w:szCs w:val="20"/>
        </w:rPr>
        <w:t xml:space="preserve">, desde </w:t>
      </w:r>
      <w:r w:rsidR="004E18F1" w:rsidRPr="0055053C">
        <w:rPr>
          <w:rStyle w:val="hps"/>
          <w:rFonts w:ascii="Trebuchet MS" w:hAnsi="Trebuchet MS" w:cs="Arial"/>
          <w:color w:val="000000"/>
          <w:sz w:val="20"/>
          <w:szCs w:val="20"/>
        </w:rPr>
        <w:t>células epit</w:t>
      </w:r>
      <w:r w:rsidR="004E18F1" w:rsidRPr="0055053C">
        <w:rPr>
          <w:rStyle w:val="hps"/>
          <w:rFonts w:ascii="Trebuchet MS" w:hAnsi="Trebuchet MS" w:cs="Arial"/>
          <w:color w:val="000000"/>
          <w:sz w:val="20"/>
          <w:szCs w:val="20"/>
        </w:rPr>
        <w:t>e</w:t>
      </w:r>
      <w:r w:rsidR="004E18F1" w:rsidRPr="0055053C">
        <w:rPr>
          <w:rStyle w:val="hps"/>
          <w:rFonts w:ascii="Trebuchet MS" w:hAnsi="Trebuchet MS" w:cs="Arial"/>
          <w:color w:val="000000"/>
          <w:sz w:val="20"/>
          <w:szCs w:val="20"/>
        </w:rPr>
        <w:t>liais,</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endoteliais</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 xml:space="preserve">e células do </w:t>
      </w:r>
      <w:r w:rsidR="007D22A4" w:rsidRPr="0055053C">
        <w:rPr>
          <w:rStyle w:val="hps"/>
          <w:rFonts w:ascii="Trebuchet MS" w:hAnsi="Trebuchet MS" w:cs="Arial"/>
          <w:color w:val="000000"/>
          <w:sz w:val="20"/>
          <w:szCs w:val="20"/>
        </w:rPr>
        <w:t>músculo</w:t>
      </w:r>
      <w:r w:rsidR="004E18F1" w:rsidRPr="0055053C">
        <w:rPr>
          <w:rStyle w:val="hps"/>
          <w:rFonts w:ascii="Trebuchet MS" w:hAnsi="Trebuchet MS" w:cs="Arial"/>
          <w:color w:val="000000"/>
          <w:sz w:val="20"/>
          <w:szCs w:val="20"/>
        </w:rPr>
        <w:t xml:space="preserve"> liso,</w:t>
      </w:r>
      <w:r w:rsidR="004E18F1" w:rsidRPr="0055053C">
        <w:rPr>
          <w:rFonts w:ascii="Trebuchet MS" w:hAnsi="Trebuchet MS" w:cs="Arial"/>
          <w:color w:val="000000"/>
          <w:sz w:val="20"/>
          <w:szCs w:val="20"/>
        </w:rPr>
        <w:t xml:space="preserve"> </w:t>
      </w:r>
      <w:r w:rsidR="007D22A4" w:rsidRPr="0055053C">
        <w:rPr>
          <w:rFonts w:ascii="Trebuchet MS" w:hAnsi="Trebuchet MS" w:cs="Arial"/>
          <w:color w:val="000000"/>
          <w:sz w:val="20"/>
          <w:szCs w:val="20"/>
        </w:rPr>
        <w:t xml:space="preserve">a </w:t>
      </w:r>
      <w:r w:rsidR="004E18F1" w:rsidRPr="0055053C">
        <w:rPr>
          <w:rStyle w:val="hps"/>
          <w:rFonts w:ascii="Trebuchet MS" w:hAnsi="Trebuchet MS" w:cs="Arial"/>
          <w:color w:val="000000"/>
          <w:sz w:val="20"/>
          <w:szCs w:val="20"/>
        </w:rPr>
        <w:t>células</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d</w:t>
      </w:r>
      <w:r w:rsidR="00AC5272" w:rsidRPr="0055053C">
        <w:rPr>
          <w:rStyle w:val="hps"/>
          <w:rFonts w:ascii="Trebuchet MS" w:hAnsi="Trebuchet MS" w:cs="Arial"/>
          <w:color w:val="000000"/>
          <w:sz w:val="20"/>
          <w:szCs w:val="20"/>
        </w:rPr>
        <w:t>e</w:t>
      </w:r>
      <w:r w:rsidR="004E18F1" w:rsidRPr="0055053C">
        <w:rPr>
          <w:rStyle w:val="hps"/>
          <w:rFonts w:ascii="Trebuchet MS" w:hAnsi="Trebuchet MS" w:cs="Arial"/>
          <w:color w:val="000000"/>
          <w:sz w:val="20"/>
          <w:szCs w:val="20"/>
        </w:rPr>
        <w:t xml:space="preserve"> linhagens</w:t>
      </w:r>
      <w:r w:rsidR="004E18F1" w:rsidRPr="0055053C">
        <w:rPr>
          <w:rFonts w:ascii="Trebuchet MS" w:hAnsi="Trebuchet MS" w:cs="Arial"/>
          <w:color w:val="000000"/>
          <w:sz w:val="20"/>
          <w:szCs w:val="20"/>
        </w:rPr>
        <w:t xml:space="preserve"> </w:t>
      </w:r>
      <w:r w:rsidR="00AC5272" w:rsidRPr="0055053C">
        <w:rPr>
          <w:rStyle w:val="hps"/>
          <w:rFonts w:ascii="Trebuchet MS" w:hAnsi="Trebuchet MS" w:cs="Arial"/>
          <w:color w:val="000000"/>
          <w:sz w:val="20"/>
          <w:szCs w:val="20"/>
        </w:rPr>
        <w:t>imunitárias</w:t>
      </w:r>
      <w:r w:rsidR="004E18F1" w:rsidRPr="0055053C">
        <w:rPr>
          <w:rStyle w:val="hps"/>
          <w:rFonts w:ascii="Trebuchet MS" w:hAnsi="Trebuchet MS" w:cs="Arial"/>
          <w:color w:val="000000"/>
          <w:sz w:val="20"/>
          <w:szCs w:val="20"/>
        </w:rPr>
        <w:t xml:space="preserve"> e</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neu</w:t>
      </w:r>
      <w:r w:rsidR="00AC5272" w:rsidRPr="0055053C">
        <w:rPr>
          <w:rStyle w:val="hps"/>
          <w:rFonts w:ascii="Trebuchet MS" w:hAnsi="Trebuchet MS" w:cs="Arial"/>
          <w:color w:val="000000"/>
          <w:sz w:val="20"/>
          <w:szCs w:val="20"/>
        </w:rPr>
        <w:t>ronais</w:t>
      </w:r>
      <w:r w:rsidR="004E18F1" w:rsidRPr="0055053C">
        <w:rPr>
          <w:rStyle w:val="hps"/>
          <w:rFonts w:ascii="Trebuchet MS" w:hAnsi="Trebuchet MS" w:cs="Arial"/>
          <w:color w:val="000000"/>
          <w:sz w:val="20"/>
          <w:szCs w:val="20"/>
        </w:rPr>
        <w:t xml:space="preserve"> (</w:t>
      </w:r>
      <w:r w:rsidR="004149DC">
        <w:rPr>
          <w:rFonts w:ascii="Trebuchet MS" w:hAnsi="Trebuchet MS" w:cs="Arial"/>
          <w:color w:val="000000"/>
          <w:sz w:val="20"/>
          <w:szCs w:val="20"/>
        </w:rPr>
        <w:t>Para revisão ver</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color w:val="000000"/>
          <w:sz w:val="20"/>
          <w:szCs w:val="20"/>
        </w:rPr>
        <w:t>Jacobson</w:t>
      </w:r>
      <w:r w:rsidR="004E18F1" w:rsidRPr="0055053C">
        <w:rPr>
          <w:rFonts w:ascii="Trebuchet MS" w:hAnsi="Trebuchet MS" w:cs="Arial"/>
          <w:color w:val="000000"/>
          <w:sz w:val="20"/>
          <w:szCs w:val="20"/>
        </w:rPr>
        <w:t xml:space="preserve"> </w:t>
      </w:r>
      <w:r w:rsidR="004E18F1" w:rsidRPr="0055053C">
        <w:rPr>
          <w:rStyle w:val="hps"/>
          <w:rFonts w:ascii="Trebuchet MS" w:hAnsi="Trebuchet MS" w:cs="Arial"/>
          <w:i/>
          <w:color w:val="000000"/>
          <w:sz w:val="20"/>
          <w:szCs w:val="20"/>
        </w:rPr>
        <w:t>et</w:t>
      </w:r>
      <w:r w:rsidR="004E18F1" w:rsidRPr="0055053C">
        <w:rPr>
          <w:rFonts w:ascii="Trebuchet MS" w:hAnsi="Trebuchet MS" w:cs="Arial"/>
          <w:i/>
          <w:color w:val="000000"/>
          <w:sz w:val="20"/>
          <w:szCs w:val="20"/>
        </w:rPr>
        <w:t xml:space="preserve"> </w:t>
      </w:r>
      <w:r w:rsidR="004E18F1" w:rsidRPr="0055053C">
        <w:rPr>
          <w:rStyle w:val="hps"/>
          <w:rFonts w:ascii="Trebuchet MS" w:hAnsi="Trebuchet MS" w:cs="Arial"/>
          <w:i/>
          <w:color w:val="000000"/>
          <w:sz w:val="20"/>
          <w:szCs w:val="20"/>
        </w:rPr>
        <w:t>al.</w:t>
      </w:r>
      <w:r w:rsidR="004E18F1" w:rsidRPr="0055053C">
        <w:rPr>
          <w:rFonts w:ascii="Trebuchet MS" w:hAnsi="Trebuchet MS" w:cs="Arial"/>
          <w:color w:val="000000"/>
          <w:sz w:val="20"/>
          <w:szCs w:val="20"/>
        </w:rPr>
        <w:t>, 1999).</w:t>
      </w:r>
      <w:r w:rsidR="00550166">
        <w:rPr>
          <w:rFonts w:ascii="Trebuchet MS" w:hAnsi="Trebuchet MS" w:cs="Arial"/>
          <w:color w:val="000000"/>
          <w:sz w:val="20"/>
          <w:szCs w:val="20"/>
        </w:rPr>
        <w:t xml:space="preserve"> Desta forma, a adenosina </w:t>
      </w:r>
      <w:r w:rsidR="00550166" w:rsidRPr="003B7012">
        <w:rPr>
          <w:rFonts w:ascii="Trebuchet MS" w:eastAsiaTheme="minorHAnsi" w:hAnsi="Trebuchet MS" w:cs="AdvTimes"/>
          <w:sz w:val="20"/>
          <w:szCs w:val="16"/>
        </w:rPr>
        <w:t>é um mediador biológico potente que afecta numerosos tipos de células, incluindo células neuronais, plaquetas, ne</w:t>
      </w:r>
      <w:r w:rsidR="00550166" w:rsidRPr="003B7012">
        <w:rPr>
          <w:rFonts w:ascii="Trebuchet MS" w:eastAsiaTheme="minorHAnsi" w:hAnsi="Trebuchet MS" w:cs="AdvTimes"/>
          <w:sz w:val="20"/>
          <w:szCs w:val="16"/>
        </w:rPr>
        <w:t>u</w:t>
      </w:r>
      <w:r w:rsidR="00550166" w:rsidRPr="003B7012">
        <w:rPr>
          <w:rFonts w:ascii="Trebuchet MS" w:eastAsiaTheme="minorHAnsi" w:hAnsi="Trebuchet MS" w:cs="AdvTimes"/>
          <w:sz w:val="20"/>
          <w:szCs w:val="16"/>
        </w:rPr>
        <w:t>trófilos e células do músculo liso</w:t>
      </w:r>
      <w:r w:rsidR="00550166">
        <w:rPr>
          <w:rFonts w:ascii="Trebuchet MS" w:eastAsiaTheme="minorHAnsi" w:hAnsi="Trebuchet MS" w:cs="AdvTimes"/>
          <w:sz w:val="20"/>
          <w:szCs w:val="16"/>
        </w:rPr>
        <w:t xml:space="preserve"> </w:t>
      </w:r>
      <w:r w:rsidR="00550166" w:rsidRPr="003B7012">
        <w:rPr>
          <w:rFonts w:ascii="Trebuchet MS" w:eastAsiaTheme="minorHAnsi" w:hAnsi="Trebuchet MS" w:cs="AdvTimes"/>
          <w:sz w:val="20"/>
          <w:szCs w:val="18"/>
        </w:rPr>
        <w:t>(</w:t>
      </w:r>
      <w:r w:rsidR="004149DC">
        <w:rPr>
          <w:rFonts w:ascii="Trebuchet MS" w:eastAsiaTheme="minorHAnsi" w:hAnsi="Trebuchet MS" w:cs="AdvTimes"/>
          <w:sz w:val="20"/>
          <w:szCs w:val="18"/>
        </w:rPr>
        <w:t>Para revisão ver</w:t>
      </w:r>
      <w:r w:rsidR="00550166" w:rsidRPr="003B7012">
        <w:rPr>
          <w:rFonts w:ascii="Trebuchet MS" w:eastAsiaTheme="minorHAnsi" w:hAnsi="Trebuchet MS" w:cs="AdvTimes"/>
          <w:sz w:val="20"/>
          <w:szCs w:val="18"/>
        </w:rPr>
        <w:t xml:space="preserve"> Daval </w:t>
      </w:r>
      <w:r w:rsidR="00550166" w:rsidRPr="003B7012">
        <w:rPr>
          <w:rFonts w:ascii="Trebuchet MS" w:eastAsiaTheme="minorHAnsi" w:hAnsi="Trebuchet MS" w:cs="AdvTimes"/>
          <w:i/>
          <w:sz w:val="20"/>
          <w:szCs w:val="18"/>
        </w:rPr>
        <w:t>et al.</w:t>
      </w:r>
      <w:r w:rsidR="00550166" w:rsidRPr="003B7012">
        <w:rPr>
          <w:rFonts w:ascii="Trebuchet MS" w:eastAsiaTheme="minorHAnsi" w:hAnsi="Trebuchet MS" w:cs="AdvTimes"/>
          <w:sz w:val="20"/>
          <w:szCs w:val="18"/>
        </w:rPr>
        <w:t>, 1991).</w:t>
      </w:r>
      <w:r w:rsidR="007E2482">
        <w:rPr>
          <w:rFonts w:ascii="Trebuchet MS" w:eastAsiaTheme="minorHAnsi" w:hAnsi="Trebuchet MS" w:cs="AdvTimes"/>
          <w:sz w:val="20"/>
          <w:szCs w:val="18"/>
        </w:rPr>
        <w:t xml:space="preserve"> A adenosina está envolvida em funções cruciais no sistema nervoso, tais como: neuromodolução da transmissão sináptica e neuroprotecção (Para revisão ver Dunwiddie and Masino, 2001).</w:t>
      </w:r>
    </w:p>
    <w:p w:rsidR="00D902B5" w:rsidRPr="003B7012" w:rsidRDefault="00D902B5" w:rsidP="00D902B5">
      <w:pPr>
        <w:autoSpaceDE w:val="0"/>
        <w:autoSpaceDN w:val="0"/>
        <w:adjustRightInd w:val="0"/>
        <w:spacing w:line="360" w:lineRule="auto"/>
        <w:ind w:firstLine="708"/>
        <w:jc w:val="both"/>
        <w:rPr>
          <w:rFonts w:ascii="Trebuchet MS" w:eastAsiaTheme="minorHAnsi" w:hAnsi="Trebuchet MS" w:cs="Times-Roman"/>
          <w:sz w:val="20"/>
          <w:szCs w:val="16"/>
        </w:rPr>
      </w:pPr>
      <w:r w:rsidRPr="003B7012">
        <w:rPr>
          <w:rFonts w:ascii="Trebuchet MS" w:eastAsiaTheme="minorHAnsi" w:hAnsi="Trebuchet MS" w:cs="AdvTimes"/>
          <w:sz w:val="20"/>
          <w:szCs w:val="16"/>
        </w:rPr>
        <w:lastRenderedPageBreak/>
        <w:t>A</w:t>
      </w:r>
      <w:r w:rsidR="003A6242">
        <w:rPr>
          <w:rFonts w:ascii="Trebuchet MS" w:eastAsiaTheme="minorHAnsi" w:hAnsi="Trebuchet MS" w:cs="AdvTimes"/>
          <w:sz w:val="20"/>
          <w:szCs w:val="16"/>
        </w:rPr>
        <w:t xml:space="preserve"> a</w:t>
      </w:r>
      <w:r w:rsidRPr="003B7012">
        <w:rPr>
          <w:rFonts w:ascii="Trebuchet MS" w:eastAsiaTheme="minorHAnsi" w:hAnsi="Trebuchet MS" w:cs="AdvTimes"/>
          <w:sz w:val="20"/>
          <w:szCs w:val="16"/>
        </w:rPr>
        <w:t>denosina é libertada de células metabolicamente activas por difusão facilitada ou é gerada por degradação do ATP</w:t>
      </w:r>
      <w:r w:rsidR="00F2351B">
        <w:rPr>
          <w:rFonts w:ascii="Trebuchet MS" w:eastAsiaTheme="minorHAnsi" w:hAnsi="Trebuchet MS" w:cs="AdvTimes"/>
          <w:sz w:val="20"/>
          <w:szCs w:val="16"/>
        </w:rPr>
        <w:t xml:space="preserve"> </w:t>
      </w:r>
      <w:r w:rsidRPr="003B7012">
        <w:rPr>
          <w:rFonts w:ascii="Trebuchet MS" w:eastAsiaTheme="minorHAnsi" w:hAnsi="Trebuchet MS" w:cs="AdvTimes"/>
          <w:sz w:val="20"/>
          <w:szCs w:val="16"/>
        </w:rPr>
        <w:t xml:space="preserve">libertado no espaço extracelular </w:t>
      </w:r>
      <w:r w:rsidRPr="003B7012">
        <w:rPr>
          <w:rFonts w:ascii="Trebuchet MS" w:eastAsiaTheme="minorHAnsi" w:hAnsi="Trebuchet MS" w:cs="AdvTimes"/>
          <w:sz w:val="20"/>
          <w:szCs w:val="18"/>
        </w:rPr>
        <w:t>(</w:t>
      </w:r>
      <w:r w:rsidR="004149DC">
        <w:rPr>
          <w:rFonts w:ascii="Trebuchet MS" w:eastAsiaTheme="minorHAnsi" w:hAnsi="Trebuchet MS" w:cs="AdvTimes"/>
          <w:sz w:val="20"/>
          <w:szCs w:val="18"/>
        </w:rPr>
        <w:t>Para revisão ver</w:t>
      </w:r>
      <w:r w:rsidRPr="003B7012">
        <w:rPr>
          <w:rFonts w:ascii="Trebuchet MS" w:eastAsiaTheme="minorHAnsi" w:hAnsi="Trebuchet MS" w:cs="AdvTimes"/>
          <w:sz w:val="20"/>
          <w:szCs w:val="18"/>
        </w:rPr>
        <w:t xml:space="preserve"> Daval </w:t>
      </w:r>
      <w:r w:rsidRPr="003B7012">
        <w:rPr>
          <w:rFonts w:ascii="Trebuchet MS" w:eastAsiaTheme="minorHAnsi" w:hAnsi="Trebuchet MS" w:cs="AdvTimes"/>
          <w:i/>
          <w:sz w:val="20"/>
          <w:szCs w:val="18"/>
        </w:rPr>
        <w:t>et al.</w:t>
      </w:r>
      <w:r w:rsidRPr="003B7012">
        <w:rPr>
          <w:rFonts w:ascii="Trebuchet MS" w:eastAsiaTheme="minorHAnsi" w:hAnsi="Trebuchet MS" w:cs="AdvTimes"/>
          <w:sz w:val="20"/>
          <w:szCs w:val="18"/>
        </w:rPr>
        <w:t xml:space="preserve">, 1991). </w:t>
      </w:r>
      <w:r w:rsidRPr="003B7012">
        <w:rPr>
          <w:rFonts w:ascii="Trebuchet MS" w:eastAsiaTheme="minorHAnsi" w:hAnsi="Trebuchet MS" w:cs="Times-Roman"/>
          <w:sz w:val="20"/>
          <w:szCs w:val="16"/>
        </w:rPr>
        <w:t xml:space="preserve">O nucleósido adenosina é rapidamente formado durante </w:t>
      </w:r>
      <w:r w:rsidR="003A6242">
        <w:rPr>
          <w:rFonts w:ascii="Trebuchet MS" w:eastAsiaTheme="minorHAnsi" w:hAnsi="Trebuchet MS" w:cs="Times-Roman"/>
          <w:sz w:val="20"/>
          <w:szCs w:val="16"/>
        </w:rPr>
        <w:t xml:space="preserve">a </w:t>
      </w:r>
      <w:r w:rsidRPr="003B7012">
        <w:rPr>
          <w:rFonts w:ascii="Trebuchet MS" w:eastAsiaTheme="minorHAnsi" w:hAnsi="Trebuchet MS" w:cs="Times-Roman"/>
          <w:sz w:val="20"/>
          <w:szCs w:val="16"/>
        </w:rPr>
        <w:t>isquémia, como result</w:t>
      </w:r>
      <w:r w:rsidRPr="003B7012">
        <w:rPr>
          <w:rFonts w:ascii="Trebuchet MS" w:eastAsiaTheme="minorHAnsi" w:hAnsi="Trebuchet MS" w:cs="Times-Roman"/>
          <w:sz w:val="20"/>
          <w:szCs w:val="16"/>
        </w:rPr>
        <w:t>a</w:t>
      </w:r>
      <w:r w:rsidRPr="003B7012">
        <w:rPr>
          <w:rFonts w:ascii="Trebuchet MS" w:eastAsiaTheme="minorHAnsi" w:hAnsi="Trebuchet MS" w:cs="Times-Roman"/>
          <w:sz w:val="20"/>
          <w:szCs w:val="16"/>
        </w:rPr>
        <w:t>do da degradação intracelular de ATP e é posteriormente transportado para o espaço extrac</w:t>
      </w:r>
      <w:r w:rsidRPr="003B7012">
        <w:rPr>
          <w:rFonts w:ascii="Trebuchet MS" w:eastAsiaTheme="minorHAnsi" w:hAnsi="Trebuchet MS" w:cs="Times-Roman"/>
          <w:sz w:val="20"/>
          <w:szCs w:val="16"/>
        </w:rPr>
        <w:t>e</w:t>
      </w:r>
      <w:r w:rsidRPr="003B7012">
        <w:rPr>
          <w:rFonts w:ascii="Trebuchet MS" w:eastAsiaTheme="minorHAnsi" w:hAnsi="Trebuchet MS" w:cs="Times-Roman"/>
          <w:sz w:val="20"/>
          <w:szCs w:val="16"/>
        </w:rPr>
        <w:t>lu</w:t>
      </w:r>
      <w:r w:rsidR="003A6242">
        <w:rPr>
          <w:rFonts w:ascii="Trebuchet MS" w:eastAsiaTheme="minorHAnsi" w:hAnsi="Trebuchet MS" w:cs="Times-Roman"/>
          <w:sz w:val="20"/>
          <w:szCs w:val="16"/>
        </w:rPr>
        <w:t>lar. O</w:t>
      </w:r>
      <w:r w:rsidRPr="003B7012">
        <w:rPr>
          <w:rFonts w:ascii="Trebuchet MS" w:eastAsiaTheme="minorHAnsi" w:hAnsi="Trebuchet MS" w:cs="Times-Roman"/>
          <w:sz w:val="20"/>
          <w:szCs w:val="16"/>
        </w:rPr>
        <w:t>bserv</w:t>
      </w:r>
      <w:r w:rsidR="003A6242">
        <w:rPr>
          <w:rFonts w:ascii="Trebuchet MS" w:eastAsiaTheme="minorHAnsi" w:hAnsi="Trebuchet MS" w:cs="Times-Roman"/>
          <w:sz w:val="20"/>
          <w:szCs w:val="16"/>
        </w:rPr>
        <w:t>ou-se</w:t>
      </w:r>
      <w:r w:rsidRPr="003B7012">
        <w:rPr>
          <w:rFonts w:ascii="Trebuchet MS" w:eastAsiaTheme="minorHAnsi" w:hAnsi="Trebuchet MS" w:cs="Times-Roman"/>
          <w:sz w:val="20"/>
          <w:szCs w:val="16"/>
        </w:rPr>
        <w:t xml:space="preserve">, assim, um aumento maciço de adenosina intersticial durante a isquémia, em diferentes áreas cerebrais (Rudolphi </w:t>
      </w:r>
      <w:r w:rsidRPr="003B7012">
        <w:rPr>
          <w:rFonts w:ascii="Trebuchet MS" w:eastAsiaTheme="minorHAnsi" w:hAnsi="Trebuchet MS" w:cs="Times-Roman"/>
          <w:i/>
          <w:sz w:val="20"/>
          <w:szCs w:val="16"/>
        </w:rPr>
        <w:t>et al.</w:t>
      </w:r>
      <w:r w:rsidRPr="003B7012">
        <w:rPr>
          <w:rFonts w:ascii="Trebuchet MS" w:eastAsiaTheme="minorHAnsi" w:hAnsi="Trebuchet MS" w:cs="Times-Roman"/>
          <w:sz w:val="20"/>
          <w:szCs w:val="16"/>
        </w:rPr>
        <w:t>, 1992).</w:t>
      </w:r>
    </w:p>
    <w:p w:rsidR="00DC1CEE" w:rsidRDefault="00FD6848" w:rsidP="00FF647B">
      <w:pPr>
        <w:autoSpaceDE w:val="0"/>
        <w:autoSpaceDN w:val="0"/>
        <w:adjustRightInd w:val="0"/>
        <w:spacing w:line="360" w:lineRule="auto"/>
        <w:ind w:firstLine="708"/>
        <w:jc w:val="both"/>
        <w:rPr>
          <w:rFonts w:ascii="Trebuchet MS" w:hAnsi="Trebuchet MS" w:cs="Arial"/>
          <w:sz w:val="20"/>
          <w:lang w:eastAsia="pt-PT"/>
        </w:rPr>
      </w:pPr>
      <w:r w:rsidRPr="0055053C">
        <w:rPr>
          <w:rFonts w:ascii="Trebuchet MS" w:hAnsi="Trebuchet MS" w:cs="Arial"/>
          <w:sz w:val="20"/>
          <w:szCs w:val="20"/>
          <w:lang w:eastAsia="pt-PT"/>
        </w:rPr>
        <w:t>A adenosina é libertada para o meio extracelular em diversas situações, quer fisiol</w:t>
      </w:r>
      <w:r w:rsidRPr="0055053C">
        <w:rPr>
          <w:rFonts w:ascii="Trebuchet MS" w:hAnsi="Trebuchet MS" w:cs="Arial"/>
          <w:sz w:val="20"/>
          <w:szCs w:val="20"/>
          <w:lang w:eastAsia="pt-PT"/>
        </w:rPr>
        <w:t>ó</w:t>
      </w:r>
      <w:r w:rsidRPr="0055053C">
        <w:rPr>
          <w:rFonts w:ascii="Trebuchet MS" w:hAnsi="Trebuchet MS" w:cs="Arial"/>
          <w:sz w:val="20"/>
          <w:szCs w:val="20"/>
          <w:lang w:eastAsia="pt-PT"/>
        </w:rPr>
        <w:t>gicas</w:t>
      </w:r>
      <w:r w:rsidR="009975C5" w:rsidRPr="0055053C">
        <w:rPr>
          <w:rFonts w:ascii="Trebuchet MS" w:hAnsi="Trebuchet MS" w:cs="Arial"/>
          <w:sz w:val="20"/>
          <w:szCs w:val="20"/>
          <w:lang w:eastAsia="pt-PT"/>
        </w:rPr>
        <w:t xml:space="preserve"> quer patológicas. A </w:t>
      </w:r>
      <w:r w:rsidR="009975C5" w:rsidRPr="00212775">
        <w:rPr>
          <w:rFonts w:ascii="Trebuchet MS" w:hAnsi="Trebuchet MS" w:cs="Arial"/>
          <w:sz w:val="20"/>
          <w:szCs w:val="20"/>
          <w:lang w:eastAsia="pt-PT"/>
        </w:rPr>
        <w:t xml:space="preserve">adenosina </w:t>
      </w:r>
      <w:r w:rsidRPr="00212775">
        <w:rPr>
          <w:rFonts w:ascii="Trebuchet MS" w:hAnsi="Trebuchet MS" w:cs="Arial"/>
          <w:sz w:val="20"/>
          <w:szCs w:val="20"/>
          <w:lang w:eastAsia="pt-PT"/>
        </w:rPr>
        <w:t>extracelular exerce os seus efeitos após activação de diferentes tipos de receptores localizados na membrana celular.</w:t>
      </w:r>
      <w:r w:rsidR="00212775" w:rsidRPr="00212775">
        <w:rPr>
          <w:rFonts w:ascii="Trebuchet MS" w:hAnsi="Trebuchet MS" w:cs="Arial"/>
          <w:color w:val="000000"/>
          <w:sz w:val="20"/>
          <w:szCs w:val="20"/>
        </w:rPr>
        <w:t xml:space="preserve"> A sua acção é mediada </w:t>
      </w:r>
      <w:r w:rsidR="00212775" w:rsidRPr="00212775">
        <w:rPr>
          <w:rStyle w:val="hps"/>
          <w:rFonts w:ascii="Trebuchet MS" w:hAnsi="Trebuchet MS" w:cs="Arial"/>
          <w:color w:val="000000"/>
          <w:sz w:val="20"/>
          <w:szCs w:val="20"/>
        </w:rPr>
        <w:t>pela interacção com</w:t>
      </w:r>
      <w:r w:rsidR="00212775" w:rsidRPr="00212775">
        <w:rPr>
          <w:rFonts w:ascii="Trebuchet MS" w:hAnsi="Trebuchet MS" w:cs="Arial"/>
          <w:color w:val="000000"/>
          <w:sz w:val="20"/>
          <w:szCs w:val="20"/>
        </w:rPr>
        <w:t xml:space="preserve"> </w:t>
      </w:r>
      <w:r w:rsidR="00212775" w:rsidRPr="00212775">
        <w:rPr>
          <w:rStyle w:val="hps"/>
          <w:rFonts w:ascii="Trebuchet MS" w:hAnsi="Trebuchet MS" w:cs="Arial"/>
          <w:color w:val="000000"/>
          <w:sz w:val="20"/>
          <w:szCs w:val="20"/>
        </w:rPr>
        <w:t>receptores</w:t>
      </w:r>
      <w:r w:rsidR="00212775" w:rsidRPr="00212775">
        <w:rPr>
          <w:rFonts w:ascii="Trebuchet MS" w:hAnsi="Trebuchet MS" w:cs="Arial"/>
          <w:color w:val="000000"/>
          <w:sz w:val="20"/>
          <w:szCs w:val="20"/>
        </w:rPr>
        <w:t xml:space="preserve"> </w:t>
      </w:r>
      <w:r w:rsidR="00212775" w:rsidRPr="00212775">
        <w:rPr>
          <w:rStyle w:val="hps"/>
          <w:rFonts w:ascii="Trebuchet MS" w:hAnsi="Trebuchet MS" w:cs="Arial"/>
          <w:color w:val="000000"/>
          <w:sz w:val="20"/>
          <w:szCs w:val="20"/>
        </w:rPr>
        <w:t>específicos da membrana celular</w:t>
      </w:r>
      <w:r w:rsidR="00212775" w:rsidRPr="00212775">
        <w:rPr>
          <w:rFonts w:ascii="Trebuchet MS" w:hAnsi="Trebuchet MS" w:cs="Arial"/>
          <w:color w:val="000000"/>
          <w:sz w:val="20"/>
          <w:szCs w:val="20"/>
        </w:rPr>
        <w:t>.</w:t>
      </w:r>
      <w:r w:rsidRPr="0055053C">
        <w:rPr>
          <w:rFonts w:ascii="Trebuchet MS" w:hAnsi="Trebuchet MS" w:cs="Arial"/>
          <w:sz w:val="20"/>
          <w:szCs w:val="20"/>
          <w:lang w:eastAsia="pt-PT"/>
        </w:rPr>
        <w:t xml:space="preserve"> </w:t>
      </w:r>
      <w:r w:rsidR="0055053C" w:rsidRPr="0055053C">
        <w:rPr>
          <w:rFonts w:ascii="Trebuchet MS" w:hAnsi="Trebuchet MS" w:cs="Arial"/>
          <w:sz w:val="20"/>
          <w:szCs w:val="20"/>
          <w:lang w:eastAsia="pt-PT"/>
        </w:rPr>
        <w:t>A</w:t>
      </w:r>
      <w:r w:rsidR="0055053C" w:rsidRPr="0055053C">
        <w:rPr>
          <w:rStyle w:val="hps"/>
          <w:rFonts w:ascii="Trebuchet MS" w:hAnsi="Trebuchet MS" w:cs="Arial"/>
          <w:sz w:val="20"/>
          <w:szCs w:val="20"/>
        </w:rPr>
        <w:t>través da activação dos rece</w:t>
      </w:r>
      <w:r w:rsidR="0055053C" w:rsidRPr="0055053C">
        <w:rPr>
          <w:rStyle w:val="hps"/>
          <w:rFonts w:ascii="Trebuchet MS" w:hAnsi="Trebuchet MS" w:cs="Arial"/>
          <w:sz w:val="20"/>
          <w:szCs w:val="20"/>
        </w:rPr>
        <w:t>p</w:t>
      </w:r>
      <w:r w:rsidR="0055053C" w:rsidRPr="0055053C">
        <w:rPr>
          <w:rStyle w:val="hps"/>
          <w:rFonts w:ascii="Trebuchet MS" w:hAnsi="Trebuchet MS" w:cs="Arial"/>
          <w:sz w:val="20"/>
          <w:szCs w:val="20"/>
        </w:rPr>
        <w:t xml:space="preserve">tores </w:t>
      </w:r>
      <w:r w:rsidR="00212775">
        <w:rPr>
          <w:rStyle w:val="hps"/>
          <w:rFonts w:ascii="Trebuchet MS" w:hAnsi="Trebuchet MS" w:cs="Arial"/>
          <w:sz w:val="20"/>
          <w:szCs w:val="20"/>
        </w:rPr>
        <w:t xml:space="preserve">específicos </w:t>
      </w:r>
      <w:r w:rsidR="0055053C" w:rsidRPr="0055053C">
        <w:rPr>
          <w:rStyle w:val="hps"/>
          <w:rFonts w:ascii="Trebuchet MS" w:hAnsi="Trebuchet MS" w:cs="Arial"/>
          <w:sz w:val="20"/>
          <w:szCs w:val="20"/>
        </w:rPr>
        <w:t>acoplados à proteína G presentes na superfície d</w:t>
      </w:r>
      <w:r w:rsidR="00212775">
        <w:rPr>
          <w:rStyle w:val="hps"/>
          <w:rFonts w:ascii="Trebuchet MS" w:hAnsi="Trebuchet MS" w:cs="Arial"/>
          <w:sz w:val="20"/>
          <w:szCs w:val="20"/>
        </w:rPr>
        <w:t>as</w:t>
      </w:r>
      <w:r w:rsidR="0055053C" w:rsidRPr="0055053C">
        <w:rPr>
          <w:rFonts w:ascii="Trebuchet MS" w:hAnsi="Trebuchet MS" w:cs="Arial"/>
          <w:sz w:val="20"/>
          <w:szCs w:val="20"/>
        </w:rPr>
        <w:t xml:space="preserve"> </w:t>
      </w:r>
      <w:r w:rsidR="0055053C" w:rsidRPr="0055053C">
        <w:rPr>
          <w:rStyle w:val="hps"/>
          <w:rFonts w:ascii="Trebuchet MS" w:hAnsi="Trebuchet MS" w:cs="Arial"/>
          <w:sz w:val="20"/>
          <w:szCs w:val="20"/>
        </w:rPr>
        <w:t>célu</w:t>
      </w:r>
      <w:r w:rsidR="00212775">
        <w:rPr>
          <w:rStyle w:val="hps"/>
          <w:rFonts w:ascii="Trebuchet MS" w:hAnsi="Trebuchet MS" w:cs="Arial"/>
          <w:sz w:val="20"/>
          <w:szCs w:val="20"/>
        </w:rPr>
        <w:t>las</w:t>
      </w:r>
      <w:r w:rsidR="0055053C" w:rsidRPr="0055053C">
        <w:rPr>
          <w:rStyle w:val="hps"/>
          <w:rFonts w:ascii="Trebuchet MS" w:hAnsi="Trebuchet MS" w:cs="Arial"/>
          <w:sz w:val="20"/>
          <w:szCs w:val="20"/>
        </w:rPr>
        <w:t xml:space="preserve">, </w:t>
      </w:r>
      <w:r w:rsidR="0055053C">
        <w:rPr>
          <w:rStyle w:val="hps"/>
          <w:rFonts w:ascii="Trebuchet MS" w:hAnsi="Trebuchet MS" w:cs="Arial"/>
          <w:sz w:val="20"/>
          <w:szCs w:val="20"/>
        </w:rPr>
        <w:t>a</w:t>
      </w:r>
      <w:r w:rsidR="00AC5272" w:rsidRPr="0055053C">
        <w:rPr>
          <w:rFonts w:ascii="Trebuchet MS" w:hAnsi="Trebuchet MS" w:cs="Arial"/>
          <w:sz w:val="20"/>
          <w:szCs w:val="20"/>
          <w:lang w:eastAsia="pt-PT"/>
        </w:rPr>
        <w:t xml:space="preserve"> adenosina extracelular actua</w:t>
      </w:r>
      <w:r w:rsidR="00AC5272" w:rsidRPr="0055053C">
        <w:rPr>
          <w:rFonts w:ascii="Trebuchet MS" w:hAnsi="Trebuchet MS" w:cs="Arial"/>
          <w:sz w:val="20"/>
          <w:szCs w:val="20"/>
        </w:rPr>
        <w:t xml:space="preserve"> </w:t>
      </w:r>
      <w:r w:rsidR="00AC5272" w:rsidRPr="0055053C">
        <w:rPr>
          <w:rStyle w:val="hps"/>
          <w:rFonts w:ascii="Trebuchet MS" w:hAnsi="Trebuchet MS" w:cs="Arial"/>
          <w:sz w:val="20"/>
          <w:szCs w:val="20"/>
        </w:rPr>
        <w:t>como</w:t>
      </w:r>
      <w:r w:rsidR="00AC5272" w:rsidRPr="0055053C">
        <w:rPr>
          <w:rFonts w:ascii="Trebuchet MS" w:hAnsi="Trebuchet MS" w:cs="Arial"/>
          <w:sz w:val="20"/>
          <w:szCs w:val="20"/>
        </w:rPr>
        <w:t xml:space="preserve"> </w:t>
      </w:r>
      <w:r w:rsidR="00AC5272" w:rsidRPr="0055053C">
        <w:rPr>
          <w:rStyle w:val="hps"/>
          <w:rFonts w:ascii="Trebuchet MS" w:hAnsi="Trebuchet MS" w:cs="Arial"/>
          <w:sz w:val="20"/>
          <w:szCs w:val="20"/>
        </w:rPr>
        <w:t>neuromoduladora</w:t>
      </w:r>
      <w:r w:rsidR="00AC5272" w:rsidRPr="0055053C">
        <w:rPr>
          <w:rFonts w:ascii="Trebuchet MS" w:hAnsi="Trebuchet MS" w:cs="Arial"/>
          <w:sz w:val="20"/>
          <w:szCs w:val="20"/>
        </w:rPr>
        <w:t xml:space="preserve"> </w:t>
      </w:r>
      <w:r w:rsidR="00AC5272" w:rsidRPr="0055053C">
        <w:rPr>
          <w:rStyle w:val="hps"/>
          <w:rFonts w:ascii="Trebuchet MS" w:hAnsi="Trebuchet MS" w:cs="Arial"/>
          <w:sz w:val="20"/>
          <w:szCs w:val="20"/>
        </w:rPr>
        <w:t>e reguladora</w:t>
      </w:r>
      <w:r w:rsidR="00AC5272" w:rsidRPr="0055053C">
        <w:rPr>
          <w:rFonts w:ascii="Trebuchet MS" w:hAnsi="Trebuchet MS" w:cs="Arial"/>
          <w:sz w:val="20"/>
          <w:szCs w:val="20"/>
        </w:rPr>
        <w:t xml:space="preserve"> </w:t>
      </w:r>
      <w:r w:rsidR="00AC5272" w:rsidRPr="0055053C">
        <w:rPr>
          <w:rStyle w:val="hps"/>
          <w:rFonts w:ascii="Trebuchet MS" w:hAnsi="Trebuchet MS" w:cs="Arial"/>
          <w:sz w:val="20"/>
          <w:szCs w:val="20"/>
        </w:rPr>
        <w:t>parácrina</w:t>
      </w:r>
      <w:r w:rsidR="003A6242">
        <w:rPr>
          <w:rStyle w:val="hps"/>
          <w:rFonts w:ascii="Trebuchet MS" w:hAnsi="Trebuchet MS" w:cs="Arial"/>
          <w:sz w:val="20"/>
          <w:szCs w:val="20"/>
        </w:rPr>
        <w:t xml:space="preserve"> e autócrina</w:t>
      </w:r>
      <w:r w:rsidR="00AC5272" w:rsidRPr="0055053C">
        <w:rPr>
          <w:rFonts w:ascii="Trebuchet MS" w:hAnsi="Trebuchet MS" w:cs="Arial"/>
          <w:sz w:val="20"/>
          <w:szCs w:val="20"/>
        </w:rPr>
        <w:t xml:space="preserve"> </w:t>
      </w:r>
      <w:r w:rsidR="00AC5272" w:rsidRPr="0055053C">
        <w:rPr>
          <w:rStyle w:val="hps"/>
          <w:rFonts w:ascii="Trebuchet MS" w:hAnsi="Trebuchet MS" w:cs="Arial"/>
          <w:sz w:val="20"/>
          <w:szCs w:val="20"/>
        </w:rPr>
        <w:t>em vários órgãos</w:t>
      </w:r>
      <w:r w:rsidR="00AC5272" w:rsidRPr="0055053C">
        <w:rPr>
          <w:rFonts w:ascii="Trebuchet MS" w:hAnsi="Trebuchet MS" w:cs="Arial"/>
          <w:sz w:val="20"/>
          <w:szCs w:val="20"/>
        </w:rPr>
        <w:t xml:space="preserve"> </w:t>
      </w:r>
      <w:r w:rsidR="00AC5272" w:rsidRPr="0055053C">
        <w:rPr>
          <w:rStyle w:val="hps"/>
          <w:rFonts w:ascii="Trebuchet MS" w:hAnsi="Trebuchet MS" w:cs="Arial"/>
          <w:sz w:val="20"/>
          <w:szCs w:val="20"/>
        </w:rPr>
        <w:t>e tecidos</w:t>
      </w:r>
      <w:r w:rsidR="00F07108">
        <w:rPr>
          <w:rStyle w:val="hps"/>
          <w:rFonts w:ascii="Trebuchet MS" w:hAnsi="Trebuchet MS" w:cs="Arial"/>
          <w:sz w:val="20"/>
          <w:szCs w:val="20"/>
        </w:rPr>
        <w:t xml:space="preserve"> </w:t>
      </w:r>
      <w:r w:rsidR="003A6242">
        <w:rPr>
          <w:rStyle w:val="hps"/>
          <w:rFonts w:ascii="Trebuchet MS" w:hAnsi="Trebuchet MS" w:cs="Arial"/>
          <w:sz w:val="20"/>
          <w:szCs w:val="20"/>
        </w:rPr>
        <w:t>(para r</w:t>
      </w:r>
      <w:r w:rsidR="00F07108" w:rsidRPr="0055053C">
        <w:rPr>
          <w:rFonts w:ascii="Trebuchet MS" w:hAnsi="Trebuchet MS" w:cs="NewCenturySchlbk-Roman"/>
          <w:sz w:val="20"/>
          <w:szCs w:val="20"/>
          <w:lang w:eastAsia="pt-PT"/>
        </w:rPr>
        <w:t xml:space="preserve">evisão </w:t>
      </w:r>
      <w:r w:rsidR="003A6242">
        <w:rPr>
          <w:rFonts w:ascii="Trebuchet MS" w:hAnsi="Trebuchet MS" w:cs="NewCenturySchlbk-Roman"/>
          <w:sz w:val="20"/>
          <w:szCs w:val="20"/>
          <w:lang w:eastAsia="pt-PT"/>
        </w:rPr>
        <w:t>ver</w:t>
      </w:r>
      <w:r w:rsidR="00F07108" w:rsidRPr="0055053C">
        <w:rPr>
          <w:rFonts w:ascii="Trebuchet MS" w:hAnsi="Trebuchet MS" w:cs="NewCenturySchlbk-Roman"/>
          <w:sz w:val="20"/>
          <w:szCs w:val="20"/>
          <w:lang w:eastAsia="pt-PT"/>
        </w:rPr>
        <w:t xml:space="preserve"> Feoktistov and Biaggioni, 1997</w:t>
      </w:r>
      <w:r w:rsidR="00F07108">
        <w:rPr>
          <w:rFonts w:ascii="Trebuchet MS" w:hAnsi="Trebuchet MS" w:cs="NewCenturySchlbk-Roman"/>
          <w:sz w:val="20"/>
          <w:szCs w:val="20"/>
          <w:lang w:eastAsia="pt-PT"/>
        </w:rPr>
        <w:t xml:space="preserve">; </w:t>
      </w:r>
      <w:r w:rsidR="00F07108" w:rsidRPr="0055053C">
        <w:rPr>
          <w:rStyle w:val="hps"/>
          <w:rFonts w:ascii="Trebuchet MS" w:hAnsi="Trebuchet MS" w:cs="Arial"/>
          <w:sz w:val="20"/>
          <w:szCs w:val="14"/>
        </w:rPr>
        <w:t>Jacobson</w:t>
      </w:r>
      <w:r w:rsidR="00F07108" w:rsidRPr="0055053C">
        <w:rPr>
          <w:rFonts w:ascii="Trebuchet MS" w:hAnsi="Trebuchet MS" w:cs="Arial"/>
          <w:sz w:val="20"/>
          <w:szCs w:val="14"/>
        </w:rPr>
        <w:t xml:space="preserve"> </w:t>
      </w:r>
      <w:r w:rsidR="00F07108" w:rsidRPr="0055053C">
        <w:rPr>
          <w:rStyle w:val="hps"/>
          <w:rFonts w:ascii="Trebuchet MS" w:hAnsi="Trebuchet MS" w:cs="Arial"/>
          <w:i/>
          <w:sz w:val="20"/>
          <w:szCs w:val="14"/>
        </w:rPr>
        <w:t>et</w:t>
      </w:r>
      <w:r w:rsidR="00F07108" w:rsidRPr="0055053C">
        <w:rPr>
          <w:rFonts w:ascii="Trebuchet MS" w:hAnsi="Trebuchet MS" w:cs="Arial"/>
          <w:i/>
          <w:sz w:val="20"/>
          <w:szCs w:val="14"/>
        </w:rPr>
        <w:t xml:space="preserve"> </w:t>
      </w:r>
      <w:r w:rsidR="00F07108" w:rsidRPr="0055053C">
        <w:rPr>
          <w:rStyle w:val="hps"/>
          <w:rFonts w:ascii="Trebuchet MS" w:hAnsi="Trebuchet MS" w:cs="Arial"/>
          <w:i/>
          <w:sz w:val="20"/>
          <w:szCs w:val="14"/>
        </w:rPr>
        <w:t>al.</w:t>
      </w:r>
      <w:r w:rsidR="00F07108" w:rsidRPr="0055053C">
        <w:rPr>
          <w:rFonts w:ascii="Trebuchet MS" w:hAnsi="Trebuchet MS" w:cs="Arial"/>
          <w:sz w:val="20"/>
          <w:szCs w:val="14"/>
        </w:rPr>
        <w:t>, 1999)</w:t>
      </w:r>
      <w:r w:rsidR="00F07108" w:rsidRPr="0055053C">
        <w:rPr>
          <w:rFonts w:ascii="Trebuchet MS" w:hAnsi="Trebuchet MS" w:cs="Arial"/>
          <w:sz w:val="20"/>
          <w:lang w:eastAsia="pt-PT"/>
        </w:rPr>
        <w:t>.</w:t>
      </w:r>
      <w:r w:rsidR="0055053C" w:rsidRPr="0055053C">
        <w:rPr>
          <w:rFonts w:ascii="Trebuchet MS" w:hAnsi="Trebuchet MS" w:cs="Arial"/>
          <w:sz w:val="20"/>
          <w:szCs w:val="14"/>
        </w:rPr>
        <w:t xml:space="preserve"> </w:t>
      </w:r>
      <w:r w:rsidR="00F07108" w:rsidRPr="003B7012">
        <w:rPr>
          <w:rFonts w:ascii="Trebuchet MS" w:eastAsiaTheme="minorHAnsi" w:hAnsi="Trebuchet MS" w:cs="AdvTimes"/>
          <w:sz w:val="20"/>
        </w:rPr>
        <w:t>A adenosina</w:t>
      </w:r>
      <w:r w:rsidR="00F07108" w:rsidRPr="003B7012">
        <w:rPr>
          <w:rFonts w:ascii="Trebuchet MS" w:eastAsiaTheme="minorHAnsi" w:hAnsi="Trebuchet MS" w:cs="AdvTimes"/>
          <w:sz w:val="20"/>
          <w:szCs w:val="16"/>
        </w:rPr>
        <w:t xml:space="preserve"> desempenha uma função parácrina porque é libertada em resposta ao stress isqu</w:t>
      </w:r>
      <w:r w:rsidR="00F07108" w:rsidRPr="003B7012">
        <w:rPr>
          <w:rFonts w:ascii="Trebuchet MS" w:eastAsiaTheme="minorHAnsi" w:hAnsi="Trebuchet MS" w:cs="AdvTimes"/>
          <w:sz w:val="20"/>
          <w:szCs w:val="16"/>
        </w:rPr>
        <w:t>é</w:t>
      </w:r>
      <w:r w:rsidR="00F07108" w:rsidRPr="003B7012">
        <w:rPr>
          <w:rFonts w:ascii="Trebuchet MS" w:eastAsiaTheme="minorHAnsi" w:hAnsi="Trebuchet MS" w:cs="AdvTimes"/>
          <w:sz w:val="20"/>
          <w:szCs w:val="16"/>
        </w:rPr>
        <w:t>mico e activa as células vizinhas dos locais d</w:t>
      </w:r>
      <w:r w:rsidR="00F07108">
        <w:rPr>
          <w:rFonts w:ascii="Trebuchet MS" w:eastAsiaTheme="minorHAnsi" w:hAnsi="Trebuchet MS" w:cs="AdvTimes"/>
          <w:sz w:val="20"/>
          <w:szCs w:val="16"/>
        </w:rPr>
        <w:t>a</w:t>
      </w:r>
      <w:r w:rsidR="00F07108" w:rsidRPr="003B7012">
        <w:rPr>
          <w:rFonts w:ascii="Trebuchet MS" w:eastAsiaTheme="minorHAnsi" w:hAnsi="Trebuchet MS" w:cs="AdvTimes"/>
          <w:sz w:val="20"/>
          <w:szCs w:val="16"/>
        </w:rPr>
        <w:t xml:space="preserve"> sua libertação (Fernández </w:t>
      </w:r>
      <w:r w:rsidR="00F07108" w:rsidRPr="003B7012">
        <w:rPr>
          <w:rFonts w:ascii="Trebuchet MS" w:eastAsiaTheme="minorHAnsi" w:hAnsi="Trebuchet MS" w:cs="AdvTimes"/>
          <w:i/>
          <w:sz w:val="20"/>
          <w:szCs w:val="16"/>
        </w:rPr>
        <w:t>et al.</w:t>
      </w:r>
      <w:r w:rsidR="00F07108" w:rsidRPr="003B7012">
        <w:rPr>
          <w:rFonts w:ascii="Trebuchet MS" w:eastAsiaTheme="minorHAnsi" w:hAnsi="Trebuchet MS" w:cs="AdvTimes"/>
          <w:sz w:val="20"/>
          <w:szCs w:val="16"/>
        </w:rPr>
        <w:t>, 2008).</w:t>
      </w:r>
      <w:r w:rsidR="00F07108">
        <w:rPr>
          <w:rFonts w:ascii="Trebuchet MS" w:eastAsiaTheme="minorHAnsi" w:hAnsi="Trebuchet MS" w:cs="AdvTimes"/>
          <w:sz w:val="20"/>
          <w:szCs w:val="16"/>
        </w:rPr>
        <w:t xml:space="preserve"> </w:t>
      </w:r>
      <w:r w:rsidRPr="0055053C">
        <w:rPr>
          <w:rFonts w:ascii="Trebuchet MS" w:hAnsi="Trebuchet MS" w:cs="Arial"/>
          <w:sz w:val="20"/>
          <w:lang w:eastAsia="pt-PT"/>
        </w:rPr>
        <w:t>Estão descritos 4 tipos de receptores da adenosina, acoplados a proteínas G</w:t>
      </w:r>
      <w:r w:rsidR="0055053C" w:rsidRPr="0055053C">
        <w:rPr>
          <w:rFonts w:ascii="Trebuchet MS" w:hAnsi="Trebuchet MS" w:cs="Arial"/>
          <w:sz w:val="20"/>
          <w:lang w:eastAsia="pt-PT"/>
        </w:rPr>
        <w:t>, classificados como</w:t>
      </w:r>
      <w:r w:rsidRPr="0055053C">
        <w:rPr>
          <w:rFonts w:ascii="Trebuchet MS" w:hAnsi="Trebuchet MS" w:cs="Arial"/>
          <w:sz w:val="20"/>
          <w:lang w:eastAsia="pt-PT"/>
        </w:rPr>
        <w:t>: A</w:t>
      </w:r>
      <w:r w:rsidRPr="0055053C">
        <w:rPr>
          <w:rFonts w:ascii="Trebuchet MS" w:hAnsi="Trebuchet MS" w:cs="Arial"/>
          <w:sz w:val="20"/>
          <w:vertAlign w:val="subscript"/>
          <w:lang w:eastAsia="pt-PT"/>
        </w:rPr>
        <w:t>1</w:t>
      </w:r>
      <w:r w:rsidRPr="0055053C">
        <w:rPr>
          <w:rFonts w:ascii="Trebuchet MS" w:hAnsi="Trebuchet MS" w:cs="Arial"/>
          <w:sz w:val="20"/>
          <w:lang w:eastAsia="pt-PT"/>
        </w:rPr>
        <w:t>, A</w:t>
      </w:r>
      <w:r w:rsidRPr="0055053C">
        <w:rPr>
          <w:rFonts w:ascii="Trebuchet MS" w:hAnsi="Trebuchet MS" w:cs="Arial"/>
          <w:sz w:val="20"/>
          <w:vertAlign w:val="subscript"/>
          <w:lang w:eastAsia="pt-PT"/>
        </w:rPr>
        <w:t>2A</w:t>
      </w:r>
      <w:r w:rsidRPr="0055053C">
        <w:rPr>
          <w:rFonts w:ascii="Trebuchet MS" w:hAnsi="Trebuchet MS" w:cs="Arial"/>
          <w:sz w:val="20"/>
          <w:lang w:eastAsia="pt-PT"/>
        </w:rPr>
        <w:t>, A</w:t>
      </w:r>
      <w:r w:rsidRPr="0055053C">
        <w:rPr>
          <w:rFonts w:ascii="Trebuchet MS" w:hAnsi="Trebuchet MS" w:cs="Arial"/>
          <w:sz w:val="20"/>
          <w:vertAlign w:val="subscript"/>
          <w:lang w:eastAsia="pt-PT"/>
        </w:rPr>
        <w:t>2B</w:t>
      </w:r>
      <w:r w:rsidRPr="0055053C">
        <w:rPr>
          <w:rFonts w:ascii="Trebuchet MS" w:hAnsi="Trebuchet MS" w:cs="Arial"/>
          <w:sz w:val="20"/>
          <w:lang w:eastAsia="pt-PT"/>
        </w:rPr>
        <w:t xml:space="preserve"> e A</w:t>
      </w:r>
      <w:r w:rsidRPr="0055053C">
        <w:rPr>
          <w:rFonts w:ascii="Trebuchet MS" w:hAnsi="Trebuchet MS" w:cs="Arial"/>
          <w:sz w:val="20"/>
          <w:vertAlign w:val="subscript"/>
          <w:lang w:eastAsia="pt-PT"/>
        </w:rPr>
        <w:t>3</w:t>
      </w:r>
      <w:r w:rsidR="00DC1CEE">
        <w:rPr>
          <w:rFonts w:ascii="Trebuchet MS" w:hAnsi="Trebuchet MS" w:cs="Arial"/>
          <w:sz w:val="20"/>
          <w:lang w:eastAsia="pt-PT"/>
        </w:rPr>
        <w:t xml:space="preserve">, sendo identificados por </w:t>
      </w:r>
      <w:r w:rsidR="007C38AB">
        <w:rPr>
          <w:rFonts w:ascii="Trebuchet MS" w:hAnsi="Trebuchet MS" w:cs="Arial"/>
          <w:sz w:val="20"/>
          <w:lang w:eastAsia="pt-PT"/>
        </w:rPr>
        <w:t>A</w:t>
      </w:r>
      <w:r w:rsidR="007C38AB" w:rsidRPr="007C38AB">
        <w:rPr>
          <w:rFonts w:ascii="Trebuchet MS" w:hAnsi="Trebuchet MS" w:cs="Arial"/>
          <w:sz w:val="20"/>
          <w:vertAlign w:val="subscript"/>
          <w:lang w:eastAsia="pt-PT"/>
        </w:rPr>
        <w:t>1</w:t>
      </w:r>
      <w:r w:rsidR="007C38AB">
        <w:rPr>
          <w:rFonts w:ascii="Trebuchet MS" w:hAnsi="Trebuchet MS" w:cs="Arial"/>
          <w:sz w:val="20"/>
          <w:lang w:eastAsia="pt-PT"/>
        </w:rPr>
        <w:t>R</w:t>
      </w:r>
      <w:r w:rsidR="00DC1CEE">
        <w:rPr>
          <w:rFonts w:ascii="Trebuchet MS" w:hAnsi="Trebuchet MS" w:cs="Arial"/>
          <w:sz w:val="20"/>
          <w:lang w:eastAsia="pt-PT"/>
        </w:rPr>
        <w:t>, A</w:t>
      </w:r>
      <w:r w:rsidR="00DC1CEE" w:rsidRPr="00DC1CEE">
        <w:rPr>
          <w:rFonts w:ascii="Trebuchet MS" w:hAnsi="Trebuchet MS" w:cs="Arial"/>
          <w:sz w:val="20"/>
          <w:vertAlign w:val="subscript"/>
          <w:lang w:eastAsia="pt-PT"/>
        </w:rPr>
        <w:t>2A</w:t>
      </w:r>
      <w:r w:rsidR="00DC1CEE">
        <w:rPr>
          <w:rFonts w:ascii="Trebuchet MS" w:hAnsi="Trebuchet MS" w:cs="Arial"/>
          <w:sz w:val="20"/>
          <w:lang w:eastAsia="pt-PT"/>
        </w:rPr>
        <w:t>R, A</w:t>
      </w:r>
      <w:r w:rsidR="00DC1CEE" w:rsidRPr="00DC1CEE">
        <w:rPr>
          <w:rFonts w:ascii="Trebuchet MS" w:hAnsi="Trebuchet MS" w:cs="Arial"/>
          <w:sz w:val="20"/>
          <w:vertAlign w:val="subscript"/>
          <w:lang w:eastAsia="pt-PT"/>
        </w:rPr>
        <w:t>2B</w:t>
      </w:r>
      <w:r w:rsidR="00DC1CEE">
        <w:rPr>
          <w:rFonts w:ascii="Trebuchet MS" w:hAnsi="Trebuchet MS" w:cs="Arial"/>
          <w:sz w:val="20"/>
          <w:lang w:eastAsia="pt-PT"/>
        </w:rPr>
        <w:t>R e A</w:t>
      </w:r>
      <w:r w:rsidR="00DC1CEE" w:rsidRPr="00DC1CEE">
        <w:rPr>
          <w:rFonts w:ascii="Trebuchet MS" w:hAnsi="Trebuchet MS" w:cs="Arial"/>
          <w:sz w:val="20"/>
          <w:vertAlign w:val="subscript"/>
          <w:lang w:eastAsia="pt-PT"/>
        </w:rPr>
        <w:t>3</w:t>
      </w:r>
      <w:r w:rsidR="00DC1CEE">
        <w:rPr>
          <w:rFonts w:ascii="Trebuchet MS" w:hAnsi="Trebuchet MS" w:cs="Arial"/>
          <w:sz w:val="20"/>
          <w:lang w:eastAsia="pt-PT"/>
        </w:rPr>
        <w:t>R</w:t>
      </w:r>
      <w:r w:rsidR="0055053C" w:rsidRPr="0055053C">
        <w:rPr>
          <w:rFonts w:ascii="Trebuchet MS" w:hAnsi="Trebuchet MS" w:cs="Arial"/>
          <w:sz w:val="20"/>
          <w:vertAlign w:val="subscript"/>
          <w:lang w:eastAsia="pt-PT"/>
        </w:rPr>
        <w:t xml:space="preserve"> </w:t>
      </w:r>
      <w:r w:rsidR="0055053C" w:rsidRPr="0055053C">
        <w:rPr>
          <w:rStyle w:val="hps"/>
          <w:rFonts w:ascii="Trebuchet MS" w:hAnsi="Trebuchet MS" w:cs="Arial"/>
          <w:sz w:val="20"/>
          <w:szCs w:val="14"/>
        </w:rPr>
        <w:t>(</w:t>
      </w:r>
      <w:r w:rsidR="004149DC">
        <w:rPr>
          <w:rFonts w:ascii="Trebuchet MS" w:hAnsi="Trebuchet MS" w:cs="NewCenturySchlbk-Roman"/>
          <w:sz w:val="20"/>
          <w:szCs w:val="20"/>
          <w:lang w:eastAsia="pt-PT"/>
        </w:rPr>
        <w:t>Para revisão ver</w:t>
      </w:r>
      <w:r w:rsidR="00CF46A2" w:rsidRPr="0055053C">
        <w:rPr>
          <w:rFonts w:ascii="Trebuchet MS" w:hAnsi="Trebuchet MS" w:cs="NewCenturySchlbk-Roman"/>
          <w:sz w:val="20"/>
          <w:szCs w:val="20"/>
          <w:lang w:eastAsia="pt-PT"/>
        </w:rPr>
        <w:t xml:space="preserve"> Feoktistov and Biaggioni, 1997</w:t>
      </w:r>
      <w:r w:rsidR="00CF46A2">
        <w:rPr>
          <w:rFonts w:ascii="Trebuchet MS" w:hAnsi="Trebuchet MS" w:cs="NewCenturySchlbk-Roman"/>
          <w:sz w:val="20"/>
          <w:szCs w:val="20"/>
          <w:lang w:eastAsia="pt-PT"/>
        </w:rPr>
        <w:t xml:space="preserve">; </w:t>
      </w:r>
      <w:r w:rsidR="004149DC">
        <w:rPr>
          <w:rFonts w:ascii="Trebuchet MS" w:hAnsi="Trebuchet MS" w:cs="Arial"/>
          <w:sz w:val="20"/>
          <w:szCs w:val="14"/>
        </w:rPr>
        <w:t>Para revisão ver</w:t>
      </w:r>
      <w:r w:rsidR="0055053C" w:rsidRPr="0055053C">
        <w:rPr>
          <w:rFonts w:ascii="Trebuchet MS" w:hAnsi="Trebuchet MS" w:cs="Arial"/>
          <w:sz w:val="20"/>
          <w:szCs w:val="14"/>
        </w:rPr>
        <w:t xml:space="preserve"> </w:t>
      </w:r>
      <w:r w:rsidR="0055053C" w:rsidRPr="0055053C">
        <w:rPr>
          <w:rStyle w:val="hps"/>
          <w:rFonts w:ascii="Trebuchet MS" w:hAnsi="Trebuchet MS" w:cs="Arial"/>
          <w:sz w:val="20"/>
          <w:szCs w:val="14"/>
        </w:rPr>
        <w:t>Jacobson</w:t>
      </w:r>
      <w:r w:rsidR="0055053C" w:rsidRPr="0055053C">
        <w:rPr>
          <w:rFonts w:ascii="Trebuchet MS" w:hAnsi="Trebuchet MS" w:cs="Arial"/>
          <w:sz w:val="20"/>
          <w:szCs w:val="14"/>
        </w:rPr>
        <w:t xml:space="preserve"> </w:t>
      </w:r>
      <w:r w:rsidR="0055053C" w:rsidRPr="0055053C">
        <w:rPr>
          <w:rStyle w:val="hps"/>
          <w:rFonts w:ascii="Trebuchet MS" w:hAnsi="Trebuchet MS" w:cs="Arial"/>
          <w:i/>
          <w:sz w:val="20"/>
          <w:szCs w:val="14"/>
        </w:rPr>
        <w:t>et</w:t>
      </w:r>
      <w:r w:rsidR="0055053C" w:rsidRPr="0055053C">
        <w:rPr>
          <w:rFonts w:ascii="Trebuchet MS" w:hAnsi="Trebuchet MS" w:cs="Arial"/>
          <w:i/>
          <w:sz w:val="20"/>
          <w:szCs w:val="14"/>
        </w:rPr>
        <w:t xml:space="preserve"> </w:t>
      </w:r>
      <w:r w:rsidR="0055053C" w:rsidRPr="0055053C">
        <w:rPr>
          <w:rStyle w:val="hps"/>
          <w:rFonts w:ascii="Trebuchet MS" w:hAnsi="Trebuchet MS" w:cs="Arial"/>
          <w:i/>
          <w:sz w:val="20"/>
          <w:szCs w:val="14"/>
        </w:rPr>
        <w:t>al.</w:t>
      </w:r>
      <w:r w:rsidR="0055053C" w:rsidRPr="0055053C">
        <w:rPr>
          <w:rFonts w:ascii="Trebuchet MS" w:hAnsi="Trebuchet MS" w:cs="Arial"/>
          <w:sz w:val="20"/>
          <w:szCs w:val="14"/>
        </w:rPr>
        <w:t>, 1999)</w:t>
      </w:r>
      <w:r w:rsidRPr="0055053C">
        <w:rPr>
          <w:rFonts w:ascii="Trebuchet MS" w:hAnsi="Trebuchet MS" w:cs="Arial"/>
          <w:sz w:val="20"/>
          <w:lang w:eastAsia="pt-PT"/>
        </w:rPr>
        <w:t>.</w:t>
      </w:r>
    </w:p>
    <w:p w:rsidR="00FF647B" w:rsidRPr="003B7012" w:rsidRDefault="00FF647B" w:rsidP="00FF647B">
      <w:pPr>
        <w:autoSpaceDE w:val="0"/>
        <w:autoSpaceDN w:val="0"/>
        <w:adjustRightInd w:val="0"/>
        <w:spacing w:line="360" w:lineRule="auto"/>
        <w:ind w:firstLine="708"/>
        <w:jc w:val="both"/>
        <w:rPr>
          <w:rFonts w:ascii="Trebuchet MS" w:eastAsiaTheme="minorHAnsi" w:hAnsi="Trebuchet MS" w:cs="AdvTimes"/>
          <w:sz w:val="20"/>
        </w:rPr>
      </w:pPr>
      <w:r w:rsidRPr="003B7012">
        <w:rPr>
          <w:rFonts w:ascii="Trebuchet MS" w:eastAsiaTheme="minorHAnsi" w:hAnsi="Trebuchet MS" w:cs="AdvTimes"/>
          <w:sz w:val="20"/>
        </w:rPr>
        <w:t>O hipocampo é uma região do cérebro particularmente vulnerável aos insultos isqu</w:t>
      </w:r>
      <w:r w:rsidRPr="003B7012">
        <w:rPr>
          <w:rFonts w:ascii="Trebuchet MS" w:eastAsiaTheme="minorHAnsi" w:hAnsi="Trebuchet MS" w:cs="AdvTimes"/>
          <w:sz w:val="20"/>
        </w:rPr>
        <w:t>é</w:t>
      </w:r>
      <w:r w:rsidRPr="003B7012">
        <w:rPr>
          <w:rFonts w:ascii="Trebuchet MS" w:eastAsiaTheme="minorHAnsi" w:hAnsi="Trebuchet MS" w:cs="AdvTimes"/>
          <w:sz w:val="20"/>
        </w:rPr>
        <w:t xml:space="preserve">micos, e </w:t>
      </w:r>
      <w:r w:rsidR="00780AE0">
        <w:rPr>
          <w:rFonts w:ascii="Trebuchet MS" w:eastAsiaTheme="minorHAnsi" w:hAnsi="Trebuchet MS" w:cs="AdvTimes"/>
          <w:sz w:val="20"/>
        </w:rPr>
        <w:t xml:space="preserve">a </w:t>
      </w:r>
      <w:r w:rsidRPr="003B7012">
        <w:rPr>
          <w:rFonts w:ascii="Trebuchet MS" w:eastAsiaTheme="minorHAnsi" w:hAnsi="Trebuchet MS" w:cs="AdvTimes"/>
          <w:sz w:val="20"/>
        </w:rPr>
        <w:t xml:space="preserve">adenosina, principalmente por activação inibitória dos </w:t>
      </w:r>
      <w:r w:rsidR="007C38AB">
        <w:rPr>
          <w:rFonts w:ascii="Trebuchet MS" w:eastAsiaTheme="minorHAnsi" w:hAnsi="Trebuchet MS" w:cs="AdvTimes"/>
          <w:sz w:val="20"/>
        </w:rPr>
        <w:t>A</w:t>
      </w:r>
      <w:r w:rsidR="007C38AB" w:rsidRPr="007C38AB">
        <w:rPr>
          <w:rFonts w:ascii="Trebuchet MS" w:eastAsiaTheme="minorHAnsi" w:hAnsi="Trebuchet MS" w:cs="AdvTimes"/>
          <w:sz w:val="20"/>
          <w:vertAlign w:val="subscript"/>
        </w:rPr>
        <w:t>1</w:t>
      </w:r>
      <w:r w:rsidR="007C38AB">
        <w:rPr>
          <w:rFonts w:ascii="Trebuchet MS" w:eastAsiaTheme="minorHAnsi" w:hAnsi="Trebuchet MS" w:cs="AdvTimes"/>
          <w:sz w:val="20"/>
        </w:rPr>
        <w:t>R</w:t>
      </w:r>
      <w:r w:rsidRPr="003B7012">
        <w:rPr>
          <w:rFonts w:ascii="Trebuchet MS" w:eastAsiaTheme="minorHAnsi" w:hAnsi="Trebuchet MS" w:cs="AdvTimes"/>
          <w:sz w:val="20"/>
        </w:rPr>
        <w:t>, que desempenham um importan</w:t>
      </w:r>
      <w:r w:rsidR="00780AE0">
        <w:rPr>
          <w:rFonts w:ascii="Trebuchet MS" w:eastAsiaTheme="minorHAnsi" w:hAnsi="Trebuchet MS" w:cs="AdvTimes"/>
          <w:sz w:val="20"/>
        </w:rPr>
        <w:t>te papel neuroprotector, reduz</w:t>
      </w:r>
      <w:r w:rsidRPr="003B7012">
        <w:rPr>
          <w:rFonts w:ascii="Trebuchet MS" w:eastAsiaTheme="minorHAnsi" w:hAnsi="Trebuchet MS" w:cs="AdvTimes"/>
          <w:sz w:val="20"/>
        </w:rPr>
        <w:t xml:space="preserve"> o dano neuronal provocado por hipóxia/isquémia (Rudolphi </w:t>
      </w:r>
      <w:r w:rsidR="00F96813" w:rsidRPr="003B7012">
        <w:rPr>
          <w:rFonts w:ascii="Trebuchet MS" w:eastAsiaTheme="minorHAnsi" w:hAnsi="Trebuchet MS" w:cs="AdvTimes"/>
          <w:i/>
          <w:sz w:val="20"/>
        </w:rPr>
        <w:t>et al.</w:t>
      </w:r>
      <w:r w:rsidRPr="003B7012">
        <w:rPr>
          <w:rFonts w:ascii="Trebuchet MS" w:eastAsiaTheme="minorHAnsi" w:hAnsi="Trebuchet MS" w:cs="AdvTimes"/>
          <w:sz w:val="20"/>
        </w:rPr>
        <w:t>, 1992).</w:t>
      </w:r>
    </w:p>
    <w:p w:rsidR="00931C03" w:rsidRPr="00997A72" w:rsidRDefault="00DC1CEE" w:rsidP="007B306F">
      <w:pPr>
        <w:autoSpaceDE w:val="0"/>
        <w:autoSpaceDN w:val="0"/>
        <w:adjustRightInd w:val="0"/>
        <w:spacing w:line="360" w:lineRule="auto"/>
        <w:ind w:firstLine="708"/>
        <w:jc w:val="both"/>
        <w:rPr>
          <w:rFonts w:ascii="Trebuchet MS" w:eastAsiaTheme="minorHAnsi" w:hAnsi="Trebuchet MS"/>
          <w:sz w:val="20"/>
        </w:rPr>
      </w:pPr>
      <w:r>
        <w:rPr>
          <w:rFonts w:ascii="Trebuchet MS" w:eastAsiaTheme="minorHAnsi" w:hAnsi="Trebuchet MS" w:cs="AdvTimes"/>
          <w:b/>
          <w:sz w:val="20"/>
        </w:rPr>
        <w:t>A a</w:t>
      </w:r>
      <w:r w:rsidR="00FF647B" w:rsidRPr="003B7012">
        <w:rPr>
          <w:rFonts w:ascii="Trebuchet MS" w:eastAsiaTheme="minorHAnsi" w:hAnsi="Trebuchet MS" w:cs="AdvTimes"/>
          <w:b/>
          <w:sz w:val="20"/>
        </w:rPr>
        <w:t>denosina</w:t>
      </w:r>
      <w:r w:rsidR="00FF647B" w:rsidRPr="003B7012">
        <w:rPr>
          <w:rFonts w:ascii="Trebuchet MS" w:eastAsiaTheme="minorHAnsi" w:hAnsi="Trebuchet MS" w:cs="AdvTimes"/>
          <w:sz w:val="20"/>
        </w:rPr>
        <w:t xml:space="preserve"> é conhecida por actuar como </w:t>
      </w:r>
      <w:r w:rsidR="00FF647B" w:rsidRPr="003B7012">
        <w:rPr>
          <w:rFonts w:ascii="Trebuchet MS" w:eastAsiaTheme="minorHAnsi" w:hAnsi="Trebuchet MS" w:cs="AdvTimes"/>
          <w:b/>
          <w:sz w:val="20"/>
        </w:rPr>
        <w:t>neuromoduladora</w:t>
      </w:r>
      <w:r w:rsidR="00FF647B" w:rsidRPr="003B7012">
        <w:rPr>
          <w:rFonts w:ascii="Trebuchet MS" w:eastAsiaTheme="minorHAnsi" w:hAnsi="Trebuchet MS" w:cs="AdvTimes"/>
          <w:sz w:val="20"/>
        </w:rPr>
        <w:t xml:space="preserve"> por </w:t>
      </w:r>
      <w:r w:rsidR="001D588B">
        <w:rPr>
          <w:rFonts w:ascii="Trebuchet MS" w:eastAsiaTheme="minorHAnsi" w:hAnsi="Trebuchet MS" w:cs="AdvTimes"/>
          <w:sz w:val="20"/>
        </w:rPr>
        <w:t>inibir</w:t>
      </w:r>
      <w:r w:rsidR="00FF647B" w:rsidRPr="003B7012">
        <w:rPr>
          <w:rFonts w:ascii="Trebuchet MS" w:eastAsiaTheme="minorHAnsi" w:hAnsi="Trebuchet MS" w:cs="AdvTimes"/>
          <w:sz w:val="20"/>
        </w:rPr>
        <w:t xml:space="preserve"> a transmissão sináptica (&gt;</w:t>
      </w:r>
      <w:r w:rsidR="002C3455">
        <w:rPr>
          <w:rFonts w:ascii="Trebuchet MS" w:eastAsiaTheme="minorHAnsi" w:hAnsi="Trebuchet MS" w:cs="AdvTimes"/>
          <w:sz w:val="20"/>
        </w:rPr>
        <w:t xml:space="preserve"> </w:t>
      </w:r>
      <w:r w:rsidR="00FF647B" w:rsidRPr="003B7012">
        <w:rPr>
          <w:rFonts w:ascii="Trebuchet MS" w:eastAsiaTheme="minorHAnsi" w:hAnsi="Trebuchet MS" w:cs="AdvTimes"/>
          <w:sz w:val="20"/>
        </w:rPr>
        <w:t>75%) no sistema nervoso central (SNC) e sistema nervoso periférico (</w:t>
      </w:r>
      <w:r w:rsidR="007B306F" w:rsidRPr="003B7012">
        <w:rPr>
          <w:rFonts w:ascii="Trebuchet MS" w:eastAsiaTheme="minorHAnsi" w:hAnsi="Trebuchet MS" w:cs="AdvTimes"/>
          <w:sz w:val="20"/>
        </w:rPr>
        <w:t xml:space="preserve">Dunwiddie and Diao, 1994; </w:t>
      </w:r>
      <w:r w:rsidR="00FF647B" w:rsidRPr="003B7012">
        <w:rPr>
          <w:rFonts w:ascii="Trebuchet MS" w:eastAsiaTheme="minorHAnsi" w:hAnsi="Trebuchet MS" w:cs="AdvTimes"/>
          <w:sz w:val="20"/>
        </w:rPr>
        <w:t xml:space="preserve">Kurkley </w:t>
      </w:r>
      <w:r w:rsidR="00F96813" w:rsidRPr="003B7012">
        <w:rPr>
          <w:rFonts w:ascii="Trebuchet MS" w:eastAsiaTheme="minorHAnsi" w:hAnsi="Trebuchet MS" w:cs="AdvTimes"/>
          <w:i/>
          <w:sz w:val="20"/>
        </w:rPr>
        <w:t>et al.</w:t>
      </w:r>
      <w:r w:rsidR="00FF647B" w:rsidRPr="003B7012">
        <w:rPr>
          <w:rFonts w:ascii="Trebuchet MS" w:eastAsiaTheme="minorHAnsi" w:hAnsi="Trebuchet MS" w:cs="AdvTimes"/>
          <w:sz w:val="20"/>
        </w:rPr>
        <w:t xml:space="preserve">, 2005; Storr </w:t>
      </w:r>
      <w:r w:rsidR="00F96813" w:rsidRPr="003B7012">
        <w:rPr>
          <w:rFonts w:ascii="Trebuchet MS" w:eastAsiaTheme="minorHAnsi" w:hAnsi="Trebuchet MS" w:cs="AdvTimes"/>
          <w:i/>
          <w:sz w:val="20"/>
        </w:rPr>
        <w:t>et al.</w:t>
      </w:r>
      <w:r w:rsidR="00FF647B" w:rsidRPr="003B7012">
        <w:rPr>
          <w:rFonts w:ascii="Trebuchet MS" w:eastAsiaTheme="minorHAnsi" w:hAnsi="Trebuchet MS" w:cs="AdvTimes"/>
          <w:sz w:val="20"/>
        </w:rPr>
        <w:t xml:space="preserve">, 2002). </w:t>
      </w:r>
      <w:r w:rsidR="00EF46EE" w:rsidRPr="003B7012">
        <w:rPr>
          <w:rFonts w:ascii="Trebuchet MS" w:eastAsiaTheme="minorHAnsi" w:hAnsi="Trebuchet MS"/>
          <w:sz w:val="20"/>
        </w:rPr>
        <w:t>A</w:t>
      </w:r>
      <w:r w:rsidR="001D588B">
        <w:rPr>
          <w:rFonts w:ascii="Trebuchet MS" w:eastAsiaTheme="minorHAnsi" w:hAnsi="Trebuchet MS"/>
          <w:sz w:val="20"/>
        </w:rPr>
        <w:t xml:space="preserve"> a</w:t>
      </w:r>
      <w:r w:rsidR="00EF46EE" w:rsidRPr="003B7012">
        <w:rPr>
          <w:rFonts w:ascii="Trebuchet MS" w:eastAsiaTheme="minorHAnsi" w:hAnsi="Trebuchet MS"/>
          <w:sz w:val="20"/>
        </w:rPr>
        <w:t xml:space="preserve">denosina inibe a transmissão sináptica através da activação inibitória dos </w:t>
      </w:r>
      <w:r w:rsidR="007C38AB">
        <w:rPr>
          <w:rFonts w:ascii="Trebuchet MS" w:eastAsiaTheme="minorHAnsi" w:hAnsi="Trebuchet MS"/>
          <w:sz w:val="20"/>
        </w:rPr>
        <w:t>A</w:t>
      </w:r>
      <w:r w:rsidR="007C38AB" w:rsidRPr="007C38AB">
        <w:rPr>
          <w:rFonts w:ascii="Trebuchet MS" w:eastAsiaTheme="minorHAnsi" w:hAnsi="Trebuchet MS"/>
          <w:sz w:val="20"/>
          <w:vertAlign w:val="subscript"/>
        </w:rPr>
        <w:t>1</w:t>
      </w:r>
      <w:r w:rsidR="007C38AB">
        <w:rPr>
          <w:rFonts w:ascii="Trebuchet MS" w:eastAsiaTheme="minorHAnsi" w:hAnsi="Trebuchet MS"/>
          <w:sz w:val="20"/>
        </w:rPr>
        <w:t>R</w:t>
      </w:r>
      <w:r w:rsidR="00EF46EE" w:rsidRPr="003B7012">
        <w:rPr>
          <w:rFonts w:ascii="Trebuchet MS" w:eastAsiaTheme="minorHAnsi" w:hAnsi="Trebuchet MS"/>
          <w:sz w:val="20"/>
        </w:rPr>
        <w:t>, mas também pode facilitar a transmissão sináptica através da activação dos A</w:t>
      </w:r>
      <w:r w:rsidR="00EF46EE" w:rsidRPr="003B7012">
        <w:rPr>
          <w:rFonts w:ascii="Trebuchet MS" w:eastAsiaTheme="minorHAnsi" w:hAnsi="Trebuchet MS"/>
          <w:sz w:val="20"/>
          <w:vertAlign w:val="subscript"/>
        </w:rPr>
        <w:t>2A</w:t>
      </w:r>
      <w:r w:rsidR="007C38AB">
        <w:rPr>
          <w:rFonts w:ascii="Trebuchet MS" w:eastAsiaTheme="minorHAnsi" w:hAnsi="Trebuchet MS"/>
          <w:sz w:val="20"/>
        </w:rPr>
        <w:t>R</w:t>
      </w:r>
      <w:r w:rsidR="00EF46EE" w:rsidRPr="003B7012">
        <w:rPr>
          <w:rFonts w:ascii="Trebuchet MS" w:eastAsiaTheme="minorHAnsi" w:hAnsi="Trebuchet MS"/>
          <w:sz w:val="20"/>
        </w:rPr>
        <w:t xml:space="preserve"> (Sebastião and Ribeiro, 1996</w:t>
      </w:r>
      <w:r w:rsidR="00997A72">
        <w:rPr>
          <w:rFonts w:ascii="Trebuchet MS" w:eastAsiaTheme="minorHAnsi" w:hAnsi="Trebuchet MS"/>
          <w:sz w:val="20"/>
        </w:rPr>
        <w:t xml:space="preserve">; </w:t>
      </w:r>
      <w:r w:rsidR="004149DC">
        <w:rPr>
          <w:rFonts w:ascii="Trebuchet MS" w:eastAsiaTheme="minorHAnsi" w:hAnsi="Trebuchet MS"/>
          <w:sz w:val="20"/>
        </w:rPr>
        <w:t>Para revisão ver</w:t>
      </w:r>
      <w:r w:rsidR="00997A72">
        <w:rPr>
          <w:rFonts w:ascii="Trebuchet MS" w:eastAsiaTheme="minorHAnsi" w:hAnsi="Trebuchet MS"/>
          <w:sz w:val="20"/>
        </w:rPr>
        <w:t xml:space="preserve"> Cunha, 2005</w:t>
      </w:r>
      <w:r w:rsidR="00EF46EE" w:rsidRPr="003B7012">
        <w:rPr>
          <w:rFonts w:ascii="Trebuchet MS" w:eastAsiaTheme="minorHAnsi" w:hAnsi="Trebuchet MS"/>
          <w:sz w:val="20"/>
        </w:rPr>
        <w:t>).</w:t>
      </w:r>
      <w:r w:rsidR="007B306F" w:rsidRPr="003B7012">
        <w:rPr>
          <w:rFonts w:ascii="Trebuchet MS" w:eastAsiaTheme="minorHAnsi" w:hAnsi="Trebuchet MS"/>
          <w:sz w:val="20"/>
        </w:rPr>
        <w:t xml:space="preserve"> </w:t>
      </w:r>
      <w:r w:rsidR="00931C03" w:rsidRPr="003B7012">
        <w:rPr>
          <w:rFonts w:ascii="Trebuchet MS" w:eastAsiaTheme="minorHAnsi" w:hAnsi="Trebuchet MS" w:cs="AdvMINION-R"/>
          <w:sz w:val="20"/>
        </w:rPr>
        <w:t>A</w:t>
      </w:r>
      <w:r w:rsidR="001D588B">
        <w:rPr>
          <w:rFonts w:ascii="Trebuchet MS" w:eastAsiaTheme="minorHAnsi" w:hAnsi="Trebuchet MS" w:cs="AdvMINION-R"/>
          <w:sz w:val="20"/>
        </w:rPr>
        <w:t xml:space="preserve"> a</w:t>
      </w:r>
      <w:r w:rsidR="00931C03" w:rsidRPr="003B7012">
        <w:rPr>
          <w:rFonts w:ascii="Trebuchet MS" w:eastAsiaTheme="minorHAnsi" w:hAnsi="Trebuchet MS" w:cs="AdvMINION-R"/>
          <w:sz w:val="20"/>
        </w:rPr>
        <w:t xml:space="preserve">denosina inibe a adesão leucocitária, diminui a expressão de moléculas de adesão e inibe neutrófilos e </w:t>
      </w:r>
      <w:r w:rsidR="00AA3740">
        <w:rPr>
          <w:rFonts w:ascii="Trebuchet MS" w:eastAsiaTheme="minorHAnsi" w:hAnsi="Trebuchet MS" w:cs="AdvMINION-R"/>
          <w:sz w:val="20"/>
        </w:rPr>
        <w:t xml:space="preserve">a </w:t>
      </w:r>
      <w:r w:rsidR="00931C03" w:rsidRPr="003B7012">
        <w:rPr>
          <w:rFonts w:ascii="Trebuchet MS" w:eastAsiaTheme="minorHAnsi" w:hAnsi="Trebuchet MS" w:cs="AdvMINION-R"/>
          <w:sz w:val="20"/>
        </w:rPr>
        <w:t xml:space="preserve">função plaquetária. Também, inibe a produção de radicais livres, que são mediadores importantes do dano celular durante a </w:t>
      </w:r>
      <w:r w:rsidR="00D57815" w:rsidRPr="003B7012">
        <w:rPr>
          <w:rFonts w:ascii="Trebuchet MS" w:eastAsiaTheme="minorHAnsi" w:hAnsi="Trebuchet MS" w:cs="AdvMINION-R"/>
          <w:sz w:val="20"/>
        </w:rPr>
        <w:t>fase inicial da lesão isquémica.</w:t>
      </w:r>
    </w:p>
    <w:p w:rsidR="00D57815" w:rsidRPr="003B7012" w:rsidRDefault="00D57815" w:rsidP="00677F1B">
      <w:pPr>
        <w:autoSpaceDE w:val="0"/>
        <w:autoSpaceDN w:val="0"/>
        <w:adjustRightInd w:val="0"/>
        <w:spacing w:line="360" w:lineRule="auto"/>
        <w:ind w:firstLine="708"/>
        <w:jc w:val="both"/>
        <w:rPr>
          <w:rFonts w:ascii="Trebuchet MS" w:eastAsiaTheme="minorHAnsi" w:hAnsi="Trebuchet MS" w:cs="Times-Roman"/>
          <w:sz w:val="20"/>
          <w:szCs w:val="16"/>
        </w:rPr>
      </w:pPr>
      <w:r w:rsidRPr="003B7012">
        <w:rPr>
          <w:rFonts w:ascii="Trebuchet MS" w:eastAsiaTheme="minorHAnsi" w:hAnsi="Trebuchet MS" w:cs="Times-Roman"/>
          <w:sz w:val="20"/>
          <w:szCs w:val="16"/>
        </w:rPr>
        <w:t xml:space="preserve">A </w:t>
      </w:r>
      <w:r w:rsidRPr="003B7012">
        <w:rPr>
          <w:rFonts w:ascii="Trebuchet MS" w:eastAsiaTheme="minorHAnsi" w:hAnsi="Trebuchet MS" w:cs="Times-Roman"/>
          <w:sz w:val="20"/>
          <w:szCs w:val="16"/>
          <w:u w:val="single"/>
        </w:rPr>
        <w:t xml:space="preserve">adenosina é neuroprotectora </w:t>
      </w:r>
      <w:r w:rsidRPr="003B7012">
        <w:rPr>
          <w:rFonts w:ascii="Trebuchet MS" w:eastAsiaTheme="minorHAnsi" w:hAnsi="Trebuchet MS" w:cs="Times-Roman"/>
          <w:sz w:val="20"/>
          <w:szCs w:val="16"/>
        </w:rPr>
        <w:t xml:space="preserve">em condições tais como: </w:t>
      </w:r>
      <w:r w:rsidRPr="003B7012">
        <w:rPr>
          <w:rFonts w:ascii="Trebuchet MS" w:eastAsiaTheme="minorHAnsi" w:hAnsi="Trebuchet MS" w:cs="Times-Roman"/>
          <w:b/>
          <w:sz w:val="20"/>
          <w:szCs w:val="16"/>
        </w:rPr>
        <w:t>hipóxia</w:t>
      </w:r>
      <w:r w:rsidRPr="003B7012">
        <w:rPr>
          <w:rFonts w:ascii="Trebuchet MS" w:eastAsiaTheme="minorHAnsi" w:hAnsi="Trebuchet MS" w:cs="Times-Roman"/>
          <w:sz w:val="20"/>
          <w:szCs w:val="16"/>
        </w:rPr>
        <w:t xml:space="preserve">, </w:t>
      </w:r>
      <w:r w:rsidRPr="003B7012">
        <w:rPr>
          <w:rFonts w:ascii="Trebuchet MS" w:eastAsiaTheme="minorHAnsi" w:hAnsi="Trebuchet MS" w:cs="Times-Roman"/>
          <w:b/>
          <w:sz w:val="20"/>
          <w:szCs w:val="16"/>
        </w:rPr>
        <w:t>isquémia</w:t>
      </w:r>
      <w:r w:rsidRPr="003B7012">
        <w:rPr>
          <w:rFonts w:ascii="Trebuchet MS" w:eastAsiaTheme="minorHAnsi" w:hAnsi="Trebuchet MS" w:cs="Times-Roman"/>
          <w:sz w:val="20"/>
          <w:szCs w:val="16"/>
        </w:rPr>
        <w:t xml:space="preserve"> e </w:t>
      </w:r>
      <w:r w:rsidRPr="003B7012">
        <w:rPr>
          <w:rFonts w:ascii="Trebuchet MS" w:eastAsiaTheme="minorHAnsi" w:hAnsi="Trebuchet MS" w:cs="Times-Roman"/>
          <w:b/>
          <w:sz w:val="20"/>
          <w:szCs w:val="16"/>
        </w:rPr>
        <w:t>lesão cerebral</w:t>
      </w:r>
      <w:r w:rsidRPr="003B7012">
        <w:rPr>
          <w:rFonts w:ascii="Trebuchet MS" w:eastAsiaTheme="minorHAnsi" w:hAnsi="Trebuchet MS" w:cs="Times-Roman"/>
          <w:sz w:val="20"/>
          <w:szCs w:val="16"/>
        </w:rPr>
        <w:t>, onde a</w:t>
      </w:r>
      <w:r w:rsidR="001D588B">
        <w:rPr>
          <w:rFonts w:ascii="Trebuchet MS" w:eastAsiaTheme="minorHAnsi" w:hAnsi="Trebuchet MS" w:cs="Times-Roman"/>
          <w:sz w:val="20"/>
          <w:szCs w:val="16"/>
        </w:rPr>
        <w:t>lém da</w:t>
      </w:r>
      <w:r w:rsidRPr="003B7012">
        <w:rPr>
          <w:rFonts w:ascii="Trebuchet MS" w:eastAsiaTheme="minorHAnsi" w:hAnsi="Trebuchet MS" w:cs="Times-Roman"/>
          <w:sz w:val="20"/>
          <w:szCs w:val="16"/>
        </w:rPr>
        <w:t xml:space="preserve"> libertação de glutamato </w:t>
      </w:r>
      <w:r w:rsidR="001D588B">
        <w:rPr>
          <w:rFonts w:ascii="Trebuchet MS" w:eastAsiaTheme="minorHAnsi" w:hAnsi="Trebuchet MS" w:cs="Times-Roman"/>
          <w:sz w:val="20"/>
          <w:szCs w:val="16"/>
        </w:rPr>
        <w:t>observa-se</w:t>
      </w:r>
      <w:r w:rsidRPr="003B7012">
        <w:rPr>
          <w:rFonts w:ascii="Trebuchet MS" w:eastAsiaTheme="minorHAnsi" w:hAnsi="Trebuchet MS" w:cs="Times-Roman"/>
          <w:sz w:val="20"/>
          <w:szCs w:val="16"/>
        </w:rPr>
        <w:t xml:space="preserve"> aumento dos níveis extracelulares de adenosina </w:t>
      </w:r>
      <w:r w:rsidR="001D588B">
        <w:rPr>
          <w:rFonts w:ascii="Trebuchet MS" w:eastAsiaTheme="minorHAnsi" w:hAnsi="Trebuchet MS" w:cs="Times-Roman"/>
          <w:sz w:val="20"/>
          <w:szCs w:val="16"/>
        </w:rPr>
        <w:t>(Latini and Pedata, 2001). P</w:t>
      </w:r>
      <w:r w:rsidRPr="003B7012">
        <w:rPr>
          <w:rFonts w:ascii="Trebuchet MS" w:eastAsiaTheme="minorHAnsi" w:hAnsi="Trebuchet MS" w:cs="Arial"/>
          <w:sz w:val="20"/>
        </w:rPr>
        <w:t>arece provável que os níveis elevados de adenosina podem funcionar como uma adaptação fisiológica para limitar o dano nos tecidos, indepe</w:t>
      </w:r>
      <w:r w:rsidRPr="003B7012">
        <w:rPr>
          <w:rFonts w:ascii="Trebuchet MS" w:eastAsiaTheme="minorHAnsi" w:hAnsi="Trebuchet MS" w:cs="Arial"/>
          <w:sz w:val="20"/>
        </w:rPr>
        <w:t>n</w:t>
      </w:r>
      <w:r w:rsidRPr="003B7012">
        <w:rPr>
          <w:rFonts w:ascii="Trebuchet MS" w:eastAsiaTheme="minorHAnsi" w:hAnsi="Trebuchet MS" w:cs="Arial"/>
          <w:sz w:val="20"/>
        </w:rPr>
        <w:t>dentemente dos processos de transdução envolvidos (</w:t>
      </w:r>
      <w:r w:rsidRPr="003B7012">
        <w:rPr>
          <w:rFonts w:ascii="Trebuchet MS" w:eastAsiaTheme="minorHAnsi" w:hAnsi="Trebuchet MS" w:cs="Times-Roman"/>
          <w:sz w:val="20"/>
          <w:szCs w:val="16"/>
        </w:rPr>
        <w:t xml:space="preserve">Fatokun </w:t>
      </w:r>
      <w:r w:rsidR="00F96813" w:rsidRPr="003B7012">
        <w:rPr>
          <w:rFonts w:ascii="Trebuchet MS" w:eastAsiaTheme="minorHAnsi" w:hAnsi="Trebuchet MS" w:cs="Times-Roman"/>
          <w:i/>
          <w:sz w:val="20"/>
          <w:szCs w:val="16"/>
        </w:rPr>
        <w:t>et al.</w:t>
      </w:r>
      <w:r w:rsidRPr="003B7012">
        <w:rPr>
          <w:rFonts w:ascii="Trebuchet MS" w:eastAsiaTheme="minorHAnsi" w:hAnsi="Trebuchet MS" w:cs="Times-Roman"/>
          <w:sz w:val="20"/>
          <w:szCs w:val="16"/>
        </w:rPr>
        <w:t>, 2008).</w:t>
      </w:r>
    </w:p>
    <w:p w:rsidR="00D902B5" w:rsidRDefault="0020527F" w:rsidP="0020527F">
      <w:pPr>
        <w:autoSpaceDE w:val="0"/>
        <w:autoSpaceDN w:val="0"/>
        <w:adjustRightInd w:val="0"/>
        <w:spacing w:line="360" w:lineRule="auto"/>
        <w:ind w:firstLine="708"/>
        <w:jc w:val="both"/>
        <w:rPr>
          <w:rFonts w:ascii="Trebuchet MS" w:eastAsiaTheme="minorHAnsi" w:hAnsi="Trebuchet MS" w:cs="Times-Roman"/>
          <w:sz w:val="20"/>
          <w:szCs w:val="16"/>
        </w:rPr>
      </w:pPr>
      <w:r w:rsidRPr="003B7012">
        <w:rPr>
          <w:rFonts w:ascii="Trebuchet MS" w:eastAsiaTheme="minorHAnsi" w:hAnsi="Trebuchet MS" w:cs="Times-Roman"/>
          <w:sz w:val="20"/>
          <w:szCs w:val="16"/>
        </w:rPr>
        <w:t>O hipocampo apresenta elevada densidade de A</w:t>
      </w:r>
      <w:r w:rsidRPr="00D902B5">
        <w:rPr>
          <w:rFonts w:ascii="Trebuchet MS" w:eastAsiaTheme="minorHAnsi" w:hAnsi="Trebuchet MS" w:cs="Times-Roman"/>
          <w:sz w:val="20"/>
          <w:szCs w:val="16"/>
          <w:vertAlign w:val="subscript"/>
        </w:rPr>
        <w:t>1</w:t>
      </w:r>
      <w:r w:rsidRPr="003B7012">
        <w:rPr>
          <w:rFonts w:ascii="Trebuchet MS" w:eastAsiaTheme="minorHAnsi" w:hAnsi="Trebuchet MS" w:cs="Times-Roman"/>
          <w:sz w:val="20"/>
          <w:szCs w:val="16"/>
        </w:rPr>
        <w:t xml:space="preserve">R </w:t>
      </w:r>
      <w:r w:rsidR="00D902B5">
        <w:rPr>
          <w:rFonts w:ascii="Trebuchet MS" w:eastAsiaTheme="minorHAnsi" w:hAnsi="Trebuchet MS" w:cs="Times-Roman"/>
          <w:sz w:val="20"/>
          <w:szCs w:val="16"/>
        </w:rPr>
        <w:t xml:space="preserve">(Fig. </w:t>
      </w:r>
      <w:r w:rsidR="002F49DB">
        <w:rPr>
          <w:rFonts w:ascii="Trebuchet MS" w:eastAsiaTheme="minorHAnsi" w:hAnsi="Trebuchet MS" w:cs="Times-Roman"/>
          <w:sz w:val="20"/>
          <w:szCs w:val="16"/>
        </w:rPr>
        <w:t>1</w:t>
      </w:r>
      <w:r w:rsidR="00D902B5">
        <w:rPr>
          <w:rFonts w:ascii="Trebuchet MS" w:eastAsiaTheme="minorHAnsi" w:hAnsi="Trebuchet MS" w:cs="Times-Roman"/>
          <w:sz w:val="20"/>
          <w:szCs w:val="16"/>
        </w:rPr>
        <w:t>.</w:t>
      </w:r>
      <w:r w:rsidR="002F49DB">
        <w:rPr>
          <w:rFonts w:ascii="Trebuchet MS" w:eastAsiaTheme="minorHAnsi" w:hAnsi="Trebuchet MS" w:cs="Times-Roman"/>
          <w:sz w:val="20"/>
          <w:szCs w:val="16"/>
        </w:rPr>
        <w:t>4</w:t>
      </w:r>
      <w:r w:rsidR="00D902B5">
        <w:rPr>
          <w:rFonts w:ascii="Trebuchet MS" w:eastAsiaTheme="minorHAnsi" w:hAnsi="Trebuchet MS" w:cs="Times-Roman"/>
          <w:sz w:val="20"/>
          <w:szCs w:val="16"/>
        </w:rPr>
        <w:t xml:space="preserve">) </w:t>
      </w:r>
      <w:r w:rsidRPr="003B7012">
        <w:rPr>
          <w:rFonts w:ascii="Trebuchet MS" w:eastAsiaTheme="minorHAnsi" w:hAnsi="Trebuchet MS" w:cs="Times-Roman"/>
          <w:sz w:val="20"/>
          <w:szCs w:val="16"/>
        </w:rPr>
        <w:t>e apresenta vulnerabil</w:t>
      </w:r>
      <w:r w:rsidRPr="003B7012">
        <w:rPr>
          <w:rFonts w:ascii="Trebuchet MS" w:eastAsiaTheme="minorHAnsi" w:hAnsi="Trebuchet MS" w:cs="Times-Roman"/>
          <w:sz w:val="20"/>
          <w:szCs w:val="16"/>
        </w:rPr>
        <w:t>i</w:t>
      </w:r>
      <w:r w:rsidRPr="003B7012">
        <w:rPr>
          <w:rFonts w:ascii="Trebuchet MS" w:eastAsiaTheme="minorHAnsi" w:hAnsi="Trebuchet MS" w:cs="Times-Roman"/>
          <w:sz w:val="20"/>
          <w:szCs w:val="16"/>
        </w:rPr>
        <w:t xml:space="preserve">dade específica à isquémia (Rudolphi </w:t>
      </w:r>
      <w:r w:rsidR="00F96813" w:rsidRPr="003B7012">
        <w:rPr>
          <w:rFonts w:ascii="Trebuchet MS" w:eastAsiaTheme="minorHAnsi" w:hAnsi="Trebuchet MS" w:cs="Times-Roman"/>
          <w:i/>
          <w:sz w:val="20"/>
          <w:szCs w:val="16"/>
        </w:rPr>
        <w:t>et al.</w:t>
      </w:r>
      <w:r w:rsidRPr="003B7012">
        <w:rPr>
          <w:rFonts w:ascii="Trebuchet MS" w:eastAsiaTheme="minorHAnsi" w:hAnsi="Trebuchet MS" w:cs="Times-Roman"/>
          <w:sz w:val="20"/>
          <w:szCs w:val="16"/>
        </w:rPr>
        <w:t xml:space="preserve">, 1992). Em diferentes modelos </w:t>
      </w:r>
      <w:r w:rsidR="00194A32" w:rsidRPr="003B7012">
        <w:rPr>
          <w:rFonts w:ascii="Trebuchet MS" w:eastAsiaTheme="minorHAnsi" w:hAnsi="Trebuchet MS" w:cs="Times-Roman"/>
          <w:i/>
          <w:sz w:val="20"/>
          <w:szCs w:val="16"/>
        </w:rPr>
        <w:t xml:space="preserve">in vivo </w:t>
      </w:r>
      <w:r w:rsidRPr="003B7012">
        <w:rPr>
          <w:rFonts w:ascii="Trebuchet MS" w:eastAsiaTheme="minorHAnsi" w:hAnsi="Trebuchet MS" w:cs="Times-Roman"/>
          <w:sz w:val="20"/>
          <w:szCs w:val="16"/>
        </w:rPr>
        <w:t>e</w:t>
      </w:r>
      <w:r w:rsidRPr="003B7012">
        <w:rPr>
          <w:rFonts w:ascii="Trebuchet MS" w:eastAsiaTheme="minorHAnsi" w:hAnsi="Trebuchet MS" w:cs="Times-Roman"/>
          <w:i/>
          <w:sz w:val="20"/>
          <w:szCs w:val="16"/>
        </w:rPr>
        <w:t xml:space="preserve"> </w:t>
      </w:r>
      <w:proofErr w:type="gramStart"/>
      <w:r w:rsidR="00194A32" w:rsidRPr="003B7012">
        <w:rPr>
          <w:rFonts w:ascii="Trebuchet MS" w:eastAsiaTheme="minorHAnsi" w:hAnsi="Trebuchet MS" w:cs="Times-Roman"/>
          <w:i/>
          <w:sz w:val="20"/>
          <w:szCs w:val="16"/>
        </w:rPr>
        <w:t>in vitro</w:t>
      </w:r>
      <w:proofErr w:type="gramEnd"/>
      <w:r w:rsidR="00194A32" w:rsidRPr="003B7012">
        <w:rPr>
          <w:rFonts w:ascii="Trebuchet MS" w:eastAsiaTheme="minorHAnsi" w:hAnsi="Trebuchet MS" w:cs="Times-Roman"/>
          <w:i/>
          <w:sz w:val="20"/>
          <w:szCs w:val="16"/>
        </w:rPr>
        <w:t xml:space="preserve"> </w:t>
      </w:r>
      <w:r w:rsidRPr="003B7012">
        <w:rPr>
          <w:rFonts w:ascii="Trebuchet MS" w:eastAsiaTheme="minorHAnsi" w:hAnsi="Trebuchet MS" w:cs="Times-Roman"/>
          <w:sz w:val="20"/>
          <w:szCs w:val="16"/>
        </w:rPr>
        <w:t>de isquémia cerebral, a manipulação farmacológica do sistema adenosinérgico por antagoni</w:t>
      </w:r>
      <w:r w:rsidRPr="003B7012">
        <w:rPr>
          <w:rFonts w:ascii="Trebuchet MS" w:eastAsiaTheme="minorHAnsi" w:hAnsi="Trebuchet MS" w:cs="Times-Roman"/>
          <w:sz w:val="20"/>
          <w:szCs w:val="16"/>
        </w:rPr>
        <w:t>s</w:t>
      </w:r>
      <w:r w:rsidRPr="003B7012">
        <w:rPr>
          <w:rFonts w:ascii="Trebuchet MS" w:eastAsiaTheme="minorHAnsi" w:hAnsi="Trebuchet MS" w:cs="Times-Roman"/>
          <w:sz w:val="20"/>
          <w:szCs w:val="16"/>
        </w:rPr>
        <w:t>tas de AR</w:t>
      </w:r>
      <w:r w:rsidR="00F2351B">
        <w:rPr>
          <w:rFonts w:ascii="Trebuchet MS" w:eastAsiaTheme="minorHAnsi" w:hAnsi="Trebuchet MS" w:cs="Times-Roman"/>
          <w:sz w:val="20"/>
          <w:szCs w:val="16"/>
        </w:rPr>
        <w:t>s</w:t>
      </w:r>
      <w:r w:rsidRPr="003B7012">
        <w:rPr>
          <w:rFonts w:ascii="Trebuchet MS" w:eastAsiaTheme="minorHAnsi" w:hAnsi="Trebuchet MS" w:cs="Times-Roman"/>
          <w:sz w:val="20"/>
          <w:szCs w:val="16"/>
        </w:rPr>
        <w:t xml:space="preserve">, tendem a agravar a lesão cerebral isquémica, ao passo que, o reforço da acção </w:t>
      </w:r>
      <w:r w:rsidRPr="003B7012">
        <w:rPr>
          <w:rFonts w:ascii="Trebuchet MS" w:eastAsiaTheme="minorHAnsi" w:hAnsi="Trebuchet MS" w:cs="Times-Roman"/>
          <w:sz w:val="20"/>
          <w:szCs w:val="16"/>
        </w:rPr>
        <w:lastRenderedPageBreak/>
        <w:t>por agonistas dos AR ou inibidores da recaptação celular e inactivação, mostraram neuropr</w:t>
      </w:r>
      <w:r w:rsidRPr="003B7012">
        <w:rPr>
          <w:rFonts w:ascii="Trebuchet MS" w:eastAsiaTheme="minorHAnsi" w:hAnsi="Trebuchet MS" w:cs="Times-Roman"/>
          <w:sz w:val="20"/>
          <w:szCs w:val="16"/>
        </w:rPr>
        <w:t>o</w:t>
      </w:r>
      <w:r w:rsidRPr="003B7012">
        <w:rPr>
          <w:rFonts w:ascii="Trebuchet MS" w:eastAsiaTheme="minorHAnsi" w:hAnsi="Trebuchet MS" w:cs="Times-Roman"/>
          <w:sz w:val="20"/>
          <w:szCs w:val="16"/>
        </w:rPr>
        <w:t xml:space="preserve">tecção (Rudolphi </w:t>
      </w:r>
      <w:r w:rsidR="00F96813" w:rsidRPr="003B7012">
        <w:rPr>
          <w:rFonts w:ascii="Trebuchet MS" w:eastAsiaTheme="minorHAnsi" w:hAnsi="Trebuchet MS" w:cs="Times-Roman"/>
          <w:i/>
          <w:sz w:val="20"/>
          <w:szCs w:val="16"/>
        </w:rPr>
        <w:t>et al.</w:t>
      </w:r>
      <w:r w:rsidRPr="003B7012">
        <w:rPr>
          <w:rFonts w:ascii="Trebuchet MS" w:eastAsiaTheme="minorHAnsi" w:hAnsi="Trebuchet MS" w:cs="Times-Roman"/>
          <w:i/>
          <w:sz w:val="20"/>
          <w:szCs w:val="16"/>
        </w:rPr>
        <w:t>,</w:t>
      </w:r>
      <w:r w:rsidRPr="003B7012">
        <w:rPr>
          <w:rFonts w:ascii="Trebuchet MS" w:eastAsiaTheme="minorHAnsi" w:hAnsi="Trebuchet MS" w:cs="Times-Roman"/>
          <w:sz w:val="20"/>
          <w:szCs w:val="16"/>
        </w:rPr>
        <w:t xml:space="preserve"> 1992).</w:t>
      </w:r>
    </w:p>
    <w:p w:rsidR="00E47C94" w:rsidRPr="00751D14" w:rsidRDefault="00E47C94" w:rsidP="002A3375">
      <w:pPr>
        <w:autoSpaceDE w:val="0"/>
        <w:autoSpaceDN w:val="0"/>
        <w:adjustRightInd w:val="0"/>
        <w:spacing w:line="360" w:lineRule="auto"/>
        <w:rPr>
          <w:rFonts w:ascii="Trebuchet MS" w:hAnsi="Trebuchet MS" w:cs="NewCenturySchlbk-Roman"/>
          <w:sz w:val="20"/>
          <w:szCs w:val="20"/>
          <w:lang w:eastAsia="pt-PT"/>
        </w:rPr>
      </w:pPr>
    </w:p>
    <w:p w:rsidR="00DD79FF" w:rsidRDefault="00E8097D" w:rsidP="002F49DB">
      <w:pPr>
        <w:spacing w:after="240"/>
        <w:ind w:firstLine="567"/>
        <w:rPr>
          <w:rFonts w:ascii="Trebuchet MS" w:hAnsi="Trebuchet MS"/>
          <w:b/>
          <w:smallCaps/>
          <w:shadow/>
          <w:color w:val="333399"/>
        </w:rPr>
      </w:pPr>
      <w:r>
        <w:rPr>
          <w:rFonts w:ascii="Trebuchet MS" w:hAnsi="Trebuchet MS"/>
          <w:b/>
          <w:smallCaps/>
          <w:shadow/>
          <w:color w:val="333399"/>
        </w:rPr>
        <w:t>1</w:t>
      </w:r>
      <w:r w:rsidR="00BC349D" w:rsidRPr="002861BA">
        <w:rPr>
          <w:rFonts w:ascii="Trebuchet MS" w:hAnsi="Trebuchet MS"/>
          <w:b/>
          <w:smallCaps/>
          <w:shadow/>
          <w:color w:val="333399"/>
        </w:rPr>
        <w:t xml:space="preserve">.2.2.1.1. </w:t>
      </w:r>
      <w:r w:rsidR="002F49DB">
        <w:rPr>
          <w:rFonts w:ascii="Trebuchet MS" w:hAnsi="Trebuchet MS"/>
          <w:b/>
          <w:smallCaps/>
          <w:shadow/>
          <w:color w:val="333399"/>
        </w:rPr>
        <w:t xml:space="preserve">Origem e Regulação da Adenosina </w:t>
      </w:r>
      <w:r w:rsidR="00995C66">
        <w:rPr>
          <w:rFonts w:ascii="Trebuchet MS" w:hAnsi="Trebuchet MS"/>
          <w:b/>
          <w:smallCaps/>
          <w:shadow/>
          <w:color w:val="333399"/>
        </w:rPr>
        <w:t>E</w:t>
      </w:r>
      <w:r w:rsidR="00A3247F">
        <w:rPr>
          <w:rFonts w:ascii="Trebuchet MS" w:hAnsi="Trebuchet MS"/>
          <w:b/>
          <w:smallCaps/>
          <w:shadow/>
          <w:color w:val="333399"/>
        </w:rPr>
        <w:t>xtracelular</w:t>
      </w:r>
      <w:r w:rsidR="00DD79FF">
        <w:rPr>
          <w:rFonts w:ascii="Trebuchet MS" w:hAnsi="Trebuchet MS"/>
          <w:b/>
          <w:smallCaps/>
          <w:shadow/>
          <w:color w:val="333399"/>
        </w:rPr>
        <w:tab/>
        <w:t xml:space="preserve"> </w:t>
      </w:r>
    </w:p>
    <w:p w:rsidR="00DD79FF" w:rsidRDefault="00DD79FF" w:rsidP="00DD79FF">
      <w:pPr>
        <w:autoSpaceDE w:val="0"/>
        <w:autoSpaceDN w:val="0"/>
        <w:adjustRightInd w:val="0"/>
        <w:spacing w:line="360" w:lineRule="auto"/>
        <w:jc w:val="both"/>
        <w:rPr>
          <w:rFonts w:ascii="Trebuchet MS" w:eastAsiaTheme="minorHAnsi" w:hAnsi="Trebuchet MS" w:cs="ComicSansMS"/>
          <w:sz w:val="20"/>
          <w:szCs w:val="20"/>
        </w:rPr>
      </w:pPr>
      <w:r>
        <w:rPr>
          <w:rFonts w:ascii="Trebuchet MS" w:eastAsiaTheme="minorHAnsi" w:hAnsi="Trebuchet MS" w:cs="ComicSansMS"/>
          <w:sz w:val="20"/>
          <w:szCs w:val="20"/>
        </w:rPr>
        <w:tab/>
      </w:r>
      <w:r w:rsidRPr="006A300A">
        <w:rPr>
          <w:rFonts w:ascii="Trebuchet MS" w:eastAsiaTheme="minorHAnsi" w:hAnsi="Trebuchet MS" w:cs="ComicSansMS"/>
          <w:sz w:val="20"/>
          <w:szCs w:val="20"/>
        </w:rPr>
        <w:t>A adenosina é sintetizada a partir do AMP tanto</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 xml:space="preserve">no meio intracelular </w:t>
      </w:r>
      <w:r>
        <w:rPr>
          <w:rFonts w:ascii="Trebuchet MS" w:eastAsiaTheme="minorHAnsi" w:hAnsi="Trebuchet MS" w:cs="ComicSansMS"/>
          <w:sz w:val="20"/>
          <w:szCs w:val="20"/>
        </w:rPr>
        <w:t>como</w:t>
      </w:r>
      <w:r w:rsidRPr="006A300A">
        <w:rPr>
          <w:rFonts w:ascii="Trebuchet MS" w:eastAsiaTheme="minorHAnsi" w:hAnsi="Trebuchet MS" w:cs="ComicSansMS"/>
          <w:sz w:val="20"/>
          <w:szCs w:val="20"/>
        </w:rPr>
        <w:t xml:space="preserve"> no meio extracelular </w:t>
      </w:r>
      <w:r>
        <w:rPr>
          <w:rFonts w:ascii="Trebuchet MS" w:eastAsiaTheme="minorHAnsi" w:hAnsi="Trebuchet MS" w:cs="ComicSansMS"/>
          <w:sz w:val="20"/>
          <w:szCs w:val="20"/>
        </w:rPr>
        <w:t xml:space="preserve">(Fig. </w:t>
      </w:r>
      <w:r w:rsidR="002F49DB">
        <w:rPr>
          <w:rFonts w:ascii="Trebuchet MS" w:eastAsiaTheme="minorHAnsi" w:hAnsi="Trebuchet MS" w:cs="ComicSansMS"/>
          <w:sz w:val="20"/>
          <w:szCs w:val="20"/>
        </w:rPr>
        <w:t>1</w:t>
      </w:r>
      <w:r w:rsidR="004149DC">
        <w:rPr>
          <w:rFonts w:ascii="Trebuchet MS" w:eastAsiaTheme="minorHAnsi" w:hAnsi="Trebuchet MS" w:cs="ComicSansMS"/>
          <w:sz w:val="20"/>
          <w:szCs w:val="20"/>
        </w:rPr>
        <w:t>.3</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através da a</w:t>
      </w:r>
      <w:r>
        <w:rPr>
          <w:rFonts w:ascii="Trebuchet MS" w:eastAsiaTheme="minorHAnsi" w:hAnsi="Trebuchet MS" w:cs="ComicSansMS"/>
          <w:sz w:val="20"/>
          <w:szCs w:val="20"/>
        </w:rPr>
        <w:t>c</w:t>
      </w:r>
      <w:r w:rsidRPr="006A300A">
        <w:rPr>
          <w:rFonts w:ascii="Trebuchet MS" w:eastAsiaTheme="minorHAnsi" w:hAnsi="Trebuchet MS" w:cs="ComicSansMS"/>
          <w:sz w:val="20"/>
          <w:szCs w:val="20"/>
        </w:rPr>
        <w:t>ção de uma família de</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 xml:space="preserve">enzimas conhecidas como 5'-nucleotidases. </w:t>
      </w:r>
      <w:r>
        <w:rPr>
          <w:rFonts w:ascii="Trebuchet MS" w:eastAsiaTheme="minorHAnsi" w:hAnsi="Trebuchet MS" w:cs="ComicSansMS"/>
          <w:sz w:val="20"/>
          <w:szCs w:val="20"/>
        </w:rPr>
        <w:t>Em tecidos de mamíferos há,</w:t>
      </w:r>
      <w:r w:rsidRPr="006A300A">
        <w:rPr>
          <w:rFonts w:ascii="Trebuchet MS" w:eastAsiaTheme="minorHAnsi" w:hAnsi="Trebuchet MS" w:cs="ComicSansMS"/>
          <w:sz w:val="20"/>
          <w:szCs w:val="20"/>
        </w:rPr>
        <w:t xml:space="preserve"> pelo</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menos</w:t>
      </w:r>
      <w:r>
        <w:rPr>
          <w:rFonts w:ascii="Trebuchet MS" w:eastAsiaTheme="minorHAnsi" w:hAnsi="Trebuchet MS" w:cs="ComicSansMS"/>
          <w:sz w:val="20"/>
          <w:szCs w:val="20"/>
        </w:rPr>
        <w:t>,</w:t>
      </w:r>
      <w:r w:rsidRPr="006A300A">
        <w:rPr>
          <w:rFonts w:ascii="Trebuchet MS" w:eastAsiaTheme="minorHAnsi" w:hAnsi="Trebuchet MS" w:cs="ComicSansMS"/>
          <w:sz w:val="20"/>
          <w:szCs w:val="20"/>
        </w:rPr>
        <w:t xml:space="preserve"> quatro diferentes formas da enzima 5'-nucleotidase descrita</w:t>
      </w:r>
      <w:r>
        <w:rPr>
          <w:rFonts w:ascii="Trebuchet MS" w:eastAsiaTheme="minorHAnsi" w:hAnsi="Trebuchet MS" w:cs="ComicSansMS"/>
          <w:sz w:val="20"/>
          <w:szCs w:val="20"/>
        </w:rPr>
        <w:t>s</w:t>
      </w:r>
      <w:r w:rsidRPr="006A300A">
        <w:rPr>
          <w:rFonts w:ascii="Trebuchet MS" w:eastAsiaTheme="minorHAnsi" w:hAnsi="Trebuchet MS" w:cs="ComicSansMS"/>
          <w:sz w:val="20"/>
          <w:szCs w:val="20"/>
        </w:rPr>
        <w:t>. Todas</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apresentam diferentes propriedades moleculares e bioquím</w:t>
      </w:r>
      <w:r w:rsidRPr="006A300A">
        <w:rPr>
          <w:rFonts w:ascii="Trebuchet MS" w:eastAsiaTheme="minorHAnsi" w:hAnsi="Trebuchet MS" w:cs="ComicSansMS"/>
          <w:sz w:val="20"/>
          <w:szCs w:val="20"/>
        </w:rPr>
        <w:t>i</w:t>
      </w:r>
      <w:r w:rsidRPr="006A300A">
        <w:rPr>
          <w:rFonts w:ascii="Trebuchet MS" w:eastAsiaTheme="minorHAnsi" w:hAnsi="Trebuchet MS" w:cs="ComicSansMS"/>
          <w:sz w:val="20"/>
          <w:szCs w:val="20"/>
        </w:rPr>
        <w:t>cas, sendo duas</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ectoenzimas, as quais estão inse</w:t>
      </w:r>
      <w:r>
        <w:rPr>
          <w:rFonts w:ascii="Trebuchet MS" w:eastAsiaTheme="minorHAnsi" w:hAnsi="Trebuchet MS" w:cs="ComicSansMS"/>
          <w:sz w:val="20"/>
          <w:szCs w:val="20"/>
        </w:rPr>
        <w:t>ridas na superfície da membrana</w:t>
      </w:r>
      <w:r w:rsidRPr="006A300A">
        <w:rPr>
          <w:rFonts w:ascii="Trebuchet MS" w:eastAsiaTheme="minorHAnsi" w:hAnsi="Trebuchet MS" w:cs="ComicSansMS"/>
          <w:sz w:val="20"/>
          <w:szCs w:val="20"/>
        </w:rPr>
        <w:t xml:space="preserve"> e duas enzimas</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citosólicas (</w:t>
      </w:r>
      <w:r w:rsidR="00296679">
        <w:rPr>
          <w:rFonts w:ascii="Trebuchet MS" w:eastAsiaTheme="minorHAnsi" w:hAnsi="Trebuchet MS"/>
          <w:sz w:val="20"/>
          <w:szCs w:val="16"/>
        </w:rPr>
        <w:t xml:space="preserve">Para revisão ver Dunwiddie and Masino, 2001; </w:t>
      </w:r>
      <w:r w:rsidR="004149DC">
        <w:rPr>
          <w:rFonts w:ascii="Trebuchet MS" w:eastAsiaTheme="minorHAnsi" w:hAnsi="Trebuchet MS" w:cs="ComicSansMS"/>
          <w:sz w:val="20"/>
          <w:szCs w:val="20"/>
        </w:rPr>
        <w:t>Para revisão ver</w:t>
      </w:r>
      <w:r>
        <w:rPr>
          <w:rFonts w:ascii="Trebuchet MS" w:eastAsiaTheme="minorHAnsi" w:hAnsi="Trebuchet MS" w:cs="ComicSansMS"/>
          <w:sz w:val="20"/>
          <w:szCs w:val="20"/>
        </w:rPr>
        <w:t xml:space="preserve"> Latini and Pedata, 2001).</w:t>
      </w:r>
    </w:p>
    <w:p w:rsidR="00DD79FF" w:rsidRDefault="00DD79FF" w:rsidP="00DD79FF">
      <w:pPr>
        <w:autoSpaceDE w:val="0"/>
        <w:autoSpaceDN w:val="0"/>
        <w:adjustRightInd w:val="0"/>
        <w:spacing w:line="360" w:lineRule="auto"/>
        <w:jc w:val="both"/>
        <w:rPr>
          <w:rFonts w:ascii="Trebuchet MS" w:eastAsiaTheme="minorHAnsi" w:hAnsi="Trebuchet MS" w:cs="ComicSansMS"/>
          <w:sz w:val="20"/>
          <w:szCs w:val="20"/>
        </w:rPr>
      </w:pPr>
      <w:r>
        <w:rPr>
          <w:rFonts w:ascii="Trebuchet MS" w:eastAsiaTheme="minorHAnsi" w:hAnsi="Trebuchet MS" w:cs="ComicSansMS"/>
          <w:sz w:val="20"/>
          <w:szCs w:val="20"/>
        </w:rPr>
        <w:tab/>
        <w:t>A</w:t>
      </w:r>
      <w:r w:rsidRPr="00DE7F4F">
        <w:rPr>
          <w:rFonts w:ascii="Trebuchet MS" w:eastAsiaTheme="minorHAnsi" w:hAnsi="Trebuchet MS" w:cs="ComicSansMS"/>
          <w:sz w:val="20"/>
          <w:szCs w:val="20"/>
        </w:rPr>
        <w:t xml:space="preserve"> adenosina pode atingir o espaço extracelular através da</w:t>
      </w:r>
      <w:r>
        <w:rPr>
          <w:rFonts w:ascii="Trebuchet MS" w:eastAsiaTheme="minorHAnsi" w:hAnsi="Trebuchet MS" w:cs="ComicSansMS"/>
          <w:sz w:val="20"/>
          <w:szCs w:val="20"/>
        </w:rPr>
        <w:t xml:space="preserve"> degradação de nucleotídos de adenina, como o ATP</w:t>
      </w:r>
      <w:r w:rsidRPr="00DE7F4F">
        <w:rPr>
          <w:rFonts w:ascii="Trebuchet MS" w:eastAsiaTheme="minorHAnsi" w:hAnsi="Trebuchet MS" w:cs="ComicSansMS"/>
          <w:sz w:val="20"/>
          <w:szCs w:val="20"/>
        </w:rPr>
        <w:t>, ADP</w:t>
      </w:r>
      <w:r>
        <w:rPr>
          <w:rFonts w:ascii="Trebuchet MS" w:eastAsiaTheme="minorHAnsi" w:hAnsi="Trebuchet MS" w:cs="ComicSansMS"/>
          <w:sz w:val="20"/>
          <w:szCs w:val="20"/>
        </w:rPr>
        <w:t xml:space="preserve"> (</w:t>
      </w:r>
      <w:r w:rsidRPr="00DE7F4F">
        <w:rPr>
          <w:rFonts w:ascii="Trebuchet MS" w:eastAsiaTheme="minorHAnsi" w:hAnsi="Trebuchet MS" w:cs="ComicSansMS"/>
          <w:sz w:val="20"/>
          <w:szCs w:val="20"/>
        </w:rPr>
        <w:t>difosfato de adenosina)</w:t>
      </w:r>
      <w:r w:rsidR="00A3247F">
        <w:rPr>
          <w:rFonts w:ascii="Trebuchet MS" w:eastAsiaTheme="minorHAnsi" w:hAnsi="Trebuchet MS" w:cs="ComicSansMS"/>
          <w:sz w:val="20"/>
          <w:szCs w:val="20"/>
        </w:rPr>
        <w:t xml:space="preserve"> libertados e</w:t>
      </w:r>
      <w:r w:rsidRPr="00DE7F4F">
        <w:rPr>
          <w:rFonts w:ascii="Trebuchet MS" w:eastAsiaTheme="minorHAnsi" w:hAnsi="Trebuchet MS" w:cs="ComicSansMS"/>
          <w:sz w:val="20"/>
          <w:szCs w:val="20"/>
        </w:rPr>
        <w:t xml:space="preserve"> que são convertidos em AMP </w:t>
      </w:r>
      <w:r w:rsidR="0030736A">
        <w:rPr>
          <w:rFonts w:ascii="Trebuchet MS" w:eastAsiaTheme="minorHAnsi" w:hAnsi="Trebuchet MS" w:cs="ComicSansMS"/>
          <w:sz w:val="20"/>
          <w:szCs w:val="20"/>
        </w:rPr>
        <w:t xml:space="preserve">e finalmente </w:t>
      </w:r>
      <w:r w:rsidR="00222172">
        <w:rPr>
          <w:rFonts w:ascii="Trebuchet MS" w:eastAsiaTheme="minorHAnsi" w:hAnsi="Trebuchet MS" w:cs="ComicSansMS"/>
          <w:sz w:val="20"/>
          <w:szCs w:val="20"/>
        </w:rPr>
        <w:t xml:space="preserve">em adenosina </w:t>
      </w:r>
      <w:r w:rsidR="0030736A">
        <w:rPr>
          <w:rFonts w:ascii="Trebuchet MS" w:eastAsiaTheme="minorHAnsi" w:hAnsi="Trebuchet MS" w:cs="ComicSansMS"/>
          <w:sz w:val="20"/>
          <w:szCs w:val="20"/>
        </w:rPr>
        <w:t>por acção d</w:t>
      </w:r>
      <w:r w:rsidR="00222172">
        <w:rPr>
          <w:rFonts w:ascii="Trebuchet MS" w:eastAsiaTheme="minorHAnsi" w:hAnsi="Trebuchet MS" w:cs="ComicSansMS"/>
          <w:sz w:val="20"/>
          <w:szCs w:val="20"/>
        </w:rPr>
        <w:t>e</w:t>
      </w:r>
      <w:r w:rsidR="0030736A">
        <w:rPr>
          <w:rFonts w:ascii="Trebuchet MS" w:eastAsiaTheme="minorHAnsi" w:hAnsi="Trebuchet MS" w:cs="ComicSansMS"/>
          <w:sz w:val="20"/>
          <w:szCs w:val="20"/>
        </w:rPr>
        <w:t xml:space="preserve"> ecto-nucleotidases</w:t>
      </w:r>
      <w:r w:rsidRPr="00DE7F4F">
        <w:rPr>
          <w:rFonts w:ascii="Trebuchet MS" w:eastAsiaTheme="minorHAnsi" w:hAnsi="Trebuchet MS" w:cs="ComicSansMS"/>
          <w:sz w:val="20"/>
          <w:szCs w:val="20"/>
        </w:rPr>
        <w:t>. Além</w:t>
      </w:r>
      <w:r>
        <w:rPr>
          <w:rFonts w:ascii="Trebuchet MS" w:eastAsiaTheme="minorHAnsi" w:hAnsi="Trebuchet MS" w:cs="ComicSansMS"/>
          <w:sz w:val="20"/>
          <w:szCs w:val="20"/>
        </w:rPr>
        <w:t xml:space="preserve"> </w:t>
      </w:r>
      <w:r w:rsidRPr="00DE7F4F">
        <w:rPr>
          <w:rFonts w:ascii="Trebuchet MS" w:eastAsiaTheme="minorHAnsi" w:hAnsi="Trebuchet MS" w:cs="ComicSansMS"/>
          <w:sz w:val="20"/>
          <w:szCs w:val="20"/>
        </w:rPr>
        <w:t xml:space="preserve">disso, a adenosina </w:t>
      </w:r>
      <w:r w:rsidR="0030736A">
        <w:rPr>
          <w:rFonts w:ascii="Trebuchet MS" w:eastAsiaTheme="minorHAnsi" w:hAnsi="Trebuchet MS" w:cs="ComicSansMS"/>
          <w:sz w:val="20"/>
          <w:szCs w:val="20"/>
        </w:rPr>
        <w:t>produzida intracelularmente</w:t>
      </w:r>
      <w:r w:rsidR="00CC25B8">
        <w:rPr>
          <w:rFonts w:ascii="Trebuchet MS" w:eastAsiaTheme="minorHAnsi" w:hAnsi="Trebuchet MS" w:cs="ComicSansMS"/>
          <w:sz w:val="20"/>
          <w:szCs w:val="20"/>
        </w:rPr>
        <w:t xml:space="preserve"> </w:t>
      </w:r>
      <w:r w:rsidRPr="00DE7F4F">
        <w:rPr>
          <w:rFonts w:ascii="Trebuchet MS" w:eastAsiaTheme="minorHAnsi" w:hAnsi="Trebuchet MS" w:cs="ComicSansMS"/>
          <w:sz w:val="20"/>
          <w:szCs w:val="20"/>
        </w:rPr>
        <w:t>pode sofrer translocação através de um transportador</w:t>
      </w:r>
      <w:r>
        <w:rPr>
          <w:rFonts w:ascii="Trebuchet MS" w:eastAsiaTheme="minorHAnsi" w:hAnsi="Trebuchet MS" w:cs="ComicSansMS"/>
          <w:sz w:val="20"/>
          <w:szCs w:val="20"/>
        </w:rPr>
        <w:t xml:space="preserve"> </w:t>
      </w:r>
      <w:r w:rsidRPr="00DE7F4F">
        <w:rPr>
          <w:rFonts w:ascii="Trebuchet MS" w:eastAsiaTheme="minorHAnsi" w:hAnsi="Trebuchet MS" w:cs="ComicSansMS"/>
          <w:sz w:val="20"/>
          <w:szCs w:val="20"/>
        </w:rPr>
        <w:t>bidire</w:t>
      </w:r>
      <w:r>
        <w:rPr>
          <w:rFonts w:ascii="Trebuchet MS" w:eastAsiaTheme="minorHAnsi" w:hAnsi="Trebuchet MS" w:cs="ComicSansMS"/>
          <w:sz w:val="20"/>
          <w:szCs w:val="20"/>
        </w:rPr>
        <w:t>c</w:t>
      </w:r>
      <w:r w:rsidRPr="00DE7F4F">
        <w:rPr>
          <w:rFonts w:ascii="Trebuchet MS" w:eastAsiaTheme="minorHAnsi" w:hAnsi="Trebuchet MS" w:cs="ComicSansMS"/>
          <w:sz w:val="20"/>
          <w:szCs w:val="20"/>
        </w:rPr>
        <w:t>cional</w:t>
      </w:r>
      <w:r w:rsidR="00DB7A6B">
        <w:rPr>
          <w:rFonts w:ascii="Trebuchet MS" w:eastAsiaTheme="minorHAnsi" w:hAnsi="Trebuchet MS" w:cs="ComicSansMS"/>
          <w:sz w:val="20"/>
          <w:szCs w:val="20"/>
        </w:rPr>
        <w:t xml:space="preserve"> </w:t>
      </w:r>
      <w:r w:rsidR="00DB7A6B" w:rsidRPr="006A300A">
        <w:rPr>
          <w:rFonts w:ascii="Trebuchet MS" w:eastAsiaTheme="minorHAnsi" w:hAnsi="Trebuchet MS" w:cs="ComicSansMS"/>
          <w:sz w:val="20"/>
          <w:szCs w:val="20"/>
        </w:rPr>
        <w:t>(</w:t>
      </w:r>
      <w:r w:rsidR="00296679">
        <w:rPr>
          <w:rFonts w:ascii="Trebuchet MS" w:eastAsiaTheme="minorHAnsi" w:hAnsi="Trebuchet MS"/>
          <w:sz w:val="20"/>
          <w:szCs w:val="16"/>
        </w:rPr>
        <w:t xml:space="preserve">Para revisão ver Dunwiddie and Masino, 2001; </w:t>
      </w:r>
      <w:r w:rsidR="00DB7A6B">
        <w:rPr>
          <w:rFonts w:ascii="Trebuchet MS" w:eastAsiaTheme="minorHAnsi" w:hAnsi="Trebuchet MS" w:cs="ComicSansMS"/>
          <w:sz w:val="20"/>
          <w:szCs w:val="20"/>
        </w:rPr>
        <w:t>Para revisão ver Latini and Pedata, 2001)</w:t>
      </w:r>
      <w:r>
        <w:rPr>
          <w:rFonts w:ascii="Trebuchet MS" w:eastAsiaTheme="minorHAnsi" w:hAnsi="Trebuchet MS" w:cs="ComicSansMS"/>
          <w:sz w:val="20"/>
          <w:szCs w:val="20"/>
        </w:rPr>
        <w:t>.</w:t>
      </w:r>
    </w:p>
    <w:p w:rsidR="00DD79FF" w:rsidRDefault="00DD79FF" w:rsidP="00DD79FF">
      <w:pPr>
        <w:autoSpaceDE w:val="0"/>
        <w:autoSpaceDN w:val="0"/>
        <w:adjustRightInd w:val="0"/>
        <w:spacing w:line="360" w:lineRule="auto"/>
        <w:jc w:val="both"/>
        <w:rPr>
          <w:rFonts w:ascii="Trebuchet MS" w:eastAsiaTheme="minorHAnsi" w:hAnsi="Trebuchet MS" w:cs="ComicSansMS"/>
          <w:sz w:val="20"/>
          <w:szCs w:val="20"/>
        </w:rPr>
      </w:pPr>
      <w:r>
        <w:rPr>
          <w:rFonts w:ascii="Trebuchet MS" w:eastAsiaTheme="minorHAnsi" w:hAnsi="Trebuchet MS" w:cs="ComicSansMS"/>
          <w:sz w:val="20"/>
          <w:szCs w:val="20"/>
        </w:rPr>
        <w:tab/>
        <w:t>O</w:t>
      </w:r>
      <w:r w:rsidRPr="00BB3FB8">
        <w:rPr>
          <w:rFonts w:ascii="Trebuchet MS" w:eastAsiaTheme="minorHAnsi" w:hAnsi="Trebuchet MS" w:cs="ComicSansMS"/>
          <w:sz w:val="20"/>
          <w:szCs w:val="20"/>
        </w:rPr>
        <w:t>utra possível fonte de adenosina no SNC é via liber</w:t>
      </w:r>
      <w:r>
        <w:rPr>
          <w:rFonts w:ascii="Trebuchet MS" w:eastAsiaTheme="minorHAnsi" w:hAnsi="Trebuchet MS" w:cs="ComicSansMS"/>
          <w:sz w:val="20"/>
          <w:szCs w:val="20"/>
        </w:rPr>
        <w:t>t</w:t>
      </w:r>
      <w:r w:rsidRPr="00BB3FB8">
        <w:rPr>
          <w:rFonts w:ascii="Trebuchet MS" w:eastAsiaTheme="minorHAnsi" w:hAnsi="Trebuchet MS" w:cs="ComicSansMS"/>
          <w:sz w:val="20"/>
          <w:szCs w:val="20"/>
        </w:rPr>
        <w:t>ação de AMPc</w:t>
      </w:r>
      <w:r>
        <w:rPr>
          <w:rFonts w:ascii="Trebuchet MS" w:eastAsiaTheme="minorHAnsi" w:hAnsi="Trebuchet MS" w:cs="ComicSansMS"/>
          <w:sz w:val="20"/>
          <w:szCs w:val="20"/>
        </w:rPr>
        <w:t xml:space="preserve"> </w:t>
      </w:r>
      <w:r w:rsidRPr="00BB3FB8">
        <w:rPr>
          <w:rFonts w:ascii="Trebuchet MS" w:eastAsiaTheme="minorHAnsi" w:hAnsi="Trebuchet MS" w:cs="ComicSansMS"/>
          <w:sz w:val="20"/>
          <w:szCs w:val="20"/>
        </w:rPr>
        <w:t>para o meio extr</w:t>
      </w:r>
      <w:r w:rsidRPr="00BB3FB8">
        <w:rPr>
          <w:rFonts w:ascii="Trebuchet MS" w:eastAsiaTheme="minorHAnsi" w:hAnsi="Trebuchet MS" w:cs="ComicSansMS"/>
          <w:sz w:val="20"/>
          <w:szCs w:val="20"/>
        </w:rPr>
        <w:t>a</w:t>
      </w:r>
      <w:r w:rsidRPr="00BB3FB8">
        <w:rPr>
          <w:rFonts w:ascii="Trebuchet MS" w:eastAsiaTheme="minorHAnsi" w:hAnsi="Trebuchet MS" w:cs="ComicSansMS"/>
          <w:sz w:val="20"/>
          <w:szCs w:val="20"/>
        </w:rPr>
        <w:t>celular através de um</w:t>
      </w:r>
      <w:r>
        <w:rPr>
          <w:rFonts w:ascii="Trebuchet MS" w:eastAsiaTheme="minorHAnsi" w:hAnsi="Trebuchet MS" w:cs="ComicSansMS"/>
          <w:sz w:val="20"/>
          <w:szCs w:val="20"/>
        </w:rPr>
        <w:t xml:space="preserve"> </w:t>
      </w:r>
      <w:r w:rsidRPr="00BB3FB8">
        <w:rPr>
          <w:rFonts w:ascii="Trebuchet MS" w:eastAsiaTheme="minorHAnsi" w:hAnsi="Trebuchet MS" w:cs="ComicSansMS"/>
          <w:sz w:val="20"/>
          <w:szCs w:val="20"/>
        </w:rPr>
        <w:t>transportador dependente de energia não específico. O AMPc é conve</w:t>
      </w:r>
      <w:r w:rsidRPr="00BB3FB8">
        <w:rPr>
          <w:rFonts w:ascii="Trebuchet MS" w:eastAsiaTheme="minorHAnsi" w:hAnsi="Trebuchet MS" w:cs="ComicSansMS"/>
          <w:sz w:val="20"/>
          <w:szCs w:val="20"/>
        </w:rPr>
        <w:t>r</w:t>
      </w:r>
      <w:r w:rsidRPr="00BB3FB8">
        <w:rPr>
          <w:rFonts w:ascii="Trebuchet MS" w:eastAsiaTheme="minorHAnsi" w:hAnsi="Trebuchet MS" w:cs="ComicSansMS"/>
          <w:sz w:val="20"/>
          <w:szCs w:val="20"/>
        </w:rPr>
        <w:t>tido a AMP</w:t>
      </w:r>
      <w:r>
        <w:rPr>
          <w:rFonts w:ascii="Trebuchet MS" w:eastAsiaTheme="minorHAnsi" w:hAnsi="Trebuchet MS" w:cs="ComicSansMS"/>
          <w:sz w:val="20"/>
          <w:szCs w:val="20"/>
        </w:rPr>
        <w:t xml:space="preserve"> </w:t>
      </w:r>
      <w:r w:rsidRPr="00BB3FB8">
        <w:rPr>
          <w:rFonts w:ascii="Trebuchet MS" w:eastAsiaTheme="minorHAnsi" w:hAnsi="Trebuchet MS" w:cs="ComicSansMS"/>
          <w:sz w:val="20"/>
          <w:szCs w:val="20"/>
        </w:rPr>
        <w:t>pela ectofosfodiesterase (</w:t>
      </w:r>
      <w:r>
        <w:rPr>
          <w:rFonts w:ascii="Trebuchet MS" w:eastAsiaTheme="minorHAnsi" w:hAnsi="Trebuchet MS" w:cs="ComicSansMS"/>
          <w:sz w:val="20"/>
          <w:szCs w:val="20"/>
        </w:rPr>
        <w:t xml:space="preserve">Ecto-PDE) no meio extracelular </w:t>
      </w:r>
      <w:r w:rsidRPr="006A300A">
        <w:rPr>
          <w:rFonts w:ascii="Trebuchet MS" w:eastAsiaTheme="minorHAnsi" w:hAnsi="Trebuchet MS" w:cs="ComicSansMS"/>
          <w:sz w:val="20"/>
          <w:szCs w:val="20"/>
        </w:rPr>
        <w:t>(</w:t>
      </w:r>
      <w:r w:rsidR="00296679">
        <w:rPr>
          <w:rFonts w:ascii="Trebuchet MS" w:eastAsiaTheme="minorHAnsi" w:hAnsi="Trebuchet MS"/>
          <w:sz w:val="20"/>
          <w:szCs w:val="16"/>
        </w:rPr>
        <w:t>Para revisão ver Du</w:t>
      </w:r>
      <w:r w:rsidR="00296679">
        <w:rPr>
          <w:rFonts w:ascii="Trebuchet MS" w:eastAsiaTheme="minorHAnsi" w:hAnsi="Trebuchet MS"/>
          <w:sz w:val="20"/>
          <w:szCs w:val="16"/>
        </w:rPr>
        <w:t>n</w:t>
      </w:r>
      <w:r w:rsidR="00296679">
        <w:rPr>
          <w:rFonts w:ascii="Trebuchet MS" w:eastAsiaTheme="minorHAnsi" w:hAnsi="Trebuchet MS"/>
          <w:sz w:val="20"/>
          <w:szCs w:val="16"/>
        </w:rPr>
        <w:t xml:space="preserve">widdie and Masino, 2001; </w:t>
      </w:r>
      <w:r w:rsidR="004149DC">
        <w:rPr>
          <w:rFonts w:ascii="Trebuchet MS" w:eastAsiaTheme="minorHAnsi" w:hAnsi="Trebuchet MS" w:cs="ComicSansMS"/>
          <w:sz w:val="20"/>
          <w:szCs w:val="20"/>
        </w:rPr>
        <w:t>Para revisão ver</w:t>
      </w:r>
      <w:r>
        <w:rPr>
          <w:rFonts w:ascii="Trebuchet MS" w:eastAsiaTheme="minorHAnsi" w:hAnsi="Trebuchet MS" w:cs="ComicSansMS"/>
          <w:sz w:val="20"/>
          <w:szCs w:val="20"/>
        </w:rPr>
        <w:t xml:space="preserve"> Latini and Pedata, 2001).</w:t>
      </w:r>
    </w:p>
    <w:p w:rsidR="00DD79FF" w:rsidRDefault="00DD79FF" w:rsidP="00DD79FF">
      <w:pPr>
        <w:autoSpaceDE w:val="0"/>
        <w:autoSpaceDN w:val="0"/>
        <w:adjustRightInd w:val="0"/>
        <w:spacing w:line="360" w:lineRule="auto"/>
        <w:jc w:val="both"/>
        <w:rPr>
          <w:rFonts w:ascii="Trebuchet MS" w:eastAsiaTheme="minorHAnsi" w:hAnsi="Trebuchet MS" w:cs="ComicSansMS"/>
          <w:sz w:val="20"/>
          <w:szCs w:val="20"/>
        </w:rPr>
      </w:pPr>
      <w:r>
        <w:rPr>
          <w:rFonts w:ascii="Trebuchet MS" w:eastAsiaTheme="minorHAnsi" w:hAnsi="Trebuchet MS" w:cs="ComicSansMS"/>
          <w:sz w:val="20"/>
          <w:szCs w:val="20"/>
        </w:rPr>
        <w:tab/>
      </w:r>
      <w:r w:rsidRPr="008D38E7">
        <w:rPr>
          <w:rFonts w:ascii="Trebuchet MS" w:eastAsiaTheme="minorHAnsi" w:hAnsi="Trebuchet MS" w:cs="ComicSansMS"/>
          <w:sz w:val="20"/>
          <w:szCs w:val="20"/>
        </w:rPr>
        <w:t xml:space="preserve">A adenosina pode ainda ser </w:t>
      </w:r>
      <w:r w:rsidRPr="00750C33">
        <w:rPr>
          <w:rFonts w:ascii="Trebuchet MS" w:eastAsiaTheme="minorHAnsi" w:hAnsi="Trebuchet MS" w:cs="ComicSansMS"/>
          <w:sz w:val="20"/>
          <w:szCs w:val="20"/>
          <w:u w:val="single"/>
        </w:rPr>
        <w:t>formada</w:t>
      </w:r>
      <w:r w:rsidRPr="008D38E7">
        <w:rPr>
          <w:rFonts w:ascii="Trebuchet MS" w:eastAsiaTheme="minorHAnsi" w:hAnsi="Trebuchet MS" w:cs="ComicSansMS"/>
          <w:sz w:val="20"/>
          <w:szCs w:val="20"/>
        </w:rPr>
        <w:t xml:space="preserve"> pela hidrólise da S-adenosilhomocisteína</w:t>
      </w:r>
      <w:r>
        <w:rPr>
          <w:rFonts w:ascii="Trebuchet MS" w:eastAsiaTheme="minorHAnsi" w:hAnsi="Trebuchet MS" w:cs="ComicSansMS"/>
          <w:sz w:val="20"/>
          <w:szCs w:val="20"/>
        </w:rPr>
        <w:t xml:space="preserve"> </w:t>
      </w:r>
      <w:r w:rsidRPr="008D38E7">
        <w:rPr>
          <w:rFonts w:ascii="Trebuchet MS" w:eastAsiaTheme="minorHAnsi" w:hAnsi="Trebuchet MS" w:cs="ComicSansMS"/>
          <w:sz w:val="20"/>
          <w:szCs w:val="20"/>
        </w:rPr>
        <w:t xml:space="preserve">(SAH) pela enzima hidrolase </w:t>
      </w:r>
      <w:r w:rsidR="00280BA4">
        <w:rPr>
          <w:rFonts w:ascii="Trebuchet MS" w:eastAsiaTheme="minorHAnsi" w:hAnsi="Trebuchet MS" w:cs="ComicSansMS"/>
          <w:sz w:val="20"/>
          <w:szCs w:val="20"/>
        </w:rPr>
        <w:t xml:space="preserve">da </w:t>
      </w:r>
      <w:r w:rsidRPr="008D38E7">
        <w:rPr>
          <w:rFonts w:ascii="Trebuchet MS" w:eastAsiaTheme="minorHAnsi" w:hAnsi="Trebuchet MS" w:cs="ComicSansMS"/>
          <w:sz w:val="20"/>
          <w:szCs w:val="20"/>
        </w:rPr>
        <w:t>SAH</w:t>
      </w:r>
      <w:r>
        <w:rPr>
          <w:rFonts w:ascii="Trebuchet MS" w:eastAsiaTheme="minorHAnsi" w:hAnsi="Trebuchet MS" w:cs="ComicSansMS"/>
          <w:sz w:val="20"/>
          <w:szCs w:val="20"/>
        </w:rPr>
        <w:t>, gerando</w:t>
      </w:r>
      <w:r w:rsidRPr="008D38E7">
        <w:rPr>
          <w:rFonts w:ascii="Trebuchet MS" w:eastAsiaTheme="minorHAnsi" w:hAnsi="Trebuchet MS" w:cs="ComicSansMS"/>
          <w:sz w:val="20"/>
          <w:szCs w:val="20"/>
        </w:rPr>
        <w:t xml:space="preserve"> adenosina e homocisteína a</w:t>
      </w:r>
      <w:r>
        <w:rPr>
          <w:rFonts w:ascii="Trebuchet MS" w:eastAsiaTheme="minorHAnsi" w:hAnsi="Trebuchet MS" w:cs="ComicSansMS"/>
          <w:sz w:val="20"/>
          <w:szCs w:val="20"/>
        </w:rPr>
        <w:t xml:space="preserve"> </w:t>
      </w:r>
      <w:r w:rsidRPr="008D38E7">
        <w:rPr>
          <w:rFonts w:ascii="Trebuchet MS" w:eastAsiaTheme="minorHAnsi" w:hAnsi="Trebuchet MS" w:cs="ComicSansMS"/>
          <w:sz w:val="20"/>
          <w:szCs w:val="20"/>
        </w:rPr>
        <w:t xml:space="preserve">partir da SAH. Acredita-se que </w:t>
      </w:r>
      <w:r>
        <w:rPr>
          <w:rFonts w:ascii="Trebuchet MS" w:eastAsiaTheme="minorHAnsi" w:hAnsi="Trebuchet MS" w:cs="ComicSansMS"/>
          <w:sz w:val="20"/>
          <w:szCs w:val="20"/>
        </w:rPr>
        <w:t>em</w:t>
      </w:r>
      <w:r w:rsidRPr="008D38E7">
        <w:rPr>
          <w:rFonts w:ascii="Trebuchet MS" w:eastAsiaTheme="minorHAnsi" w:hAnsi="Trebuchet MS" w:cs="ComicSansMS"/>
          <w:sz w:val="20"/>
          <w:szCs w:val="20"/>
        </w:rPr>
        <w:t xml:space="preserve"> condições normais, a maior fra</w:t>
      </w:r>
      <w:r>
        <w:rPr>
          <w:rFonts w:ascii="Trebuchet MS" w:eastAsiaTheme="minorHAnsi" w:hAnsi="Trebuchet MS" w:cs="ComicSansMS"/>
          <w:sz w:val="20"/>
          <w:szCs w:val="20"/>
        </w:rPr>
        <w:t>c</w:t>
      </w:r>
      <w:r w:rsidRPr="008D38E7">
        <w:rPr>
          <w:rFonts w:ascii="Trebuchet MS" w:eastAsiaTheme="minorHAnsi" w:hAnsi="Trebuchet MS" w:cs="ComicSansMS"/>
          <w:sz w:val="20"/>
          <w:szCs w:val="20"/>
        </w:rPr>
        <w:t>ção de adenosina</w:t>
      </w:r>
      <w:r>
        <w:rPr>
          <w:rFonts w:ascii="Trebuchet MS" w:eastAsiaTheme="minorHAnsi" w:hAnsi="Trebuchet MS" w:cs="ComicSansMS"/>
          <w:sz w:val="20"/>
          <w:szCs w:val="20"/>
        </w:rPr>
        <w:t xml:space="preserve"> </w:t>
      </w:r>
      <w:r w:rsidRPr="008D38E7">
        <w:rPr>
          <w:rFonts w:ascii="Trebuchet MS" w:eastAsiaTheme="minorHAnsi" w:hAnsi="Trebuchet MS" w:cs="ComicSansMS"/>
          <w:sz w:val="20"/>
          <w:szCs w:val="20"/>
        </w:rPr>
        <w:t xml:space="preserve">é originada </w:t>
      </w:r>
      <w:r>
        <w:rPr>
          <w:rFonts w:ascii="Trebuchet MS" w:eastAsiaTheme="minorHAnsi" w:hAnsi="Trebuchet MS" w:cs="ComicSansMS"/>
          <w:sz w:val="20"/>
          <w:szCs w:val="20"/>
        </w:rPr>
        <w:t xml:space="preserve">a partir </w:t>
      </w:r>
      <w:r w:rsidRPr="008D38E7">
        <w:rPr>
          <w:rFonts w:ascii="Trebuchet MS" w:eastAsiaTheme="minorHAnsi" w:hAnsi="Trebuchet MS" w:cs="ComicSansMS"/>
          <w:sz w:val="20"/>
          <w:szCs w:val="20"/>
        </w:rPr>
        <w:t>da SAH</w:t>
      </w:r>
      <w:r w:rsidR="00280BA4">
        <w:rPr>
          <w:rFonts w:ascii="Trebuchet MS" w:eastAsiaTheme="minorHAnsi" w:hAnsi="Trebuchet MS" w:cs="ComicSansMS"/>
          <w:sz w:val="20"/>
          <w:szCs w:val="20"/>
        </w:rPr>
        <w:t>.</w:t>
      </w:r>
      <w:r w:rsidRPr="008D38E7">
        <w:rPr>
          <w:rFonts w:ascii="Trebuchet MS" w:eastAsiaTheme="minorHAnsi" w:hAnsi="Trebuchet MS" w:cs="ComicSansMS"/>
          <w:sz w:val="20"/>
          <w:szCs w:val="20"/>
        </w:rPr>
        <w:t xml:space="preserve"> Cont</w:t>
      </w:r>
      <w:r w:rsidRPr="008D38E7">
        <w:rPr>
          <w:rFonts w:ascii="Trebuchet MS" w:eastAsiaTheme="minorHAnsi" w:hAnsi="Trebuchet MS" w:cs="ComicSansMS"/>
          <w:sz w:val="20"/>
          <w:szCs w:val="20"/>
        </w:rPr>
        <w:t>u</w:t>
      </w:r>
      <w:r w:rsidRPr="008D38E7">
        <w:rPr>
          <w:rFonts w:ascii="Trebuchet MS" w:eastAsiaTheme="minorHAnsi" w:hAnsi="Trebuchet MS" w:cs="ComicSansMS"/>
          <w:sz w:val="20"/>
          <w:szCs w:val="20"/>
        </w:rPr>
        <w:t xml:space="preserve">do, </w:t>
      </w:r>
      <w:r>
        <w:rPr>
          <w:rFonts w:ascii="Trebuchet MS" w:eastAsiaTheme="minorHAnsi" w:hAnsi="Trebuchet MS" w:cs="ComicSansMS"/>
          <w:sz w:val="20"/>
          <w:szCs w:val="20"/>
        </w:rPr>
        <w:t xml:space="preserve">em </w:t>
      </w:r>
      <w:r w:rsidRPr="008D38E7">
        <w:rPr>
          <w:rFonts w:ascii="Trebuchet MS" w:eastAsiaTheme="minorHAnsi" w:hAnsi="Trebuchet MS" w:cs="ComicSansMS"/>
          <w:sz w:val="20"/>
          <w:szCs w:val="20"/>
        </w:rPr>
        <w:t>condições de</w:t>
      </w:r>
      <w:r>
        <w:rPr>
          <w:rFonts w:ascii="Trebuchet MS" w:eastAsiaTheme="minorHAnsi" w:hAnsi="Trebuchet MS" w:cs="ComicSansMS"/>
          <w:sz w:val="20"/>
          <w:szCs w:val="20"/>
        </w:rPr>
        <w:t xml:space="preserve"> </w:t>
      </w:r>
      <w:r w:rsidRPr="008D38E7">
        <w:rPr>
          <w:rFonts w:ascii="Trebuchet MS" w:eastAsiaTheme="minorHAnsi" w:hAnsi="Trebuchet MS" w:cs="ComicSansMS"/>
          <w:sz w:val="20"/>
          <w:szCs w:val="20"/>
        </w:rPr>
        <w:t>hip</w:t>
      </w:r>
      <w:r>
        <w:rPr>
          <w:rFonts w:ascii="Trebuchet MS" w:eastAsiaTheme="minorHAnsi" w:hAnsi="Trebuchet MS" w:cs="ComicSansMS"/>
          <w:sz w:val="20"/>
          <w:szCs w:val="20"/>
        </w:rPr>
        <w:t>ó</w:t>
      </w:r>
      <w:r w:rsidRPr="008D38E7">
        <w:rPr>
          <w:rFonts w:ascii="Trebuchet MS" w:eastAsiaTheme="minorHAnsi" w:hAnsi="Trebuchet MS" w:cs="ComicSansMS"/>
          <w:sz w:val="20"/>
          <w:szCs w:val="20"/>
        </w:rPr>
        <w:t>xia, isqu</w:t>
      </w:r>
      <w:r>
        <w:rPr>
          <w:rFonts w:ascii="Trebuchet MS" w:eastAsiaTheme="minorHAnsi" w:hAnsi="Trebuchet MS" w:cs="ComicSansMS"/>
          <w:sz w:val="20"/>
          <w:szCs w:val="20"/>
        </w:rPr>
        <w:t>é</w:t>
      </w:r>
      <w:r w:rsidRPr="008D38E7">
        <w:rPr>
          <w:rFonts w:ascii="Trebuchet MS" w:eastAsiaTheme="minorHAnsi" w:hAnsi="Trebuchet MS" w:cs="ComicSansMS"/>
          <w:sz w:val="20"/>
          <w:szCs w:val="20"/>
        </w:rPr>
        <w:t xml:space="preserve">mia e </w:t>
      </w:r>
      <w:r>
        <w:rPr>
          <w:rFonts w:ascii="Trebuchet MS" w:eastAsiaTheme="minorHAnsi" w:hAnsi="Trebuchet MS" w:cs="ComicSansMS"/>
          <w:sz w:val="20"/>
          <w:szCs w:val="20"/>
        </w:rPr>
        <w:t>stress</w:t>
      </w:r>
      <w:r w:rsidRPr="008D38E7">
        <w:rPr>
          <w:rFonts w:ascii="Trebuchet MS" w:eastAsiaTheme="minorHAnsi" w:hAnsi="Trebuchet MS" w:cs="ComicSansMS"/>
          <w:sz w:val="20"/>
          <w:szCs w:val="20"/>
        </w:rPr>
        <w:t xml:space="preserve"> metabólico, a adenosina é derivada principa</w:t>
      </w:r>
      <w:r w:rsidRPr="008D38E7">
        <w:rPr>
          <w:rFonts w:ascii="Trebuchet MS" w:eastAsiaTheme="minorHAnsi" w:hAnsi="Trebuchet MS" w:cs="ComicSansMS"/>
          <w:sz w:val="20"/>
          <w:szCs w:val="20"/>
        </w:rPr>
        <w:t>l</w:t>
      </w:r>
      <w:r w:rsidRPr="008D38E7">
        <w:rPr>
          <w:rFonts w:ascii="Trebuchet MS" w:eastAsiaTheme="minorHAnsi" w:hAnsi="Trebuchet MS" w:cs="ComicSansMS"/>
          <w:sz w:val="20"/>
          <w:szCs w:val="20"/>
        </w:rPr>
        <w:t>mente da</w:t>
      </w:r>
      <w:r>
        <w:rPr>
          <w:rFonts w:ascii="Trebuchet MS" w:eastAsiaTheme="minorHAnsi" w:hAnsi="Trebuchet MS" w:cs="ComicSansMS"/>
          <w:sz w:val="20"/>
          <w:szCs w:val="20"/>
        </w:rPr>
        <w:t xml:space="preserve"> </w:t>
      </w:r>
      <w:r w:rsidRPr="008D38E7">
        <w:rPr>
          <w:rFonts w:ascii="Trebuchet MS" w:eastAsiaTheme="minorHAnsi" w:hAnsi="Trebuchet MS" w:cs="ComicSansMS"/>
          <w:sz w:val="20"/>
          <w:szCs w:val="20"/>
        </w:rPr>
        <w:t>a</w:t>
      </w:r>
      <w:r>
        <w:rPr>
          <w:rFonts w:ascii="Trebuchet MS" w:eastAsiaTheme="minorHAnsi" w:hAnsi="Trebuchet MS" w:cs="ComicSansMS"/>
          <w:sz w:val="20"/>
          <w:szCs w:val="20"/>
        </w:rPr>
        <w:t>c</w:t>
      </w:r>
      <w:r w:rsidRPr="008D38E7">
        <w:rPr>
          <w:rFonts w:ascii="Trebuchet MS" w:eastAsiaTheme="minorHAnsi" w:hAnsi="Trebuchet MS" w:cs="ComicSansMS"/>
          <w:sz w:val="20"/>
          <w:szCs w:val="20"/>
        </w:rPr>
        <w:t>ção d</w:t>
      </w:r>
      <w:r>
        <w:rPr>
          <w:rFonts w:ascii="Trebuchet MS" w:eastAsiaTheme="minorHAnsi" w:hAnsi="Trebuchet MS" w:cs="ComicSansMS"/>
          <w:sz w:val="20"/>
          <w:szCs w:val="20"/>
        </w:rPr>
        <w:t>a 5'-nucleotidase</w:t>
      </w:r>
      <w:r w:rsidRPr="008D38E7">
        <w:rPr>
          <w:rFonts w:ascii="Trebuchet MS" w:eastAsiaTheme="minorHAnsi" w:hAnsi="Trebuchet MS" w:cs="ComicSansMS"/>
          <w:sz w:val="20"/>
          <w:szCs w:val="20"/>
        </w:rPr>
        <w:t xml:space="preserve">. Por outro lado, </w:t>
      </w:r>
      <w:r>
        <w:rPr>
          <w:rFonts w:ascii="Trebuchet MS" w:eastAsiaTheme="minorHAnsi" w:hAnsi="Trebuchet MS" w:cs="ComicSansMS"/>
          <w:sz w:val="20"/>
          <w:szCs w:val="20"/>
        </w:rPr>
        <w:t>estudos demonstraram que</w:t>
      </w:r>
      <w:r w:rsidRPr="008D38E7">
        <w:rPr>
          <w:rFonts w:ascii="Trebuchet MS" w:eastAsiaTheme="minorHAnsi" w:hAnsi="Trebuchet MS" w:cs="ComicSansMS"/>
          <w:sz w:val="20"/>
          <w:szCs w:val="20"/>
        </w:rPr>
        <w:t xml:space="preserve"> um inibidor sele</w:t>
      </w:r>
      <w:r>
        <w:rPr>
          <w:rFonts w:ascii="Trebuchet MS" w:eastAsiaTheme="minorHAnsi" w:hAnsi="Trebuchet MS" w:cs="ComicSansMS"/>
          <w:sz w:val="20"/>
          <w:szCs w:val="20"/>
        </w:rPr>
        <w:t>c</w:t>
      </w:r>
      <w:r w:rsidRPr="008D38E7">
        <w:rPr>
          <w:rFonts w:ascii="Trebuchet MS" w:eastAsiaTheme="minorHAnsi" w:hAnsi="Trebuchet MS" w:cs="ComicSansMS"/>
          <w:sz w:val="20"/>
          <w:szCs w:val="20"/>
        </w:rPr>
        <w:t>tivo da hidrolase SAH (adenosina-2,3-dialdeído),</w:t>
      </w:r>
      <w:r>
        <w:rPr>
          <w:rFonts w:ascii="Trebuchet MS" w:eastAsiaTheme="minorHAnsi" w:hAnsi="Trebuchet MS" w:cs="ComicSansMS"/>
          <w:sz w:val="20"/>
          <w:szCs w:val="20"/>
        </w:rPr>
        <w:t xml:space="preserve"> </w:t>
      </w:r>
      <w:r w:rsidRPr="008D38E7">
        <w:rPr>
          <w:rFonts w:ascii="Trebuchet MS" w:eastAsiaTheme="minorHAnsi" w:hAnsi="Trebuchet MS" w:cs="ComicSansMS"/>
          <w:sz w:val="20"/>
          <w:szCs w:val="20"/>
        </w:rPr>
        <w:t>não influenciou a liber</w:t>
      </w:r>
      <w:r>
        <w:rPr>
          <w:rFonts w:ascii="Trebuchet MS" w:eastAsiaTheme="minorHAnsi" w:hAnsi="Trebuchet MS" w:cs="ComicSansMS"/>
          <w:sz w:val="20"/>
          <w:szCs w:val="20"/>
        </w:rPr>
        <w:t>t</w:t>
      </w:r>
      <w:r w:rsidRPr="008D38E7">
        <w:rPr>
          <w:rFonts w:ascii="Trebuchet MS" w:eastAsiaTheme="minorHAnsi" w:hAnsi="Trebuchet MS" w:cs="ComicSansMS"/>
          <w:sz w:val="20"/>
          <w:szCs w:val="20"/>
        </w:rPr>
        <w:t>ação de adenos</w:t>
      </w:r>
      <w:r w:rsidRPr="008D38E7">
        <w:rPr>
          <w:rFonts w:ascii="Trebuchet MS" w:eastAsiaTheme="minorHAnsi" w:hAnsi="Trebuchet MS" w:cs="ComicSansMS"/>
          <w:sz w:val="20"/>
          <w:szCs w:val="20"/>
        </w:rPr>
        <w:t>i</w:t>
      </w:r>
      <w:r w:rsidRPr="008D38E7">
        <w:rPr>
          <w:rFonts w:ascii="Trebuchet MS" w:eastAsiaTheme="minorHAnsi" w:hAnsi="Trebuchet MS" w:cs="ComicSansMS"/>
          <w:sz w:val="20"/>
          <w:szCs w:val="20"/>
        </w:rPr>
        <w:t xml:space="preserve">na tanto em condições normais </w:t>
      </w:r>
      <w:r>
        <w:rPr>
          <w:rFonts w:ascii="Trebuchet MS" w:eastAsiaTheme="minorHAnsi" w:hAnsi="Trebuchet MS" w:cs="ComicSansMS"/>
          <w:sz w:val="20"/>
          <w:szCs w:val="20"/>
        </w:rPr>
        <w:t xml:space="preserve">como em </w:t>
      </w:r>
      <w:r w:rsidRPr="008D38E7">
        <w:rPr>
          <w:rFonts w:ascii="Trebuchet MS" w:eastAsiaTheme="minorHAnsi" w:hAnsi="Trebuchet MS" w:cs="ComicSansMS"/>
          <w:sz w:val="20"/>
          <w:szCs w:val="20"/>
        </w:rPr>
        <w:t>condições de isquémia, indicando que esta via não apresenta uma contribuição</w:t>
      </w:r>
      <w:r>
        <w:rPr>
          <w:rFonts w:ascii="Trebuchet MS" w:eastAsiaTheme="minorHAnsi" w:hAnsi="Trebuchet MS" w:cs="ComicSansMS"/>
          <w:sz w:val="20"/>
          <w:szCs w:val="20"/>
        </w:rPr>
        <w:t xml:space="preserve"> </w:t>
      </w:r>
      <w:r w:rsidRPr="008D38E7">
        <w:rPr>
          <w:rFonts w:ascii="Trebuchet MS" w:eastAsiaTheme="minorHAnsi" w:hAnsi="Trebuchet MS" w:cs="ComicSansMS"/>
          <w:sz w:val="20"/>
          <w:szCs w:val="20"/>
        </w:rPr>
        <w:t>significativa na produção de adenosina no cérebro</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w:t>
      </w:r>
      <w:r w:rsidR="00296679">
        <w:rPr>
          <w:rFonts w:ascii="Trebuchet MS" w:eastAsiaTheme="minorHAnsi" w:hAnsi="Trebuchet MS"/>
          <w:sz w:val="20"/>
          <w:szCs w:val="16"/>
        </w:rPr>
        <w:t xml:space="preserve">Para revisão ver Dunwiddie and Masino, 2001; </w:t>
      </w:r>
      <w:r w:rsidR="004149DC">
        <w:rPr>
          <w:rFonts w:ascii="Trebuchet MS" w:eastAsiaTheme="minorHAnsi" w:hAnsi="Trebuchet MS" w:cs="ComicSansMS"/>
          <w:sz w:val="20"/>
          <w:szCs w:val="20"/>
        </w:rPr>
        <w:t>Para revisão ver</w:t>
      </w:r>
      <w:r>
        <w:rPr>
          <w:rFonts w:ascii="Trebuchet MS" w:eastAsiaTheme="minorHAnsi" w:hAnsi="Trebuchet MS" w:cs="ComicSansMS"/>
          <w:sz w:val="20"/>
          <w:szCs w:val="20"/>
        </w:rPr>
        <w:t xml:space="preserve"> Latini and Pedata, 2001).</w:t>
      </w:r>
    </w:p>
    <w:p w:rsidR="00DD79FF" w:rsidRDefault="00DD79FF" w:rsidP="00DD79FF">
      <w:pPr>
        <w:autoSpaceDE w:val="0"/>
        <w:autoSpaceDN w:val="0"/>
        <w:adjustRightInd w:val="0"/>
        <w:spacing w:line="360" w:lineRule="auto"/>
        <w:jc w:val="both"/>
        <w:rPr>
          <w:rFonts w:ascii="Trebuchet MS" w:eastAsiaTheme="minorHAnsi" w:hAnsi="Trebuchet MS" w:cs="ComicSansMS"/>
          <w:sz w:val="20"/>
          <w:szCs w:val="20"/>
        </w:rPr>
      </w:pPr>
      <w:r>
        <w:rPr>
          <w:rFonts w:ascii="Trebuchet MS" w:eastAsiaTheme="minorHAnsi" w:hAnsi="Trebuchet MS" w:cs="ComicSansMS"/>
          <w:sz w:val="20"/>
          <w:szCs w:val="20"/>
        </w:rPr>
        <w:tab/>
        <w:t xml:space="preserve">A </w:t>
      </w:r>
      <w:r w:rsidRPr="008A52E2">
        <w:rPr>
          <w:rFonts w:ascii="Trebuchet MS" w:eastAsiaTheme="minorHAnsi" w:hAnsi="Trebuchet MS" w:cs="ComicSansMS"/>
          <w:sz w:val="20"/>
          <w:szCs w:val="20"/>
        </w:rPr>
        <w:t xml:space="preserve">remoção de adenosina extracelular </w:t>
      </w:r>
      <w:r>
        <w:rPr>
          <w:rFonts w:ascii="Trebuchet MS" w:eastAsiaTheme="minorHAnsi" w:hAnsi="Trebuchet MS" w:cs="ComicSansMS"/>
          <w:sz w:val="20"/>
          <w:szCs w:val="20"/>
        </w:rPr>
        <w:t>ocorre</w:t>
      </w:r>
      <w:r w:rsidRPr="008A52E2">
        <w:rPr>
          <w:rFonts w:ascii="Trebuchet MS" w:eastAsiaTheme="minorHAnsi" w:hAnsi="Trebuchet MS" w:cs="ComicSansMS"/>
          <w:sz w:val="20"/>
          <w:szCs w:val="20"/>
        </w:rPr>
        <w:t xml:space="preserve"> em parte pela recaptação</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através do transportador bidire</w:t>
      </w:r>
      <w:r>
        <w:rPr>
          <w:rFonts w:ascii="Trebuchet MS" w:eastAsiaTheme="minorHAnsi" w:hAnsi="Trebuchet MS" w:cs="ComicSansMS"/>
          <w:sz w:val="20"/>
          <w:szCs w:val="20"/>
        </w:rPr>
        <w:t>c</w:t>
      </w:r>
      <w:r w:rsidRPr="008A52E2">
        <w:rPr>
          <w:rFonts w:ascii="Trebuchet MS" w:eastAsiaTheme="minorHAnsi" w:hAnsi="Trebuchet MS" w:cs="ComicSansMS"/>
          <w:sz w:val="20"/>
          <w:szCs w:val="20"/>
        </w:rPr>
        <w:t>cional,</w:t>
      </w:r>
      <w:r>
        <w:rPr>
          <w:rFonts w:ascii="Trebuchet MS" w:eastAsiaTheme="minorHAnsi" w:hAnsi="Trebuchet MS" w:cs="ComicSansMS"/>
          <w:sz w:val="20"/>
          <w:szCs w:val="20"/>
        </w:rPr>
        <w:t xml:space="preserve"> sofrendo</w:t>
      </w:r>
      <w:r w:rsidRPr="008A52E2">
        <w:rPr>
          <w:rFonts w:ascii="Trebuchet MS" w:eastAsiaTheme="minorHAnsi" w:hAnsi="Trebuchet MS" w:cs="ComicSansMS"/>
          <w:sz w:val="20"/>
          <w:szCs w:val="20"/>
        </w:rPr>
        <w:t xml:space="preserve"> fosforilação </w:t>
      </w:r>
      <w:r>
        <w:rPr>
          <w:rFonts w:ascii="Trebuchet MS" w:eastAsiaTheme="minorHAnsi" w:hAnsi="Trebuchet MS" w:cs="ComicSansMS"/>
          <w:sz w:val="20"/>
          <w:szCs w:val="20"/>
        </w:rPr>
        <w:t>a</w:t>
      </w:r>
      <w:r w:rsidRPr="008A52E2">
        <w:rPr>
          <w:rFonts w:ascii="Trebuchet MS" w:eastAsiaTheme="minorHAnsi" w:hAnsi="Trebuchet MS" w:cs="ComicSansMS"/>
          <w:sz w:val="20"/>
          <w:szCs w:val="20"/>
        </w:rPr>
        <w:t xml:space="preserve"> AMP pela</w:t>
      </w:r>
      <w:r>
        <w:rPr>
          <w:rFonts w:ascii="Trebuchet MS" w:eastAsiaTheme="minorHAnsi" w:hAnsi="Trebuchet MS" w:cs="ComicSansMS"/>
          <w:sz w:val="20"/>
          <w:szCs w:val="20"/>
        </w:rPr>
        <w:t xml:space="preserve"> enzima cinase de adenosina (AK)</w:t>
      </w:r>
      <w:r w:rsidRPr="008A52E2">
        <w:rPr>
          <w:rFonts w:ascii="Trebuchet MS" w:eastAsiaTheme="minorHAnsi" w:hAnsi="Trebuchet MS" w:cs="ComicSansMS"/>
          <w:sz w:val="20"/>
          <w:szCs w:val="20"/>
        </w:rPr>
        <w:t xml:space="preserve"> e </w:t>
      </w:r>
      <w:r>
        <w:rPr>
          <w:rFonts w:ascii="Trebuchet MS" w:eastAsiaTheme="minorHAnsi" w:hAnsi="Trebuchet MS" w:cs="ComicSansMS"/>
          <w:sz w:val="20"/>
          <w:szCs w:val="20"/>
        </w:rPr>
        <w:t>outra</w:t>
      </w:r>
      <w:r w:rsidRPr="008A52E2">
        <w:rPr>
          <w:rFonts w:ascii="Trebuchet MS" w:eastAsiaTheme="minorHAnsi" w:hAnsi="Trebuchet MS" w:cs="ComicSansMS"/>
          <w:sz w:val="20"/>
          <w:szCs w:val="20"/>
        </w:rPr>
        <w:t xml:space="preserve"> parte </w:t>
      </w:r>
      <w:r>
        <w:rPr>
          <w:rFonts w:ascii="Trebuchet MS" w:eastAsiaTheme="minorHAnsi" w:hAnsi="Trebuchet MS" w:cs="ComicSansMS"/>
          <w:sz w:val="20"/>
          <w:szCs w:val="20"/>
        </w:rPr>
        <w:t>pela</w:t>
      </w:r>
      <w:r w:rsidRPr="008A52E2">
        <w:rPr>
          <w:rFonts w:ascii="Trebuchet MS" w:eastAsiaTheme="minorHAnsi" w:hAnsi="Trebuchet MS" w:cs="ComicSansMS"/>
          <w:sz w:val="20"/>
          <w:szCs w:val="20"/>
        </w:rPr>
        <w:t xml:space="preserve"> degradação </w:t>
      </w:r>
      <w:r>
        <w:rPr>
          <w:rFonts w:ascii="Trebuchet MS" w:eastAsiaTheme="minorHAnsi" w:hAnsi="Trebuchet MS" w:cs="ComicSansMS"/>
          <w:sz w:val="20"/>
          <w:szCs w:val="20"/>
        </w:rPr>
        <w:t>a</w:t>
      </w:r>
      <w:r w:rsidRPr="008A52E2">
        <w:rPr>
          <w:rFonts w:ascii="Trebuchet MS" w:eastAsiaTheme="minorHAnsi" w:hAnsi="Trebuchet MS" w:cs="ComicSansMS"/>
          <w:sz w:val="20"/>
          <w:szCs w:val="20"/>
        </w:rPr>
        <w:t xml:space="preserve"> inosina pela enzima</w:t>
      </w:r>
      <w:r>
        <w:rPr>
          <w:rFonts w:ascii="Trebuchet MS" w:eastAsiaTheme="minorHAnsi" w:hAnsi="Trebuchet MS" w:cs="ComicSansMS"/>
          <w:sz w:val="20"/>
          <w:szCs w:val="20"/>
        </w:rPr>
        <w:t xml:space="preserve"> desaminase d</w:t>
      </w:r>
      <w:r w:rsidR="00E2142D">
        <w:rPr>
          <w:rFonts w:ascii="Trebuchet MS" w:eastAsiaTheme="minorHAnsi" w:hAnsi="Trebuchet MS" w:cs="ComicSansMS"/>
          <w:sz w:val="20"/>
          <w:szCs w:val="20"/>
        </w:rPr>
        <w:t>a</w:t>
      </w:r>
      <w:r>
        <w:rPr>
          <w:rFonts w:ascii="Trebuchet MS" w:eastAsiaTheme="minorHAnsi" w:hAnsi="Trebuchet MS" w:cs="ComicSansMS"/>
          <w:sz w:val="20"/>
          <w:szCs w:val="20"/>
        </w:rPr>
        <w:t xml:space="preserve"> adenosina (ADA)</w:t>
      </w:r>
      <w:r w:rsidRPr="008A52E2">
        <w:rPr>
          <w:rFonts w:ascii="Trebuchet MS" w:eastAsiaTheme="minorHAnsi" w:hAnsi="Trebuchet MS" w:cs="ComicSansMS"/>
          <w:sz w:val="20"/>
          <w:szCs w:val="20"/>
        </w:rPr>
        <w:t>. Embora</w:t>
      </w:r>
      <w:r>
        <w:rPr>
          <w:rFonts w:ascii="Trebuchet MS" w:eastAsiaTheme="minorHAnsi" w:hAnsi="Trebuchet MS" w:cs="ComicSansMS"/>
          <w:sz w:val="20"/>
          <w:szCs w:val="20"/>
        </w:rPr>
        <w:t>,</w:t>
      </w:r>
      <w:r w:rsidRPr="008A52E2">
        <w:rPr>
          <w:rFonts w:ascii="Trebuchet MS" w:eastAsiaTheme="minorHAnsi" w:hAnsi="Trebuchet MS" w:cs="ComicSansMS"/>
          <w:sz w:val="20"/>
          <w:szCs w:val="20"/>
        </w:rPr>
        <w:t xml:space="preserve"> a de</w:t>
      </w:r>
      <w:r>
        <w:rPr>
          <w:rFonts w:ascii="Trebuchet MS" w:eastAsiaTheme="minorHAnsi" w:hAnsi="Trebuchet MS" w:cs="ComicSansMS"/>
          <w:sz w:val="20"/>
          <w:szCs w:val="20"/>
        </w:rPr>
        <w:t>s</w:t>
      </w:r>
      <w:r w:rsidRPr="008A52E2">
        <w:rPr>
          <w:rFonts w:ascii="Trebuchet MS" w:eastAsiaTheme="minorHAnsi" w:hAnsi="Trebuchet MS" w:cs="ComicSansMS"/>
          <w:sz w:val="20"/>
          <w:szCs w:val="20"/>
        </w:rPr>
        <w:t xml:space="preserve">aminase </w:t>
      </w:r>
      <w:r w:rsidR="00920EF0">
        <w:rPr>
          <w:rFonts w:ascii="Trebuchet MS" w:eastAsiaTheme="minorHAnsi" w:hAnsi="Trebuchet MS" w:cs="ComicSansMS"/>
          <w:sz w:val="20"/>
          <w:szCs w:val="20"/>
        </w:rPr>
        <w:t xml:space="preserve">da </w:t>
      </w:r>
      <w:r w:rsidRPr="008A52E2">
        <w:rPr>
          <w:rFonts w:ascii="Trebuchet MS" w:eastAsiaTheme="minorHAnsi" w:hAnsi="Trebuchet MS" w:cs="ComicSansMS"/>
          <w:sz w:val="20"/>
          <w:szCs w:val="20"/>
        </w:rPr>
        <w:t>adenosina seja principalmente encontrada</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no meio citosólico, foi descrit</w:t>
      </w:r>
      <w:r>
        <w:rPr>
          <w:rFonts w:ascii="Trebuchet MS" w:eastAsiaTheme="minorHAnsi" w:hAnsi="Trebuchet MS" w:cs="ComicSansMS"/>
          <w:sz w:val="20"/>
          <w:szCs w:val="20"/>
        </w:rPr>
        <w:t>o</w:t>
      </w:r>
      <w:r w:rsidRPr="008A52E2">
        <w:rPr>
          <w:rFonts w:ascii="Trebuchet MS" w:eastAsiaTheme="minorHAnsi" w:hAnsi="Trebuchet MS" w:cs="ComicSansMS"/>
          <w:sz w:val="20"/>
          <w:szCs w:val="20"/>
        </w:rPr>
        <w:t>, em vários tecidos, inclusiv</w:t>
      </w:r>
      <w:r>
        <w:rPr>
          <w:rFonts w:ascii="Trebuchet MS" w:eastAsiaTheme="minorHAnsi" w:hAnsi="Trebuchet MS" w:cs="ComicSansMS"/>
          <w:sz w:val="20"/>
          <w:szCs w:val="20"/>
        </w:rPr>
        <w:t>e</w:t>
      </w:r>
      <w:r w:rsidRPr="008A52E2">
        <w:rPr>
          <w:rFonts w:ascii="Trebuchet MS" w:eastAsiaTheme="minorHAnsi" w:hAnsi="Trebuchet MS" w:cs="ComicSansMS"/>
          <w:sz w:val="20"/>
          <w:szCs w:val="20"/>
        </w:rPr>
        <w:t xml:space="preserve"> no cérebro, na forma</w:t>
      </w:r>
      <w:r>
        <w:rPr>
          <w:rFonts w:ascii="Trebuchet MS" w:eastAsiaTheme="minorHAnsi" w:hAnsi="Trebuchet MS" w:cs="ComicSansMS"/>
          <w:sz w:val="20"/>
          <w:szCs w:val="20"/>
        </w:rPr>
        <w:t xml:space="preserve"> de uma ectoenzima. </w:t>
      </w:r>
      <w:r w:rsidRPr="008A52E2">
        <w:rPr>
          <w:rFonts w:ascii="Trebuchet MS" w:eastAsiaTheme="minorHAnsi" w:hAnsi="Trebuchet MS" w:cs="ComicSansMS"/>
          <w:sz w:val="20"/>
          <w:szCs w:val="20"/>
        </w:rPr>
        <w:t>Inibidores da adenosina de</w:t>
      </w:r>
      <w:r>
        <w:rPr>
          <w:rFonts w:ascii="Trebuchet MS" w:eastAsiaTheme="minorHAnsi" w:hAnsi="Trebuchet MS" w:cs="ComicSansMS"/>
          <w:sz w:val="20"/>
          <w:szCs w:val="20"/>
        </w:rPr>
        <w:t>s</w:t>
      </w:r>
      <w:r w:rsidRPr="008A52E2">
        <w:rPr>
          <w:rFonts w:ascii="Trebuchet MS" w:eastAsiaTheme="minorHAnsi" w:hAnsi="Trebuchet MS" w:cs="ComicSansMS"/>
          <w:sz w:val="20"/>
          <w:szCs w:val="20"/>
        </w:rPr>
        <w:t>aminase, como</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 xml:space="preserve">por exemplo, </w:t>
      </w:r>
      <w:proofErr w:type="gramStart"/>
      <w:r>
        <w:rPr>
          <w:rFonts w:ascii="Trebuchet MS" w:eastAsiaTheme="minorHAnsi" w:hAnsi="Trebuchet MS" w:cs="ComicSansMS"/>
          <w:sz w:val="20"/>
          <w:szCs w:val="20"/>
        </w:rPr>
        <w:t>eritro</w:t>
      </w:r>
      <w:r w:rsidRPr="008A52E2">
        <w:rPr>
          <w:rFonts w:ascii="Trebuchet MS" w:eastAsiaTheme="minorHAnsi" w:hAnsi="Trebuchet MS" w:cs="ComicSansMS"/>
          <w:sz w:val="20"/>
          <w:szCs w:val="20"/>
        </w:rPr>
        <w:t>-9-(2-h</w:t>
      </w:r>
      <w:r>
        <w:rPr>
          <w:rFonts w:ascii="Trebuchet MS" w:eastAsiaTheme="minorHAnsi" w:hAnsi="Trebuchet MS" w:cs="ComicSansMS"/>
          <w:sz w:val="20"/>
          <w:szCs w:val="20"/>
        </w:rPr>
        <w:t>idroxi</w:t>
      </w:r>
      <w:r w:rsidRPr="008A52E2">
        <w:rPr>
          <w:rFonts w:ascii="Trebuchet MS" w:eastAsiaTheme="minorHAnsi" w:hAnsi="Trebuchet MS" w:cs="ComicSansMS"/>
          <w:sz w:val="20"/>
          <w:szCs w:val="20"/>
        </w:rPr>
        <w:t>-3-n</w:t>
      </w:r>
      <w:r>
        <w:rPr>
          <w:rFonts w:ascii="Trebuchet MS" w:eastAsiaTheme="minorHAnsi" w:hAnsi="Trebuchet MS" w:cs="ComicSansMS"/>
          <w:sz w:val="20"/>
          <w:szCs w:val="20"/>
        </w:rPr>
        <w:t>onil</w:t>
      </w:r>
      <w:proofErr w:type="gramEnd"/>
      <w:r w:rsidRPr="008A52E2">
        <w:rPr>
          <w:rFonts w:ascii="Trebuchet MS" w:eastAsiaTheme="minorHAnsi" w:hAnsi="Trebuchet MS" w:cs="ComicSansMS"/>
          <w:sz w:val="20"/>
          <w:szCs w:val="20"/>
        </w:rPr>
        <w:t>)</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 xml:space="preserve">adenosina </w:t>
      </w:r>
      <w:r>
        <w:rPr>
          <w:rFonts w:ascii="Trebuchet MS" w:eastAsiaTheme="minorHAnsi" w:hAnsi="Trebuchet MS" w:cs="ComicSansMS"/>
          <w:sz w:val="20"/>
          <w:szCs w:val="20"/>
        </w:rPr>
        <w:t>(EHNA), aumentam</w:t>
      </w:r>
      <w:r w:rsidRPr="008A52E2">
        <w:rPr>
          <w:rFonts w:ascii="Trebuchet MS" w:eastAsiaTheme="minorHAnsi" w:hAnsi="Trebuchet MS" w:cs="ComicSansMS"/>
          <w:sz w:val="20"/>
          <w:szCs w:val="20"/>
        </w:rPr>
        <w:t xml:space="preserve"> a</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concentração extracelular de adenosina em diferentes condições experimentais</w:t>
      </w:r>
      <w:r>
        <w:rPr>
          <w:rFonts w:ascii="Trebuchet MS" w:eastAsiaTheme="minorHAnsi" w:hAnsi="Trebuchet MS" w:cs="ComicSansMS"/>
          <w:sz w:val="20"/>
          <w:szCs w:val="20"/>
        </w:rPr>
        <w:t xml:space="preserve">. </w:t>
      </w:r>
      <w:r w:rsidRPr="001E0FC3">
        <w:rPr>
          <w:rFonts w:ascii="Trebuchet MS" w:eastAsiaTheme="minorHAnsi" w:hAnsi="Trebuchet MS" w:cs="ComicSansMS"/>
          <w:sz w:val="20"/>
          <w:szCs w:val="20"/>
        </w:rPr>
        <w:t>A maior parte da</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degradação de adenosina é, no entanto, intracelular</w:t>
      </w:r>
      <w:r>
        <w:rPr>
          <w:rFonts w:ascii="Trebuchet MS" w:eastAsiaTheme="minorHAnsi" w:hAnsi="Trebuchet MS" w:cs="ComicSansMS"/>
          <w:sz w:val="20"/>
          <w:szCs w:val="20"/>
        </w:rPr>
        <w:t xml:space="preserve">, pelo que </w:t>
      </w:r>
      <w:r w:rsidRPr="008A52E2">
        <w:rPr>
          <w:rFonts w:ascii="Trebuchet MS" w:eastAsiaTheme="minorHAnsi" w:hAnsi="Trebuchet MS" w:cs="ComicSansMS"/>
          <w:sz w:val="20"/>
          <w:szCs w:val="20"/>
        </w:rPr>
        <w:t>inibidores de</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transportadores da adenosina, como o dipiridamol, também aumentam a</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concentr</w:t>
      </w:r>
      <w:r>
        <w:rPr>
          <w:rFonts w:ascii="Trebuchet MS" w:eastAsiaTheme="minorHAnsi" w:hAnsi="Trebuchet MS" w:cs="ComicSansMS"/>
          <w:sz w:val="20"/>
          <w:szCs w:val="20"/>
        </w:rPr>
        <w:t>ação inter</w:t>
      </w:r>
      <w:r>
        <w:rPr>
          <w:rFonts w:ascii="Trebuchet MS" w:eastAsiaTheme="minorHAnsi" w:hAnsi="Trebuchet MS" w:cs="ComicSansMS"/>
          <w:sz w:val="20"/>
          <w:szCs w:val="20"/>
        </w:rPr>
        <w:t>s</w:t>
      </w:r>
      <w:r>
        <w:rPr>
          <w:rFonts w:ascii="Trebuchet MS" w:eastAsiaTheme="minorHAnsi" w:hAnsi="Trebuchet MS" w:cs="ComicSansMS"/>
          <w:sz w:val="20"/>
          <w:szCs w:val="20"/>
        </w:rPr>
        <w:t xml:space="preserve">ticial de adenosina. </w:t>
      </w:r>
      <w:r w:rsidRPr="008A52E2">
        <w:rPr>
          <w:rFonts w:ascii="Trebuchet MS" w:eastAsiaTheme="minorHAnsi" w:hAnsi="Trebuchet MS" w:cs="ComicSansMS"/>
          <w:sz w:val="20"/>
          <w:szCs w:val="20"/>
        </w:rPr>
        <w:t>Os transportadores são classificados em</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 xml:space="preserve">duas categorias: transportadores </w:t>
      </w:r>
      <w:r w:rsidRPr="008A52E2">
        <w:rPr>
          <w:rFonts w:ascii="Trebuchet MS" w:eastAsiaTheme="minorHAnsi" w:hAnsi="Trebuchet MS" w:cs="ComicSansMS"/>
          <w:sz w:val="20"/>
          <w:szCs w:val="20"/>
        </w:rPr>
        <w:lastRenderedPageBreak/>
        <w:t>equilibradore</w:t>
      </w:r>
      <w:r>
        <w:rPr>
          <w:rFonts w:ascii="Trebuchet MS" w:eastAsiaTheme="minorHAnsi" w:hAnsi="Trebuchet MS" w:cs="ComicSansMS"/>
          <w:sz w:val="20"/>
          <w:szCs w:val="20"/>
        </w:rPr>
        <w:t xml:space="preserve">s de nucleósidos, o qual transporta </w:t>
      </w:r>
      <w:r w:rsidRPr="008A52E2">
        <w:rPr>
          <w:rFonts w:ascii="Trebuchet MS" w:eastAsiaTheme="minorHAnsi" w:hAnsi="Trebuchet MS" w:cs="ComicSansMS"/>
          <w:sz w:val="20"/>
          <w:szCs w:val="20"/>
        </w:rPr>
        <w:t>tanto purinas e pirimidinas em ambas as direcções, segu</w:t>
      </w:r>
      <w:r>
        <w:rPr>
          <w:rFonts w:ascii="Trebuchet MS" w:eastAsiaTheme="minorHAnsi" w:hAnsi="Trebuchet MS" w:cs="ComicSansMS"/>
          <w:sz w:val="20"/>
          <w:szCs w:val="20"/>
        </w:rPr>
        <w:t>ndo</w:t>
      </w:r>
      <w:r w:rsidRPr="008A52E2">
        <w:rPr>
          <w:rFonts w:ascii="Trebuchet MS" w:eastAsiaTheme="minorHAnsi" w:hAnsi="Trebuchet MS" w:cs="ComicSansMS"/>
          <w:sz w:val="20"/>
          <w:szCs w:val="20"/>
        </w:rPr>
        <w:t xml:space="preserve"> o gradiente de</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concentração; e transportadores concentradores de nucleosídos, aqueles que</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medeiam o influxo de nucleosídos acoplado</w:t>
      </w:r>
      <w:r>
        <w:rPr>
          <w:rFonts w:ascii="Trebuchet MS" w:eastAsiaTheme="minorHAnsi" w:hAnsi="Trebuchet MS" w:cs="ComicSansMS"/>
          <w:sz w:val="20"/>
          <w:szCs w:val="20"/>
        </w:rPr>
        <w:t>s</w:t>
      </w:r>
      <w:r w:rsidRPr="008A52E2">
        <w:rPr>
          <w:rFonts w:ascii="Trebuchet MS" w:eastAsiaTheme="minorHAnsi" w:hAnsi="Trebuchet MS" w:cs="ComicSansMS"/>
          <w:sz w:val="20"/>
          <w:szCs w:val="20"/>
        </w:rPr>
        <w:t xml:space="preserve"> </w:t>
      </w:r>
      <w:r>
        <w:rPr>
          <w:rFonts w:ascii="Trebuchet MS" w:eastAsiaTheme="minorHAnsi" w:hAnsi="Trebuchet MS" w:cs="ComicSansMS"/>
          <w:sz w:val="20"/>
          <w:szCs w:val="20"/>
        </w:rPr>
        <w:t>ao</w:t>
      </w:r>
      <w:r w:rsidRPr="008A52E2">
        <w:rPr>
          <w:rFonts w:ascii="Trebuchet MS" w:eastAsiaTheme="minorHAnsi" w:hAnsi="Trebuchet MS" w:cs="ComicSansMS"/>
          <w:sz w:val="20"/>
          <w:szCs w:val="20"/>
        </w:rPr>
        <w:t xml:space="preserve"> gradiente de sódio</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transmembrana</w:t>
      </w:r>
      <w:r>
        <w:rPr>
          <w:rFonts w:ascii="Trebuchet MS" w:eastAsiaTheme="minorHAnsi" w:hAnsi="Trebuchet MS" w:cs="ComicSansMS"/>
          <w:sz w:val="20"/>
          <w:szCs w:val="20"/>
        </w:rPr>
        <w:t>r</w:t>
      </w:r>
      <w:r w:rsidRPr="008A52E2">
        <w:rPr>
          <w:rFonts w:ascii="Trebuchet MS" w:eastAsiaTheme="minorHAnsi" w:hAnsi="Trebuchet MS" w:cs="ComicSansMS"/>
          <w:sz w:val="20"/>
          <w:szCs w:val="20"/>
        </w:rPr>
        <w:t>. No SNC</w:t>
      </w:r>
      <w:r>
        <w:rPr>
          <w:rFonts w:ascii="Trebuchet MS" w:eastAsiaTheme="minorHAnsi" w:hAnsi="Trebuchet MS" w:cs="ComicSansMS"/>
          <w:sz w:val="20"/>
          <w:szCs w:val="20"/>
        </w:rPr>
        <w:t>,</w:t>
      </w:r>
      <w:r w:rsidRPr="008A52E2">
        <w:rPr>
          <w:rFonts w:ascii="Trebuchet MS" w:eastAsiaTheme="minorHAnsi" w:hAnsi="Trebuchet MS" w:cs="ComicSansMS"/>
          <w:sz w:val="20"/>
          <w:szCs w:val="20"/>
        </w:rPr>
        <w:t xml:space="preserve"> o transportador equilibra</w:t>
      </w:r>
      <w:r>
        <w:rPr>
          <w:rFonts w:ascii="Trebuchet MS" w:eastAsiaTheme="minorHAnsi" w:hAnsi="Trebuchet MS" w:cs="ComicSansMS"/>
          <w:sz w:val="20"/>
          <w:szCs w:val="20"/>
        </w:rPr>
        <w:t>dor</w:t>
      </w:r>
      <w:r w:rsidRPr="008A52E2">
        <w:rPr>
          <w:rFonts w:ascii="Trebuchet MS" w:eastAsiaTheme="minorHAnsi" w:hAnsi="Trebuchet MS" w:cs="ComicSansMS"/>
          <w:sz w:val="20"/>
          <w:szCs w:val="20"/>
        </w:rPr>
        <w:t xml:space="preserve"> de </w:t>
      </w:r>
      <w:r>
        <w:rPr>
          <w:rFonts w:ascii="Trebuchet MS" w:eastAsiaTheme="minorHAnsi" w:hAnsi="Trebuchet MS" w:cs="ComicSansMS"/>
          <w:sz w:val="20"/>
          <w:szCs w:val="20"/>
        </w:rPr>
        <w:t>nucleósi</w:t>
      </w:r>
      <w:r w:rsidRPr="008A52E2">
        <w:rPr>
          <w:rFonts w:ascii="Trebuchet MS" w:eastAsiaTheme="minorHAnsi" w:hAnsi="Trebuchet MS" w:cs="ComicSansMS"/>
          <w:sz w:val="20"/>
          <w:szCs w:val="20"/>
        </w:rPr>
        <w:t>do</w:t>
      </w:r>
      <w:r>
        <w:rPr>
          <w:rFonts w:ascii="Trebuchet MS" w:eastAsiaTheme="minorHAnsi" w:hAnsi="Trebuchet MS" w:cs="ComicSansMS"/>
          <w:sz w:val="20"/>
          <w:szCs w:val="20"/>
        </w:rPr>
        <w:t>s</w:t>
      </w:r>
      <w:r w:rsidRPr="008A52E2">
        <w:rPr>
          <w:rFonts w:ascii="Trebuchet MS" w:eastAsiaTheme="minorHAnsi" w:hAnsi="Trebuchet MS" w:cs="ComicSansMS"/>
          <w:sz w:val="20"/>
          <w:szCs w:val="20"/>
        </w:rPr>
        <w:t xml:space="preserve"> parece ser</w:t>
      </w:r>
      <w:r>
        <w:rPr>
          <w:rFonts w:ascii="Trebuchet MS" w:eastAsiaTheme="minorHAnsi" w:hAnsi="Trebuchet MS" w:cs="ComicSansMS"/>
          <w:sz w:val="20"/>
          <w:szCs w:val="20"/>
        </w:rPr>
        <w:t xml:space="preserve"> </w:t>
      </w:r>
      <w:r w:rsidRPr="008A52E2">
        <w:rPr>
          <w:rFonts w:ascii="Trebuchet MS" w:eastAsiaTheme="minorHAnsi" w:hAnsi="Trebuchet MS" w:cs="ComicSansMS"/>
          <w:sz w:val="20"/>
          <w:szCs w:val="20"/>
        </w:rPr>
        <w:t xml:space="preserve">dominante. </w:t>
      </w:r>
      <w:r w:rsidR="00222172" w:rsidRPr="008A52E2">
        <w:rPr>
          <w:rFonts w:ascii="Trebuchet MS" w:eastAsiaTheme="minorHAnsi" w:hAnsi="Trebuchet MS" w:cs="ComicSansMS"/>
          <w:sz w:val="20"/>
          <w:szCs w:val="20"/>
        </w:rPr>
        <w:t>Estes tipos de transportadores são classificados</w:t>
      </w:r>
      <w:r w:rsidRPr="008A52E2">
        <w:rPr>
          <w:rFonts w:ascii="Trebuchet MS" w:eastAsiaTheme="minorHAnsi" w:hAnsi="Trebuchet MS" w:cs="ComicSansMS"/>
          <w:sz w:val="20"/>
          <w:szCs w:val="20"/>
        </w:rPr>
        <w:t xml:space="preserve"> quanto</w:t>
      </w:r>
      <w:r>
        <w:rPr>
          <w:rFonts w:ascii="Trebuchet MS" w:eastAsiaTheme="minorHAnsi" w:hAnsi="Trebuchet MS" w:cs="ComicSansMS"/>
          <w:sz w:val="20"/>
          <w:szCs w:val="20"/>
        </w:rPr>
        <w:t xml:space="preserve"> </w:t>
      </w:r>
      <w:r w:rsidR="00222172">
        <w:rPr>
          <w:rFonts w:ascii="Trebuchet MS" w:eastAsiaTheme="minorHAnsi" w:hAnsi="Trebuchet MS" w:cs="ComicSansMS"/>
          <w:sz w:val="20"/>
          <w:szCs w:val="20"/>
        </w:rPr>
        <w:t>à</w:t>
      </w:r>
      <w:r w:rsidRPr="001E0FC3">
        <w:rPr>
          <w:rFonts w:ascii="Trebuchet MS" w:eastAsiaTheme="minorHAnsi" w:hAnsi="Trebuchet MS" w:cs="ComicSansMS"/>
          <w:sz w:val="20"/>
          <w:szCs w:val="20"/>
        </w:rPr>
        <w:t xml:space="preserve"> sua sensibilidade a um inibidor sele</w:t>
      </w:r>
      <w:r>
        <w:rPr>
          <w:rFonts w:ascii="Trebuchet MS" w:eastAsiaTheme="minorHAnsi" w:hAnsi="Trebuchet MS" w:cs="ComicSansMS"/>
          <w:sz w:val="20"/>
          <w:szCs w:val="20"/>
        </w:rPr>
        <w:t>c</w:t>
      </w:r>
      <w:r w:rsidRPr="001E0FC3">
        <w:rPr>
          <w:rFonts w:ascii="Trebuchet MS" w:eastAsiaTheme="minorHAnsi" w:hAnsi="Trebuchet MS" w:cs="ComicSansMS"/>
          <w:sz w:val="20"/>
          <w:szCs w:val="20"/>
        </w:rPr>
        <w:t>ti</w:t>
      </w:r>
      <w:r w:rsidR="00E2142D">
        <w:rPr>
          <w:rFonts w:ascii="Trebuchet MS" w:eastAsiaTheme="minorHAnsi" w:hAnsi="Trebuchet MS" w:cs="ComicSansMS"/>
          <w:sz w:val="20"/>
          <w:szCs w:val="20"/>
        </w:rPr>
        <w:t xml:space="preserve">vo, </w:t>
      </w:r>
      <w:r w:rsidR="00222172">
        <w:rPr>
          <w:rFonts w:ascii="Trebuchet MS" w:eastAsiaTheme="minorHAnsi" w:hAnsi="Trebuchet MS" w:cs="ComicSansMS"/>
          <w:sz w:val="20"/>
          <w:szCs w:val="20"/>
        </w:rPr>
        <w:t>a</w:t>
      </w:r>
      <w:r w:rsidR="00E2142D">
        <w:rPr>
          <w:rFonts w:ascii="Trebuchet MS" w:eastAsiaTheme="minorHAnsi" w:hAnsi="Trebuchet MS" w:cs="ComicSansMS"/>
          <w:sz w:val="20"/>
          <w:szCs w:val="20"/>
        </w:rPr>
        <w:t xml:space="preserve"> nitrobenzilt</w:t>
      </w:r>
      <w:r w:rsidRPr="001E0FC3">
        <w:rPr>
          <w:rFonts w:ascii="Trebuchet MS" w:eastAsiaTheme="minorHAnsi" w:hAnsi="Trebuchet MS" w:cs="ComicSansMS"/>
          <w:sz w:val="20"/>
          <w:szCs w:val="20"/>
        </w:rPr>
        <w:t>ioinosin</w:t>
      </w:r>
      <w:r w:rsidR="00E2142D">
        <w:rPr>
          <w:rFonts w:ascii="Trebuchet MS" w:eastAsiaTheme="minorHAnsi" w:hAnsi="Trebuchet MS" w:cs="ComicSansMS"/>
          <w:sz w:val="20"/>
          <w:szCs w:val="20"/>
        </w:rPr>
        <w:t>a</w:t>
      </w:r>
      <w:r w:rsidRPr="001E0FC3">
        <w:rPr>
          <w:rFonts w:ascii="Trebuchet MS" w:eastAsiaTheme="minorHAnsi" w:hAnsi="Trebuchet MS" w:cs="ComicSansMS"/>
          <w:sz w:val="20"/>
          <w:szCs w:val="20"/>
        </w:rPr>
        <w:t xml:space="preserve"> (NBMPR). O</w:t>
      </w:r>
      <w:r>
        <w:rPr>
          <w:rFonts w:ascii="Trebuchet MS" w:eastAsiaTheme="minorHAnsi" w:hAnsi="Trebuchet MS" w:cs="ComicSansMS"/>
          <w:sz w:val="20"/>
          <w:szCs w:val="20"/>
        </w:rPr>
        <w:t xml:space="preserve"> </w:t>
      </w:r>
      <w:r w:rsidRPr="001E0FC3">
        <w:rPr>
          <w:rFonts w:ascii="Trebuchet MS" w:eastAsiaTheme="minorHAnsi" w:hAnsi="Trebuchet MS" w:cs="ComicSansMS"/>
          <w:sz w:val="20"/>
          <w:szCs w:val="20"/>
        </w:rPr>
        <w:t>transportador equilibra</w:t>
      </w:r>
      <w:r>
        <w:rPr>
          <w:rFonts w:ascii="Trebuchet MS" w:eastAsiaTheme="minorHAnsi" w:hAnsi="Trebuchet MS" w:cs="ComicSansMS"/>
          <w:sz w:val="20"/>
          <w:szCs w:val="20"/>
        </w:rPr>
        <w:t>dor</w:t>
      </w:r>
      <w:r w:rsidRPr="001E0FC3">
        <w:rPr>
          <w:rFonts w:ascii="Trebuchet MS" w:eastAsiaTheme="minorHAnsi" w:hAnsi="Trebuchet MS" w:cs="ComicSansMS"/>
          <w:sz w:val="20"/>
          <w:szCs w:val="20"/>
        </w:rPr>
        <w:t>-sensível (</w:t>
      </w:r>
      <w:r w:rsidRPr="00A63C14">
        <w:rPr>
          <w:rFonts w:ascii="Trebuchet MS" w:eastAsiaTheme="minorHAnsi" w:hAnsi="Trebuchet MS" w:cs="ComicSansMS"/>
          <w:i/>
          <w:sz w:val="20"/>
          <w:szCs w:val="20"/>
        </w:rPr>
        <w:t>es</w:t>
      </w:r>
      <w:r w:rsidRPr="00A63C14">
        <w:rPr>
          <w:rFonts w:ascii="Trebuchet MS" w:eastAsiaTheme="minorHAnsi" w:hAnsi="Trebuchet MS" w:cs="ComicSansMS"/>
          <w:sz w:val="20"/>
          <w:szCs w:val="20"/>
        </w:rPr>
        <w:t>)</w:t>
      </w:r>
      <w:r w:rsidRPr="001E0FC3">
        <w:rPr>
          <w:rFonts w:ascii="Trebuchet MS" w:eastAsiaTheme="minorHAnsi" w:hAnsi="Trebuchet MS" w:cs="ComicSansMS"/>
          <w:sz w:val="20"/>
          <w:szCs w:val="20"/>
        </w:rPr>
        <w:t xml:space="preserve"> é inibido por baixas concentrações </w:t>
      </w:r>
      <w:r>
        <w:rPr>
          <w:rFonts w:ascii="Trebuchet MS" w:eastAsiaTheme="minorHAnsi" w:hAnsi="Trebuchet MS" w:cs="ComicSansMS"/>
          <w:sz w:val="20"/>
          <w:szCs w:val="20"/>
        </w:rPr>
        <w:t xml:space="preserve">(nM), ao passo que </w:t>
      </w:r>
      <w:r w:rsidRPr="001E0FC3">
        <w:rPr>
          <w:rFonts w:ascii="Trebuchet MS" w:eastAsiaTheme="minorHAnsi" w:hAnsi="Trebuchet MS" w:cs="ComicSansMS"/>
          <w:sz w:val="20"/>
          <w:szCs w:val="20"/>
        </w:rPr>
        <w:t>o transportador equilibra</w:t>
      </w:r>
      <w:r>
        <w:rPr>
          <w:rFonts w:ascii="Trebuchet MS" w:eastAsiaTheme="minorHAnsi" w:hAnsi="Trebuchet MS" w:cs="ComicSansMS"/>
          <w:sz w:val="20"/>
          <w:szCs w:val="20"/>
        </w:rPr>
        <w:t>dor</w:t>
      </w:r>
      <w:r w:rsidRPr="001E0FC3">
        <w:rPr>
          <w:rFonts w:ascii="Trebuchet MS" w:eastAsiaTheme="minorHAnsi" w:hAnsi="Trebuchet MS" w:cs="ComicSansMS"/>
          <w:sz w:val="20"/>
          <w:szCs w:val="20"/>
        </w:rPr>
        <w:t>-insensível (</w:t>
      </w:r>
      <w:r w:rsidRPr="00A63C14">
        <w:rPr>
          <w:rFonts w:ascii="Trebuchet MS" w:eastAsiaTheme="minorHAnsi" w:hAnsi="Trebuchet MS" w:cs="ComicSansMS"/>
          <w:i/>
          <w:sz w:val="20"/>
          <w:szCs w:val="20"/>
        </w:rPr>
        <w:t>ei</w:t>
      </w:r>
      <w:r w:rsidRPr="001E0FC3">
        <w:rPr>
          <w:rFonts w:ascii="Trebuchet MS" w:eastAsiaTheme="minorHAnsi" w:hAnsi="Trebuchet MS" w:cs="ComicSansMS"/>
          <w:sz w:val="20"/>
          <w:szCs w:val="20"/>
        </w:rPr>
        <w:t>) é inibido por altas concentrações (μM).</w:t>
      </w:r>
      <w:r>
        <w:rPr>
          <w:rFonts w:ascii="Trebuchet MS" w:eastAsiaTheme="minorHAnsi" w:hAnsi="Trebuchet MS" w:cs="ComicSansMS"/>
          <w:sz w:val="20"/>
          <w:szCs w:val="20"/>
        </w:rPr>
        <w:t xml:space="preserve"> </w:t>
      </w:r>
      <w:r w:rsidRPr="001E0FC3">
        <w:rPr>
          <w:rFonts w:ascii="Trebuchet MS" w:eastAsiaTheme="minorHAnsi" w:hAnsi="Trebuchet MS" w:cs="ComicSansMS"/>
          <w:sz w:val="20"/>
          <w:szCs w:val="20"/>
        </w:rPr>
        <w:t>O dipiridamol inibe de forma mais potente os transpo</w:t>
      </w:r>
      <w:r w:rsidRPr="001E0FC3">
        <w:rPr>
          <w:rFonts w:ascii="Trebuchet MS" w:eastAsiaTheme="minorHAnsi" w:hAnsi="Trebuchet MS" w:cs="ComicSansMS"/>
          <w:sz w:val="20"/>
          <w:szCs w:val="20"/>
        </w:rPr>
        <w:t>r</w:t>
      </w:r>
      <w:r w:rsidRPr="001E0FC3">
        <w:rPr>
          <w:rFonts w:ascii="Trebuchet MS" w:eastAsiaTheme="minorHAnsi" w:hAnsi="Trebuchet MS" w:cs="ComicSansMS"/>
          <w:sz w:val="20"/>
          <w:szCs w:val="20"/>
        </w:rPr>
        <w:t xml:space="preserve">tadores </w:t>
      </w:r>
      <w:r w:rsidRPr="00A63C14">
        <w:rPr>
          <w:rFonts w:ascii="Trebuchet MS" w:eastAsiaTheme="minorHAnsi" w:hAnsi="Trebuchet MS" w:cs="ComicSansMS"/>
          <w:i/>
          <w:sz w:val="20"/>
          <w:szCs w:val="20"/>
        </w:rPr>
        <w:t>es</w:t>
      </w:r>
      <w:r w:rsidRPr="001E0FC3">
        <w:rPr>
          <w:rFonts w:ascii="Trebuchet MS" w:eastAsiaTheme="minorHAnsi" w:hAnsi="Trebuchet MS" w:cs="ComicSansMS"/>
          <w:sz w:val="20"/>
          <w:szCs w:val="20"/>
        </w:rPr>
        <w:t xml:space="preserve"> que os</w:t>
      </w:r>
      <w:r>
        <w:rPr>
          <w:rFonts w:ascii="Trebuchet MS" w:eastAsiaTheme="minorHAnsi" w:hAnsi="Trebuchet MS" w:cs="ComicSansMS"/>
          <w:sz w:val="20"/>
          <w:szCs w:val="20"/>
        </w:rPr>
        <w:t xml:space="preserve"> </w:t>
      </w:r>
      <w:r w:rsidRPr="001E0FC3">
        <w:rPr>
          <w:rFonts w:ascii="Trebuchet MS" w:eastAsiaTheme="minorHAnsi" w:hAnsi="Trebuchet MS" w:cs="ComicSansMS"/>
          <w:sz w:val="20"/>
          <w:szCs w:val="20"/>
        </w:rPr>
        <w:t xml:space="preserve">transportadores </w:t>
      </w:r>
      <w:r w:rsidRPr="00A63C14">
        <w:rPr>
          <w:rFonts w:ascii="Trebuchet MS" w:eastAsiaTheme="minorHAnsi" w:hAnsi="Trebuchet MS" w:cs="ComicSansMS"/>
          <w:i/>
          <w:sz w:val="20"/>
          <w:szCs w:val="20"/>
        </w:rPr>
        <w:t>ei</w:t>
      </w:r>
      <w:r w:rsidRPr="001E0FC3">
        <w:rPr>
          <w:rFonts w:ascii="Trebuchet MS" w:eastAsiaTheme="minorHAnsi" w:hAnsi="Trebuchet MS" w:cs="ComicSansMS"/>
          <w:sz w:val="20"/>
          <w:szCs w:val="20"/>
        </w:rPr>
        <w:t>. Contudo, em tecido de ratos, ambos os transportadores de</w:t>
      </w:r>
      <w:r>
        <w:rPr>
          <w:rFonts w:ascii="Trebuchet MS" w:eastAsiaTheme="minorHAnsi" w:hAnsi="Trebuchet MS" w:cs="ComicSansMS"/>
          <w:sz w:val="20"/>
          <w:szCs w:val="20"/>
        </w:rPr>
        <w:t xml:space="preserve"> nucleó</w:t>
      </w:r>
      <w:r w:rsidRPr="001E0FC3">
        <w:rPr>
          <w:rFonts w:ascii="Trebuchet MS" w:eastAsiaTheme="minorHAnsi" w:hAnsi="Trebuchet MS" w:cs="ComicSansMS"/>
          <w:sz w:val="20"/>
          <w:szCs w:val="20"/>
        </w:rPr>
        <w:t>s</w:t>
      </w:r>
      <w:r>
        <w:rPr>
          <w:rFonts w:ascii="Trebuchet MS" w:eastAsiaTheme="minorHAnsi" w:hAnsi="Trebuchet MS" w:cs="ComicSansMS"/>
          <w:sz w:val="20"/>
          <w:szCs w:val="20"/>
        </w:rPr>
        <w:t>i</w:t>
      </w:r>
      <w:r w:rsidRPr="001E0FC3">
        <w:rPr>
          <w:rFonts w:ascii="Trebuchet MS" w:eastAsiaTheme="minorHAnsi" w:hAnsi="Trebuchet MS" w:cs="ComicSansMS"/>
          <w:sz w:val="20"/>
          <w:szCs w:val="20"/>
        </w:rPr>
        <w:t xml:space="preserve">dos </w:t>
      </w:r>
      <w:r>
        <w:rPr>
          <w:rFonts w:ascii="Trebuchet MS" w:eastAsiaTheme="minorHAnsi" w:hAnsi="Trebuchet MS" w:cs="ComicSansMS"/>
          <w:sz w:val="20"/>
          <w:szCs w:val="20"/>
        </w:rPr>
        <w:t>exibem</w:t>
      </w:r>
      <w:r w:rsidRPr="001E0FC3">
        <w:rPr>
          <w:rFonts w:ascii="Trebuchet MS" w:eastAsiaTheme="minorHAnsi" w:hAnsi="Trebuchet MS" w:cs="ComicSansMS"/>
          <w:sz w:val="20"/>
          <w:szCs w:val="20"/>
        </w:rPr>
        <w:t xml:space="preserve"> igual sensibilidade à inibição causada pelo dipiridamol</w:t>
      </w:r>
      <w:r>
        <w:rPr>
          <w:rFonts w:ascii="Trebuchet MS" w:eastAsiaTheme="minorHAnsi" w:hAnsi="Trebuchet MS" w:cs="ComicSansMS"/>
          <w:sz w:val="20"/>
          <w:szCs w:val="20"/>
        </w:rPr>
        <w:t xml:space="preserve"> </w:t>
      </w:r>
      <w:r w:rsidRPr="006A300A">
        <w:rPr>
          <w:rFonts w:ascii="Trebuchet MS" w:eastAsiaTheme="minorHAnsi" w:hAnsi="Trebuchet MS" w:cs="ComicSansMS"/>
          <w:sz w:val="20"/>
          <w:szCs w:val="20"/>
        </w:rPr>
        <w:t>(</w:t>
      </w:r>
      <w:r w:rsidR="00296679">
        <w:rPr>
          <w:rFonts w:ascii="Trebuchet MS" w:eastAsiaTheme="minorHAnsi" w:hAnsi="Trebuchet MS"/>
          <w:sz w:val="20"/>
          <w:szCs w:val="16"/>
        </w:rPr>
        <w:t xml:space="preserve">Para revisão ver Dunwiddie and Masino, 2001; </w:t>
      </w:r>
      <w:r w:rsidR="004149DC">
        <w:rPr>
          <w:rFonts w:ascii="Trebuchet MS" w:eastAsiaTheme="minorHAnsi" w:hAnsi="Trebuchet MS" w:cs="ComicSansMS"/>
          <w:sz w:val="20"/>
          <w:szCs w:val="20"/>
        </w:rPr>
        <w:t>Para revisão ver</w:t>
      </w:r>
      <w:r>
        <w:rPr>
          <w:rFonts w:ascii="Trebuchet MS" w:eastAsiaTheme="minorHAnsi" w:hAnsi="Trebuchet MS" w:cs="ComicSansMS"/>
          <w:sz w:val="20"/>
          <w:szCs w:val="20"/>
        </w:rPr>
        <w:t xml:space="preserve"> Latini and Pedata, 2001).</w:t>
      </w:r>
    </w:p>
    <w:p w:rsidR="00DD79FF" w:rsidRDefault="00DD79FF" w:rsidP="00DD79FF">
      <w:pPr>
        <w:autoSpaceDE w:val="0"/>
        <w:autoSpaceDN w:val="0"/>
        <w:adjustRightInd w:val="0"/>
        <w:spacing w:line="360" w:lineRule="auto"/>
        <w:jc w:val="both"/>
        <w:rPr>
          <w:rFonts w:ascii="Trebuchet MS" w:eastAsiaTheme="minorHAnsi" w:hAnsi="Trebuchet MS" w:cs="ComicSansMS"/>
          <w:sz w:val="20"/>
          <w:szCs w:val="20"/>
        </w:rPr>
      </w:pPr>
    </w:p>
    <w:p w:rsidR="00DD79FF" w:rsidRPr="006A300A" w:rsidRDefault="00DD79FF" w:rsidP="00DD79FF">
      <w:pPr>
        <w:autoSpaceDE w:val="0"/>
        <w:autoSpaceDN w:val="0"/>
        <w:adjustRightInd w:val="0"/>
        <w:spacing w:line="360" w:lineRule="auto"/>
        <w:ind w:right="991" w:firstLine="851"/>
        <w:jc w:val="center"/>
        <w:rPr>
          <w:rFonts w:ascii="Trebuchet MS" w:hAnsi="Trebuchet MS"/>
          <w:noProof/>
          <w:sz w:val="18"/>
          <w:szCs w:val="20"/>
          <w:lang w:eastAsia="pt-PT"/>
        </w:rPr>
      </w:pPr>
      <w:r w:rsidRPr="007E29F2">
        <w:rPr>
          <w:rFonts w:ascii="Trebuchet MS" w:hAnsi="Trebuchet MS"/>
          <w:noProof/>
          <w:sz w:val="18"/>
          <w:szCs w:val="20"/>
          <w:lang w:eastAsia="pt-PT"/>
        </w:rPr>
        <w:drawing>
          <wp:inline distT="0" distB="0" distL="0" distR="0">
            <wp:extent cx="3597722" cy="4476997"/>
            <wp:effectExtent l="19050" t="0" r="2728"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3607966" cy="4489745"/>
                    </a:xfrm>
                    <a:prstGeom prst="rect">
                      <a:avLst/>
                    </a:prstGeom>
                    <a:noFill/>
                    <a:ln w="9525">
                      <a:noFill/>
                      <a:miter lim="800000"/>
                      <a:headEnd/>
                      <a:tailEnd/>
                    </a:ln>
                  </pic:spPr>
                </pic:pic>
              </a:graphicData>
            </a:graphic>
          </wp:inline>
        </w:drawing>
      </w:r>
    </w:p>
    <w:p w:rsidR="00DD79FF" w:rsidRDefault="00DD79FF" w:rsidP="00DD79FF">
      <w:pPr>
        <w:autoSpaceDE w:val="0"/>
        <w:autoSpaceDN w:val="0"/>
        <w:adjustRightInd w:val="0"/>
        <w:spacing w:line="360" w:lineRule="auto"/>
        <w:ind w:left="851" w:right="991"/>
        <w:jc w:val="both"/>
        <w:rPr>
          <w:rFonts w:ascii="Trebuchet MS" w:hAnsi="Trebuchet MS"/>
          <w:noProof/>
          <w:sz w:val="18"/>
          <w:szCs w:val="20"/>
          <w:lang w:eastAsia="pt-PT"/>
        </w:rPr>
      </w:pPr>
      <w:r>
        <w:rPr>
          <w:rFonts w:ascii="Trebuchet MS" w:hAnsi="Trebuchet MS"/>
          <w:noProof/>
          <w:sz w:val="18"/>
          <w:szCs w:val="20"/>
          <w:lang w:eastAsia="pt-PT"/>
        </w:rPr>
        <w:t xml:space="preserve">Fig. </w:t>
      </w:r>
      <w:r w:rsidR="002441ED">
        <w:rPr>
          <w:rFonts w:ascii="Trebuchet MS" w:hAnsi="Trebuchet MS"/>
          <w:noProof/>
          <w:sz w:val="18"/>
          <w:szCs w:val="20"/>
          <w:lang w:eastAsia="pt-PT"/>
        </w:rPr>
        <w:t>1</w:t>
      </w:r>
      <w:r w:rsidR="004149DC">
        <w:rPr>
          <w:rFonts w:ascii="Trebuchet MS" w:hAnsi="Trebuchet MS"/>
          <w:noProof/>
          <w:sz w:val="18"/>
          <w:szCs w:val="20"/>
          <w:lang w:eastAsia="pt-PT"/>
        </w:rPr>
        <w:t>.3</w:t>
      </w:r>
      <w:r>
        <w:rPr>
          <w:rFonts w:ascii="Trebuchet MS" w:hAnsi="Trebuchet MS"/>
          <w:noProof/>
          <w:sz w:val="18"/>
          <w:szCs w:val="20"/>
          <w:lang w:eastAsia="pt-PT"/>
        </w:rPr>
        <w:t xml:space="preserve">. </w:t>
      </w:r>
      <w:r w:rsidR="00222172">
        <w:rPr>
          <w:rFonts w:ascii="Trebuchet MS" w:hAnsi="Trebuchet MS"/>
          <w:noProof/>
          <w:sz w:val="18"/>
          <w:szCs w:val="20"/>
          <w:lang w:eastAsia="pt-PT"/>
        </w:rPr>
        <w:t>M</w:t>
      </w:r>
      <w:r>
        <w:rPr>
          <w:rFonts w:ascii="Trebuchet MS" w:hAnsi="Trebuchet MS"/>
          <w:noProof/>
          <w:sz w:val="18"/>
          <w:szCs w:val="20"/>
          <w:lang w:eastAsia="pt-PT"/>
        </w:rPr>
        <w:t>etabolismo e transporte</w:t>
      </w:r>
      <w:r w:rsidRPr="006A300A">
        <w:rPr>
          <w:rFonts w:ascii="Trebuchet MS" w:hAnsi="Trebuchet MS"/>
          <w:noProof/>
          <w:sz w:val="18"/>
          <w:szCs w:val="20"/>
          <w:lang w:eastAsia="pt-PT"/>
        </w:rPr>
        <w:t xml:space="preserve"> d</w:t>
      </w:r>
      <w:r w:rsidR="00222172">
        <w:rPr>
          <w:rFonts w:ascii="Trebuchet MS" w:hAnsi="Trebuchet MS"/>
          <w:noProof/>
          <w:sz w:val="18"/>
          <w:szCs w:val="20"/>
          <w:lang w:eastAsia="pt-PT"/>
        </w:rPr>
        <w:t>a</w:t>
      </w:r>
      <w:r w:rsidRPr="006A300A">
        <w:rPr>
          <w:rFonts w:ascii="Trebuchet MS" w:hAnsi="Trebuchet MS"/>
          <w:noProof/>
          <w:sz w:val="18"/>
          <w:szCs w:val="20"/>
          <w:lang w:eastAsia="pt-PT"/>
        </w:rPr>
        <w:t xml:space="preserve"> adenosina</w:t>
      </w:r>
      <w:r>
        <w:rPr>
          <w:rFonts w:ascii="Trebuchet MS" w:hAnsi="Trebuchet MS"/>
          <w:noProof/>
          <w:sz w:val="18"/>
          <w:szCs w:val="20"/>
          <w:lang w:eastAsia="pt-PT"/>
        </w:rPr>
        <w:t>, com indicação dos locais de acção de vári</w:t>
      </w:r>
      <w:r w:rsidR="00222172">
        <w:rPr>
          <w:rFonts w:ascii="Trebuchet MS" w:hAnsi="Trebuchet MS"/>
          <w:noProof/>
          <w:sz w:val="18"/>
          <w:szCs w:val="20"/>
          <w:lang w:eastAsia="pt-PT"/>
        </w:rPr>
        <w:t xml:space="preserve">os inibidores de </w:t>
      </w:r>
      <w:r>
        <w:rPr>
          <w:rFonts w:ascii="Trebuchet MS" w:hAnsi="Trebuchet MS"/>
          <w:noProof/>
          <w:sz w:val="18"/>
          <w:szCs w:val="20"/>
          <w:lang w:eastAsia="pt-PT"/>
        </w:rPr>
        <w:t xml:space="preserve">enzimas. ADA – Desaminase de adenosina; AK – Cinase de adenosina; AOPCP - </w:t>
      </w:r>
      <w:r>
        <w:rPr>
          <w:rFonts w:ascii="Trebuchet MS" w:hAnsi="Trebuchet MS"/>
          <w:noProof/>
          <w:sz w:val="18"/>
          <w:szCs w:val="20"/>
          <w:lang w:eastAsia="pt-PT"/>
        </w:rPr>
        <w:sym w:font="Symbol" w:char="F061"/>
      </w:r>
      <w:r>
        <w:rPr>
          <w:rFonts w:ascii="Trebuchet MS" w:hAnsi="Trebuchet MS"/>
          <w:noProof/>
          <w:sz w:val="18"/>
          <w:szCs w:val="20"/>
          <w:lang w:eastAsia="pt-PT"/>
        </w:rPr>
        <w:t>,</w:t>
      </w:r>
      <w:r>
        <w:rPr>
          <w:rFonts w:ascii="Trebuchet MS" w:hAnsi="Trebuchet MS"/>
          <w:noProof/>
          <w:sz w:val="18"/>
          <w:szCs w:val="20"/>
          <w:lang w:eastAsia="pt-PT"/>
        </w:rPr>
        <w:sym w:font="Symbol" w:char="F062"/>
      </w:r>
      <w:r>
        <w:rPr>
          <w:rFonts w:ascii="Trebuchet MS" w:hAnsi="Trebuchet MS"/>
          <w:noProof/>
          <w:sz w:val="18"/>
          <w:szCs w:val="20"/>
          <w:lang w:eastAsia="pt-PT"/>
        </w:rPr>
        <w:t xml:space="preserve"> - metileno ADP; DCF – deoxicoformicina; EHNA - </w:t>
      </w:r>
      <w:r w:rsidRPr="009817AF">
        <w:rPr>
          <w:rFonts w:ascii="Trebuchet MS" w:hAnsi="Trebuchet MS"/>
          <w:noProof/>
          <w:sz w:val="18"/>
          <w:szCs w:val="20"/>
          <w:lang w:eastAsia="pt-PT"/>
        </w:rPr>
        <w:t>eritro-9-(2-hidroxi-3-nonil) adenosina</w:t>
      </w:r>
      <w:r>
        <w:rPr>
          <w:rFonts w:ascii="Trebuchet MS" w:hAnsi="Trebuchet MS"/>
          <w:noProof/>
          <w:sz w:val="18"/>
          <w:szCs w:val="20"/>
          <w:lang w:eastAsia="pt-PT"/>
        </w:rPr>
        <w:t xml:space="preserve">; </w:t>
      </w:r>
      <w:r w:rsidRPr="009817AF">
        <w:rPr>
          <w:rFonts w:ascii="Trebuchet MS" w:hAnsi="Trebuchet MS"/>
          <w:i/>
          <w:noProof/>
          <w:sz w:val="18"/>
          <w:szCs w:val="20"/>
          <w:lang w:eastAsia="pt-PT"/>
        </w:rPr>
        <w:t>es</w:t>
      </w:r>
      <w:r>
        <w:rPr>
          <w:rFonts w:ascii="Trebuchet MS" w:hAnsi="Trebuchet MS"/>
          <w:noProof/>
          <w:sz w:val="18"/>
          <w:szCs w:val="20"/>
          <w:lang w:eastAsia="pt-PT"/>
        </w:rPr>
        <w:t xml:space="preserve"> -  transportador de nucleósidos equilibrador-sen</w:t>
      </w:r>
      <w:r w:rsidR="00650EB1">
        <w:rPr>
          <w:rFonts w:ascii="Trebuchet MS" w:hAnsi="Trebuchet MS"/>
          <w:noProof/>
          <w:sz w:val="18"/>
          <w:szCs w:val="20"/>
          <w:lang w:eastAsia="pt-PT"/>
        </w:rPr>
        <w:t>sível</w:t>
      </w:r>
      <w:r>
        <w:rPr>
          <w:rFonts w:ascii="Trebuchet MS" w:hAnsi="Trebuchet MS"/>
          <w:noProof/>
          <w:sz w:val="18"/>
          <w:szCs w:val="20"/>
          <w:lang w:eastAsia="pt-PT"/>
        </w:rPr>
        <w:t xml:space="preserve">; </w:t>
      </w:r>
      <w:r w:rsidRPr="009817AF">
        <w:rPr>
          <w:rFonts w:ascii="Trebuchet MS" w:hAnsi="Trebuchet MS"/>
          <w:i/>
          <w:noProof/>
          <w:sz w:val="18"/>
          <w:szCs w:val="20"/>
          <w:lang w:eastAsia="pt-PT"/>
        </w:rPr>
        <w:t>ei</w:t>
      </w:r>
      <w:r>
        <w:rPr>
          <w:rFonts w:ascii="Trebuchet MS" w:hAnsi="Trebuchet MS"/>
          <w:i/>
          <w:noProof/>
          <w:sz w:val="18"/>
          <w:szCs w:val="20"/>
          <w:lang w:eastAsia="pt-PT"/>
        </w:rPr>
        <w:t xml:space="preserve"> – </w:t>
      </w:r>
      <w:r w:rsidRPr="009817AF">
        <w:rPr>
          <w:rFonts w:ascii="Trebuchet MS" w:hAnsi="Trebuchet MS"/>
          <w:noProof/>
          <w:sz w:val="18"/>
          <w:szCs w:val="20"/>
          <w:lang w:eastAsia="pt-PT"/>
        </w:rPr>
        <w:t>transportador</w:t>
      </w:r>
      <w:r>
        <w:rPr>
          <w:rFonts w:ascii="Trebuchet MS" w:hAnsi="Trebuchet MS"/>
          <w:noProof/>
          <w:sz w:val="18"/>
          <w:szCs w:val="20"/>
          <w:lang w:eastAsia="pt-PT"/>
        </w:rPr>
        <w:t xml:space="preserve"> de nucleósidos equilibrador-insensivel; 5-IT – Iodotubercidina; NBMPR – Nitrobenzil</w:t>
      </w:r>
      <w:r w:rsidR="00650EB1">
        <w:rPr>
          <w:rFonts w:ascii="Trebuchet MS" w:hAnsi="Trebuchet MS"/>
          <w:noProof/>
          <w:sz w:val="18"/>
          <w:szCs w:val="20"/>
          <w:lang w:eastAsia="pt-PT"/>
        </w:rPr>
        <w:t>tio</w:t>
      </w:r>
      <w:r>
        <w:rPr>
          <w:rFonts w:ascii="Trebuchet MS" w:hAnsi="Trebuchet MS"/>
          <w:noProof/>
          <w:sz w:val="18"/>
          <w:szCs w:val="20"/>
          <w:lang w:eastAsia="pt-PT"/>
        </w:rPr>
        <w:t xml:space="preserve">inosina; PDE – Fosfodiesterase de AMPc; SAH – S-Adenosilhomocisteína </w:t>
      </w:r>
      <w:r w:rsidRPr="006A300A">
        <w:rPr>
          <w:rFonts w:ascii="Trebuchet MS" w:hAnsi="Trebuchet MS"/>
          <w:noProof/>
          <w:sz w:val="18"/>
          <w:szCs w:val="20"/>
          <w:lang w:eastAsia="pt-PT"/>
        </w:rPr>
        <w:t>(Adaptado de Latini and Pedata, 2001).</w:t>
      </w:r>
    </w:p>
    <w:p w:rsidR="002A3375" w:rsidRDefault="002A3375" w:rsidP="00E8097D">
      <w:pPr>
        <w:spacing w:after="240"/>
        <w:ind w:firstLine="567"/>
        <w:rPr>
          <w:rFonts w:ascii="Trebuchet MS" w:hAnsi="Trebuchet MS"/>
          <w:b/>
          <w:smallCaps/>
          <w:shadow/>
          <w:color w:val="333399"/>
        </w:rPr>
      </w:pPr>
    </w:p>
    <w:p w:rsidR="007027E6" w:rsidRPr="002A3375" w:rsidRDefault="00E8097D" w:rsidP="00E8097D">
      <w:pPr>
        <w:spacing w:after="240"/>
        <w:ind w:firstLine="567"/>
        <w:rPr>
          <w:rFonts w:ascii="Trebuchet MS" w:hAnsi="Trebuchet MS"/>
          <w:b/>
          <w:smallCaps/>
          <w:shadow/>
          <w:color w:val="333399"/>
        </w:rPr>
      </w:pPr>
      <w:r>
        <w:rPr>
          <w:rFonts w:ascii="Trebuchet MS" w:hAnsi="Trebuchet MS"/>
          <w:b/>
          <w:smallCaps/>
          <w:shadow/>
          <w:color w:val="333399"/>
        </w:rPr>
        <w:lastRenderedPageBreak/>
        <w:t>1</w:t>
      </w:r>
      <w:r w:rsidR="007027E6" w:rsidRPr="002861BA">
        <w:rPr>
          <w:rFonts w:ascii="Trebuchet MS" w:hAnsi="Trebuchet MS"/>
          <w:b/>
          <w:smallCaps/>
          <w:shadow/>
          <w:color w:val="333399"/>
        </w:rPr>
        <w:t>.2.2.1.</w:t>
      </w:r>
      <w:r w:rsidR="00BC349D">
        <w:rPr>
          <w:rFonts w:ascii="Trebuchet MS" w:hAnsi="Trebuchet MS"/>
          <w:b/>
          <w:smallCaps/>
          <w:shadow/>
          <w:color w:val="333399"/>
        </w:rPr>
        <w:t>2</w:t>
      </w:r>
      <w:r w:rsidR="007027E6" w:rsidRPr="002861BA">
        <w:rPr>
          <w:rFonts w:ascii="Trebuchet MS" w:hAnsi="Trebuchet MS"/>
          <w:b/>
          <w:smallCaps/>
          <w:shadow/>
          <w:color w:val="333399"/>
        </w:rPr>
        <w:t>. Tipos de receptores de Adenosina</w:t>
      </w:r>
      <w:r w:rsidR="00677F1B" w:rsidRPr="002861BA">
        <w:rPr>
          <w:rFonts w:ascii="Trebuchet MS" w:hAnsi="Trebuchet MS"/>
          <w:b/>
          <w:smallCaps/>
          <w:shadow/>
          <w:color w:val="333399"/>
        </w:rPr>
        <w:t>: A</w:t>
      </w:r>
      <w:r w:rsidR="00677F1B" w:rsidRPr="00CC55ED">
        <w:rPr>
          <w:rFonts w:ascii="Trebuchet MS" w:hAnsi="Trebuchet MS"/>
          <w:b/>
          <w:smallCaps/>
          <w:shadow/>
          <w:color w:val="333399"/>
          <w:vertAlign w:val="subscript"/>
        </w:rPr>
        <w:t>1</w:t>
      </w:r>
      <w:r w:rsidR="00677F1B" w:rsidRPr="002861BA">
        <w:rPr>
          <w:rFonts w:ascii="Trebuchet MS" w:hAnsi="Trebuchet MS"/>
          <w:b/>
          <w:smallCaps/>
          <w:shadow/>
          <w:color w:val="333399"/>
        </w:rPr>
        <w:t>R, A</w:t>
      </w:r>
      <w:r w:rsidR="00677F1B" w:rsidRPr="002861BA">
        <w:rPr>
          <w:rFonts w:ascii="Trebuchet MS" w:hAnsi="Trebuchet MS"/>
          <w:b/>
          <w:smallCaps/>
          <w:shadow/>
          <w:color w:val="333399"/>
          <w:vertAlign w:val="subscript"/>
        </w:rPr>
        <w:t>2A</w:t>
      </w:r>
      <w:r w:rsidR="00677F1B" w:rsidRPr="002861BA">
        <w:rPr>
          <w:rFonts w:ascii="Trebuchet MS" w:hAnsi="Trebuchet MS"/>
          <w:b/>
          <w:smallCaps/>
          <w:shadow/>
          <w:color w:val="333399"/>
        </w:rPr>
        <w:t>R, A</w:t>
      </w:r>
      <w:r w:rsidR="00677F1B" w:rsidRPr="002861BA">
        <w:rPr>
          <w:rFonts w:ascii="Trebuchet MS" w:hAnsi="Trebuchet MS"/>
          <w:b/>
          <w:smallCaps/>
          <w:shadow/>
          <w:color w:val="333399"/>
          <w:vertAlign w:val="subscript"/>
        </w:rPr>
        <w:t>2B</w:t>
      </w:r>
      <w:r w:rsidR="00677F1B" w:rsidRPr="002861BA">
        <w:rPr>
          <w:rFonts w:ascii="Trebuchet MS" w:hAnsi="Trebuchet MS"/>
          <w:b/>
          <w:smallCaps/>
          <w:shadow/>
          <w:color w:val="333399"/>
        </w:rPr>
        <w:t>R e A</w:t>
      </w:r>
      <w:r w:rsidR="00677F1B" w:rsidRPr="00D902B5">
        <w:rPr>
          <w:rFonts w:ascii="Trebuchet MS" w:hAnsi="Trebuchet MS"/>
          <w:b/>
          <w:smallCaps/>
          <w:shadow/>
          <w:color w:val="333399"/>
          <w:vertAlign w:val="subscript"/>
        </w:rPr>
        <w:t>3</w:t>
      </w:r>
      <w:r w:rsidR="002A3375">
        <w:rPr>
          <w:rFonts w:ascii="Trebuchet MS" w:hAnsi="Trebuchet MS"/>
          <w:b/>
          <w:smallCaps/>
          <w:shadow/>
          <w:color w:val="333399"/>
        </w:rPr>
        <w:t>R</w:t>
      </w:r>
    </w:p>
    <w:p w:rsidR="00677F1B" w:rsidRPr="009E323D" w:rsidRDefault="00677F1B" w:rsidP="00677F1B">
      <w:pPr>
        <w:pStyle w:val="Corpodetexto"/>
        <w:spacing w:line="360" w:lineRule="auto"/>
        <w:ind w:firstLine="720"/>
        <w:rPr>
          <w:rFonts w:ascii="Trebuchet MS" w:hAnsi="Trebuchet MS"/>
          <w:sz w:val="20"/>
        </w:rPr>
      </w:pPr>
      <w:r w:rsidRPr="009E323D">
        <w:rPr>
          <w:rFonts w:ascii="Trebuchet MS" w:hAnsi="Trebuchet MS"/>
          <w:sz w:val="20"/>
        </w:rPr>
        <w:t>Quatro subtipos de receptores de adenosina</w:t>
      </w:r>
      <w:r w:rsidR="005440E0" w:rsidRPr="009E323D">
        <w:rPr>
          <w:rFonts w:ascii="Trebuchet MS" w:hAnsi="Trebuchet MS"/>
          <w:sz w:val="20"/>
        </w:rPr>
        <w:t xml:space="preserve"> acoplados à proteína G</w:t>
      </w:r>
      <w:r w:rsidRPr="009E323D">
        <w:rPr>
          <w:rFonts w:ascii="Trebuchet MS" w:hAnsi="Trebuchet MS"/>
          <w:sz w:val="20"/>
        </w:rPr>
        <w:t xml:space="preserve"> foram clonados até à data: </w:t>
      </w:r>
      <w:r w:rsidRPr="009E323D">
        <w:rPr>
          <w:rFonts w:ascii="Trebuchet MS" w:hAnsi="Trebuchet MS"/>
          <w:b/>
          <w:sz w:val="20"/>
        </w:rPr>
        <w:t>A</w:t>
      </w:r>
      <w:r w:rsidRPr="00D902B5">
        <w:rPr>
          <w:rFonts w:ascii="Trebuchet MS" w:hAnsi="Trebuchet MS"/>
          <w:b/>
          <w:sz w:val="20"/>
          <w:vertAlign w:val="subscript"/>
        </w:rPr>
        <w:t>1</w:t>
      </w:r>
      <w:r w:rsidRPr="009E323D">
        <w:rPr>
          <w:rFonts w:ascii="Trebuchet MS" w:hAnsi="Trebuchet MS"/>
          <w:b/>
          <w:sz w:val="20"/>
        </w:rPr>
        <w:t>, A</w:t>
      </w:r>
      <w:r w:rsidRPr="00D902B5">
        <w:rPr>
          <w:rFonts w:ascii="Trebuchet MS" w:hAnsi="Trebuchet MS"/>
          <w:b/>
          <w:sz w:val="20"/>
          <w:vertAlign w:val="subscript"/>
        </w:rPr>
        <w:t>2A</w:t>
      </w:r>
      <w:r w:rsidRPr="009E323D">
        <w:rPr>
          <w:rFonts w:ascii="Trebuchet MS" w:hAnsi="Trebuchet MS"/>
          <w:b/>
          <w:sz w:val="20"/>
        </w:rPr>
        <w:t>, A</w:t>
      </w:r>
      <w:r w:rsidRPr="00D902B5">
        <w:rPr>
          <w:rFonts w:ascii="Trebuchet MS" w:hAnsi="Trebuchet MS"/>
          <w:b/>
          <w:sz w:val="20"/>
          <w:vertAlign w:val="subscript"/>
        </w:rPr>
        <w:t>2B</w:t>
      </w:r>
      <w:r w:rsidRPr="009E323D">
        <w:rPr>
          <w:rFonts w:ascii="Trebuchet MS" w:hAnsi="Trebuchet MS"/>
          <w:sz w:val="20"/>
        </w:rPr>
        <w:t xml:space="preserve"> e</w:t>
      </w:r>
      <w:r w:rsidRPr="009E323D">
        <w:rPr>
          <w:rFonts w:ascii="Trebuchet MS" w:hAnsi="Trebuchet MS"/>
          <w:b/>
          <w:sz w:val="20"/>
        </w:rPr>
        <w:t xml:space="preserve"> A</w:t>
      </w:r>
      <w:r w:rsidRPr="00D902B5">
        <w:rPr>
          <w:rFonts w:ascii="Trebuchet MS" w:hAnsi="Trebuchet MS"/>
          <w:b/>
          <w:sz w:val="20"/>
          <w:vertAlign w:val="subscript"/>
        </w:rPr>
        <w:t>3</w:t>
      </w:r>
      <w:r w:rsidRPr="009E323D">
        <w:rPr>
          <w:rFonts w:ascii="Trebuchet MS" w:hAnsi="Trebuchet MS"/>
          <w:sz w:val="20"/>
        </w:rPr>
        <w:t>. Os subtipos dos receptores A</w:t>
      </w:r>
      <w:r w:rsidRPr="00D902B5">
        <w:rPr>
          <w:rFonts w:ascii="Trebuchet MS" w:hAnsi="Trebuchet MS"/>
          <w:sz w:val="20"/>
          <w:vertAlign w:val="subscript"/>
        </w:rPr>
        <w:t>2A</w:t>
      </w:r>
      <w:r w:rsidRPr="009E323D">
        <w:rPr>
          <w:rFonts w:ascii="Trebuchet MS" w:hAnsi="Trebuchet MS"/>
          <w:sz w:val="20"/>
        </w:rPr>
        <w:t xml:space="preserve"> e A</w:t>
      </w:r>
      <w:r w:rsidRPr="00D902B5">
        <w:rPr>
          <w:rFonts w:ascii="Trebuchet MS" w:hAnsi="Trebuchet MS"/>
          <w:sz w:val="20"/>
          <w:vertAlign w:val="subscript"/>
        </w:rPr>
        <w:t xml:space="preserve">2B </w:t>
      </w:r>
      <w:r w:rsidRPr="009E323D">
        <w:rPr>
          <w:rFonts w:ascii="Trebuchet MS" w:hAnsi="Trebuchet MS"/>
          <w:sz w:val="20"/>
        </w:rPr>
        <w:t>estimulam a ciclase do ad</w:t>
      </w:r>
      <w:r w:rsidRPr="009E323D">
        <w:rPr>
          <w:rFonts w:ascii="Trebuchet MS" w:hAnsi="Trebuchet MS"/>
          <w:sz w:val="20"/>
        </w:rPr>
        <w:t>e</w:t>
      </w:r>
      <w:r w:rsidRPr="009E323D">
        <w:rPr>
          <w:rFonts w:ascii="Trebuchet MS" w:hAnsi="Trebuchet MS"/>
          <w:sz w:val="20"/>
        </w:rPr>
        <w:t>nil</w:t>
      </w:r>
      <w:r w:rsidR="005440E0" w:rsidRPr="009E323D">
        <w:rPr>
          <w:rFonts w:ascii="Trebuchet MS" w:hAnsi="Trebuchet MS"/>
          <w:sz w:val="20"/>
        </w:rPr>
        <w:t>il</w:t>
      </w:r>
      <w:r w:rsidRPr="009E323D">
        <w:rPr>
          <w:rFonts w:ascii="Trebuchet MS" w:hAnsi="Trebuchet MS"/>
          <w:sz w:val="20"/>
        </w:rPr>
        <w:t>o após activação e os receptores A</w:t>
      </w:r>
      <w:r w:rsidRPr="00D902B5">
        <w:rPr>
          <w:rFonts w:ascii="Trebuchet MS" w:hAnsi="Trebuchet MS"/>
          <w:sz w:val="20"/>
          <w:vertAlign w:val="subscript"/>
        </w:rPr>
        <w:t>1</w:t>
      </w:r>
      <w:r w:rsidRPr="009E323D">
        <w:rPr>
          <w:rFonts w:ascii="Trebuchet MS" w:hAnsi="Trebuchet MS"/>
          <w:sz w:val="20"/>
        </w:rPr>
        <w:t xml:space="preserve"> e A</w:t>
      </w:r>
      <w:r w:rsidRPr="00D902B5">
        <w:rPr>
          <w:rFonts w:ascii="Trebuchet MS" w:hAnsi="Trebuchet MS"/>
          <w:sz w:val="20"/>
          <w:vertAlign w:val="subscript"/>
        </w:rPr>
        <w:t>3</w:t>
      </w:r>
      <w:r w:rsidRPr="009E323D">
        <w:rPr>
          <w:rFonts w:ascii="Trebuchet MS" w:hAnsi="Trebuchet MS"/>
          <w:sz w:val="20"/>
        </w:rPr>
        <w:t xml:space="preserve"> são inibidores da ciclase do adenilo e </w:t>
      </w:r>
      <w:r w:rsidR="00CC55ED">
        <w:rPr>
          <w:rFonts w:ascii="Trebuchet MS" w:hAnsi="Trebuchet MS"/>
          <w:sz w:val="20"/>
        </w:rPr>
        <w:t>também activam a</w:t>
      </w:r>
      <w:r w:rsidRPr="009E323D">
        <w:rPr>
          <w:rFonts w:ascii="Trebuchet MS" w:hAnsi="Trebuchet MS"/>
          <w:sz w:val="20"/>
        </w:rPr>
        <w:t xml:space="preserve"> fosfolipase C (Tucker et al, 1994</w:t>
      </w:r>
      <w:r w:rsidR="00CB50B3" w:rsidRPr="009E323D">
        <w:rPr>
          <w:rFonts w:ascii="Trebuchet MS" w:hAnsi="Trebuchet MS"/>
          <w:sz w:val="20"/>
        </w:rPr>
        <w:t xml:space="preserve">; Eschkle </w:t>
      </w:r>
      <w:r w:rsidR="00F96813" w:rsidRPr="009E323D">
        <w:rPr>
          <w:rFonts w:ascii="Trebuchet MS" w:hAnsi="Trebuchet MS"/>
          <w:i/>
          <w:sz w:val="20"/>
        </w:rPr>
        <w:t>et al.</w:t>
      </w:r>
      <w:r w:rsidR="00CB50B3" w:rsidRPr="009E323D">
        <w:rPr>
          <w:rFonts w:ascii="Trebuchet MS" w:hAnsi="Trebuchet MS"/>
          <w:sz w:val="20"/>
        </w:rPr>
        <w:t xml:space="preserve">, </w:t>
      </w:r>
      <w:r w:rsidR="00CB50B3" w:rsidRPr="00650EB1">
        <w:rPr>
          <w:rFonts w:ascii="Trebuchet MS" w:hAnsi="Trebuchet MS"/>
          <w:sz w:val="20"/>
        </w:rPr>
        <w:t>2001</w:t>
      </w:r>
      <w:r w:rsidRPr="00650EB1">
        <w:rPr>
          <w:rFonts w:ascii="Trebuchet MS" w:hAnsi="Trebuchet MS"/>
          <w:sz w:val="20"/>
        </w:rPr>
        <w:t>).</w:t>
      </w:r>
      <w:r w:rsidR="00F41136" w:rsidRPr="00650EB1">
        <w:rPr>
          <w:rFonts w:ascii="Trebuchet MS" w:eastAsiaTheme="minorHAnsi" w:hAnsi="Trebuchet MS"/>
          <w:sz w:val="20"/>
          <w:szCs w:val="16"/>
        </w:rPr>
        <w:t xml:space="preserve"> Cada tipo de receptor po</w:t>
      </w:r>
      <w:r w:rsidR="00F41136" w:rsidRPr="00650EB1">
        <w:rPr>
          <w:rFonts w:ascii="Trebuchet MS" w:eastAsiaTheme="minorHAnsi" w:hAnsi="Trebuchet MS"/>
          <w:sz w:val="20"/>
          <w:szCs w:val="16"/>
        </w:rPr>
        <w:t>s</w:t>
      </w:r>
      <w:r w:rsidR="00F41136" w:rsidRPr="00650EB1">
        <w:rPr>
          <w:rFonts w:ascii="Trebuchet MS" w:eastAsiaTheme="minorHAnsi" w:hAnsi="Trebuchet MS"/>
          <w:sz w:val="20"/>
          <w:szCs w:val="16"/>
        </w:rPr>
        <w:t>sui uma acção característica</w:t>
      </w:r>
      <w:r w:rsidR="00AE1A71">
        <w:rPr>
          <w:rFonts w:ascii="Trebuchet MS" w:eastAsiaTheme="minorHAnsi" w:hAnsi="Trebuchet MS"/>
          <w:sz w:val="20"/>
          <w:szCs w:val="16"/>
        </w:rPr>
        <w:t xml:space="preserve"> e</w:t>
      </w:r>
      <w:r w:rsidR="00AE1A71" w:rsidRPr="00650EB1">
        <w:rPr>
          <w:rFonts w:ascii="Trebuchet MS" w:eastAsiaTheme="minorHAnsi" w:hAnsi="Trebuchet MS"/>
          <w:sz w:val="20"/>
          <w:szCs w:val="16"/>
        </w:rPr>
        <w:t xml:space="preserve"> </w:t>
      </w:r>
      <w:r w:rsidR="00AE1A71">
        <w:rPr>
          <w:rFonts w:ascii="Trebuchet MS" w:eastAsiaTheme="minorHAnsi" w:hAnsi="Trebuchet MS"/>
          <w:sz w:val="20"/>
          <w:szCs w:val="16"/>
        </w:rPr>
        <w:t xml:space="preserve">é </w:t>
      </w:r>
      <w:r w:rsidR="00AE1A71" w:rsidRPr="00650EB1">
        <w:rPr>
          <w:rFonts w:ascii="Trebuchet MS" w:eastAsiaTheme="minorHAnsi" w:hAnsi="Trebuchet MS"/>
          <w:sz w:val="20"/>
          <w:szCs w:val="16"/>
        </w:rPr>
        <w:t>activado por diferentes concentrações de adenosina</w:t>
      </w:r>
      <w:r w:rsidR="00AE1A71">
        <w:rPr>
          <w:rFonts w:ascii="Trebuchet MS" w:eastAsiaTheme="minorHAnsi" w:hAnsi="Trebuchet MS"/>
          <w:sz w:val="20"/>
          <w:szCs w:val="16"/>
        </w:rPr>
        <w:t>,</w:t>
      </w:r>
      <w:r w:rsidR="00AE1A71" w:rsidRPr="00650EB1">
        <w:rPr>
          <w:rFonts w:ascii="Trebuchet MS" w:eastAsiaTheme="minorHAnsi" w:hAnsi="Trebuchet MS"/>
          <w:sz w:val="20"/>
          <w:szCs w:val="16"/>
        </w:rPr>
        <w:t xml:space="preserve"> </w:t>
      </w:r>
      <w:r w:rsidR="00F41136" w:rsidRPr="00650EB1">
        <w:rPr>
          <w:rFonts w:ascii="Trebuchet MS" w:eastAsiaTheme="minorHAnsi" w:hAnsi="Trebuchet MS"/>
          <w:sz w:val="20"/>
          <w:szCs w:val="16"/>
        </w:rPr>
        <w:t xml:space="preserve">mediando diferentes </w:t>
      </w:r>
      <w:r w:rsidR="002713F1">
        <w:rPr>
          <w:rFonts w:ascii="Trebuchet MS" w:eastAsiaTheme="minorHAnsi" w:hAnsi="Trebuchet MS"/>
          <w:sz w:val="20"/>
          <w:szCs w:val="16"/>
        </w:rPr>
        <w:t>acontecimentos</w:t>
      </w:r>
      <w:r w:rsidR="00AE1A71">
        <w:rPr>
          <w:rFonts w:ascii="Trebuchet MS" w:eastAsiaTheme="minorHAnsi" w:hAnsi="Trebuchet MS"/>
          <w:sz w:val="20"/>
          <w:szCs w:val="16"/>
        </w:rPr>
        <w:t xml:space="preserve">. A concentração de adenosina no meio extracelular, </w:t>
      </w:r>
      <w:r w:rsidR="00942654">
        <w:rPr>
          <w:rFonts w:ascii="Trebuchet MS" w:eastAsiaTheme="minorHAnsi" w:hAnsi="Trebuchet MS"/>
          <w:sz w:val="20"/>
          <w:szCs w:val="16"/>
        </w:rPr>
        <w:t>sob</w:t>
      </w:r>
      <w:r w:rsidR="00AE1A71">
        <w:rPr>
          <w:rFonts w:ascii="Trebuchet MS" w:eastAsiaTheme="minorHAnsi" w:hAnsi="Trebuchet MS"/>
          <w:sz w:val="20"/>
          <w:szCs w:val="16"/>
        </w:rPr>
        <w:t xml:space="preserve"> diferentes condições, é </w:t>
      </w:r>
      <w:r w:rsidR="00942654">
        <w:rPr>
          <w:rFonts w:ascii="Trebuchet MS" w:eastAsiaTheme="minorHAnsi" w:hAnsi="Trebuchet MS"/>
          <w:sz w:val="20"/>
          <w:szCs w:val="16"/>
        </w:rPr>
        <w:t>a que determina a</w:t>
      </w:r>
      <w:r w:rsidR="00AE1A71">
        <w:rPr>
          <w:rFonts w:ascii="Trebuchet MS" w:eastAsiaTheme="minorHAnsi" w:hAnsi="Trebuchet MS"/>
          <w:sz w:val="20"/>
          <w:szCs w:val="16"/>
        </w:rPr>
        <w:t xml:space="preserve"> activação de um ou outro tipo de </w:t>
      </w:r>
      <w:r w:rsidR="00E2112C">
        <w:rPr>
          <w:rFonts w:ascii="Trebuchet MS" w:eastAsiaTheme="minorHAnsi" w:hAnsi="Trebuchet MS"/>
          <w:sz w:val="20"/>
          <w:szCs w:val="16"/>
        </w:rPr>
        <w:t>receptor</w:t>
      </w:r>
      <w:r w:rsidR="00AE1A71">
        <w:rPr>
          <w:rFonts w:ascii="Trebuchet MS" w:eastAsiaTheme="minorHAnsi" w:hAnsi="Trebuchet MS"/>
          <w:sz w:val="20"/>
          <w:szCs w:val="16"/>
        </w:rPr>
        <w:t xml:space="preserve"> de </w:t>
      </w:r>
      <w:r w:rsidR="00942654">
        <w:rPr>
          <w:rFonts w:ascii="Trebuchet MS" w:eastAsiaTheme="minorHAnsi" w:hAnsi="Trebuchet MS"/>
          <w:sz w:val="20"/>
          <w:szCs w:val="16"/>
        </w:rPr>
        <w:t>a</w:t>
      </w:r>
      <w:r w:rsidR="00AE1A71">
        <w:rPr>
          <w:rFonts w:ascii="Trebuchet MS" w:eastAsiaTheme="minorHAnsi" w:hAnsi="Trebuchet MS"/>
          <w:sz w:val="20"/>
          <w:szCs w:val="16"/>
        </w:rPr>
        <w:t>d</w:t>
      </w:r>
      <w:r w:rsidR="00AE1A71">
        <w:rPr>
          <w:rFonts w:ascii="Trebuchet MS" w:eastAsiaTheme="minorHAnsi" w:hAnsi="Trebuchet MS"/>
          <w:sz w:val="20"/>
          <w:szCs w:val="16"/>
        </w:rPr>
        <w:t>e</w:t>
      </w:r>
      <w:r w:rsidR="00AE1A71">
        <w:rPr>
          <w:rFonts w:ascii="Trebuchet MS" w:eastAsiaTheme="minorHAnsi" w:hAnsi="Trebuchet MS"/>
          <w:sz w:val="20"/>
          <w:szCs w:val="16"/>
        </w:rPr>
        <w:t xml:space="preserve">nosina </w:t>
      </w:r>
      <w:r w:rsidR="00F41136" w:rsidRPr="00650EB1">
        <w:rPr>
          <w:rFonts w:ascii="Trebuchet MS" w:eastAsiaTheme="minorHAnsi" w:hAnsi="Trebuchet MS"/>
          <w:sz w:val="20"/>
          <w:szCs w:val="16"/>
        </w:rPr>
        <w:t>(</w:t>
      </w:r>
      <w:r w:rsidR="00942654">
        <w:rPr>
          <w:rFonts w:ascii="Trebuchet MS" w:eastAsiaTheme="minorHAnsi" w:hAnsi="Trebuchet MS"/>
          <w:sz w:val="20"/>
          <w:szCs w:val="16"/>
        </w:rPr>
        <w:t xml:space="preserve">Para revisão ver Dunwiddie and Masino, 2001; </w:t>
      </w:r>
      <w:r w:rsidR="004149DC" w:rsidRPr="00650EB1">
        <w:rPr>
          <w:rFonts w:ascii="Trebuchet MS" w:eastAsiaTheme="minorHAnsi" w:hAnsi="Trebuchet MS"/>
          <w:sz w:val="20"/>
          <w:szCs w:val="16"/>
        </w:rPr>
        <w:t>Para revisão ver</w:t>
      </w:r>
      <w:r w:rsidR="00F41136" w:rsidRPr="00650EB1">
        <w:rPr>
          <w:rFonts w:ascii="Trebuchet MS" w:eastAsiaTheme="minorHAnsi" w:hAnsi="Trebuchet MS"/>
          <w:sz w:val="20"/>
          <w:szCs w:val="16"/>
        </w:rPr>
        <w:t xml:space="preserve"> Fredholm </w:t>
      </w:r>
      <w:r w:rsidR="00F41136" w:rsidRPr="00650EB1">
        <w:rPr>
          <w:rFonts w:ascii="Trebuchet MS" w:eastAsiaTheme="minorHAnsi" w:hAnsi="Trebuchet MS"/>
          <w:i/>
          <w:sz w:val="20"/>
          <w:szCs w:val="16"/>
        </w:rPr>
        <w:t>et al.</w:t>
      </w:r>
      <w:r w:rsidR="00F41136" w:rsidRPr="00650EB1">
        <w:rPr>
          <w:rFonts w:ascii="Trebuchet MS" w:eastAsiaTheme="minorHAnsi" w:hAnsi="Trebuchet MS"/>
          <w:sz w:val="20"/>
          <w:szCs w:val="16"/>
        </w:rPr>
        <w:t>, 2000).</w:t>
      </w:r>
    </w:p>
    <w:p w:rsidR="00AE6CC9" w:rsidRDefault="00AE6CC9" w:rsidP="00906E66">
      <w:pPr>
        <w:spacing w:line="360" w:lineRule="auto"/>
        <w:ind w:firstLine="708"/>
        <w:jc w:val="both"/>
        <w:rPr>
          <w:rFonts w:ascii="Trebuchet MS" w:eastAsiaTheme="minorHAnsi" w:hAnsi="Trebuchet MS"/>
          <w:sz w:val="20"/>
          <w:szCs w:val="16"/>
        </w:rPr>
      </w:pPr>
      <w:r>
        <w:rPr>
          <w:rFonts w:ascii="Trebuchet MS" w:eastAsiaTheme="minorHAnsi" w:hAnsi="Trebuchet MS"/>
          <w:sz w:val="20"/>
          <w:szCs w:val="16"/>
        </w:rPr>
        <w:t>De uma forma geral, os receptores A</w:t>
      </w:r>
      <w:r w:rsidRPr="00AE6CC9">
        <w:rPr>
          <w:rFonts w:ascii="Trebuchet MS" w:eastAsiaTheme="minorHAnsi" w:hAnsi="Trebuchet MS"/>
          <w:sz w:val="20"/>
          <w:szCs w:val="16"/>
          <w:vertAlign w:val="subscript"/>
        </w:rPr>
        <w:t>1</w:t>
      </w:r>
      <w:r>
        <w:rPr>
          <w:rFonts w:ascii="Trebuchet MS" w:eastAsiaTheme="minorHAnsi" w:hAnsi="Trebuchet MS"/>
          <w:sz w:val="20"/>
          <w:szCs w:val="16"/>
        </w:rPr>
        <w:t xml:space="preserve"> e A</w:t>
      </w:r>
      <w:r w:rsidRPr="00AE6CC9">
        <w:rPr>
          <w:rFonts w:ascii="Trebuchet MS" w:eastAsiaTheme="minorHAnsi" w:hAnsi="Trebuchet MS"/>
          <w:sz w:val="20"/>
          <w:szCs w:val="16"/>
          <w:vertAlign w:val="subscript"/>
        </w:rPr>
        <w:t>2A</w:t>
      </w:r>
      <w:r>
        <w:rPr>
          <w:rFonts w:ascii="Trebuchet MS" w:eastAsiaTheme="minorHAnsi" w:hAnsi="Trebuchet MS"/>
          <w:sz w:val="20"/>
          <w:szCs w:val="16"/>
        </w:rPr>
        <w:t xml:space="preserve"> de adenosina são receptores de elevada afinidade pelo ligante, </w:t>
      </w:r>
      <w:proofErr w:type="gramStart"/>
      <w:r>
        <w:rPr>
          <w:rFonts w:ascii="Trebuchet MS" w:eastAsiaTheme="minorHAnsi" w:hAnsi="Trebuchet MS"/>
          <w:sz w:val="20"/>
          <w:szCs w:val="16"/>
        </w:rPr>
        <w:t>enquanto que</w:t>
      </w:r>
      <w:proofErr w:type="gramEnd"/>
      <w:r>
        <w:rPr>
          <w:rFonts w:ascii="Trebuchet MS" w:eastAsiaTheme="minorHAnsi" w:hAnsi="Trebuchet MS"/>
          <w:sz w:val="20"/>
          <w:szCs w:val="16"/>
        </w:rPr>
        <w:t>, os A</w:t>
      </w:r>
      <w:r w:rsidRPr="00AE6CC9">
        <w:rPr>
          <w:rFonts w:ascii="Trebuchet MS" w:eastAsiaTheme="minorHAnsi" w:hAnsi="Trebuchet MS"/>
          <w:sz w:val="20"/>
          <w:szCs w:val="16"/>
          <w:vertAlign w:val="subscript"/>
        </w:rPr>
        <w:t>2B</w:t>
      </w:r>
      <w:r>
        <w:rPr>
          <w:rFonts w:ascii="Trebuchet MS" w:eastAsiaTheme="minorHAnsi" w:hAnsi="Trebuchet MS"/>
          <w:sz w:val="20"/>
          <w:szCs w:val="16"/>
        </w:rPr>
        <w:t>Rs apresentam baixa afinidade e os A</w:t>
      </w:r>
      <w:r w:rsidRPr="00AE6CC9">
        <w:rPr>
          <w:rFonts w:ascii="Trebuchet MS" w:eastAsiaTheme="minorHAnsi" w:hAnsi="Trebuchet MS"/>
          <w:sz w:val="20"/>
          <w:szCs w:val="16"/>
          <w:vertAlign w:val="subscript"/>
        </w:rPr>
        <w:t>3</w:t>
      </w:r>
      <w:r>
        <w:rPr>
          <w:rFonts w:ascii="Trebuchet MS" w:eastAsiaTheme="minorHAnsi" w:hAnsi="Trebuchet MS"/>
          <w:sz w:val="20"/>
          <w:szCs w:val="16"/>
        </w:rPr>
        <w:t xml:space="preserve">Rs não são muito expressos nos tecidos, embora apresentem elevada afinidade </w:t>
      </w:r>
      <w:r w:rsidRPr="00650EB1">
        <w:rPr>
          <w:rFonts w:ascii="Trebuchet MS" w:eastAsiaTheme="minorHAnsi" w:hAnsi="Trebuchet MS"/>
          <w:sz w:val="20"/>
          <w:szCs w:val="16"/>
        </w:rPr>
        <w:t>(</w:t>
      </w:r>
      <w:r>
        <w:rPr>
          <w:rFonts w:ascii="Trebuchet MS" w:eastAsiaTheme="minorHAnsi" w:hAnsi="Trebuchet MS"/>
          <w:sz w:val="20"/>
          <w:szCs w:val="16"/>
        </w:rPr>
        <w:t>Para revisão ver Dunwi</w:t>
      </w:r>
      <w:r>
        <w:rPr>
          <w:rFonts w:ascii="Trebuchet MS" w:eastAsiaTheme="minorHAnsi" w:hAnsi="Trebuchet MS"/>
          <w:sz w:val="20"/>
          <w:szCs w:val="16"/>
        </w:rPr>
        <w:t>d</w:t>
      </w:r>
      <w:r>
        <w:rPr>
          <w:rFonts w:ascii="Trebuchet MS" w:eastAsiaTheme="minorHAnsi" w:hAnsi="Trebuchet MS"/>
          <w:sz w:val="20"/>
          <w:szCs w:val="16"/>
        </w:rPr>
        <w:t>die and Masino, 2001).</w:t>
      </w:r>
    </w:p>
    <w:p w:rsidR="00510422" w:rsidRDefault="00510422" w:rsidP="00906E66">
      <w:pPr>
        <w:spacing w:line="360" w:lineRule="auto"/>
        <w:ind w:firstLine="708"/>
        <w:jc w:val="both"/>
        <w:rPr>
          <w:rFonts w:ascii="Trebuchet MS" w:eastAsiaTheme="minorHAnsi" w:hAnsi="Trebuchet MS"/>
          <w:sz w:val="20"/>
          <w:szCs w:val="16"/>
        </w:rPr>
      </w:pPr>
      <w:r w:rsidRPr="00510422">
        <w:rPr>
          <w:rFonts w:ascii="Trebuchet MS" w:eastAsiaTheme="minorHAnsi" w:hAnsi="Trebuchet MS"/>
          <w:sz w:val="20"/>
          <w:szCs w:val="16"/>
        </w:rPr>
        <w:t>A adenosina é neuromodulador</w:t>
      </w:r>
      <w:r>
        <w:rPr>
          <w:rFonts w:ascii="Trebuchet MS" w:eastAsiaTheme="minorHAnsi" w:hAnsi="Trebuchet MS"/>
          <w:sz w:val="20"/>
          <w:szCs w:val="16"/>
        </w:rPr>
        <w:t>a</w:t>
      </w:r>
      <w:r w:rsidR="00911C32">
        <w:rPr>
          <w:rFonts w:ascii="Trebuchet MS" w:eastAsiaTheme="minorHAnsi" w:hAnsi="Trebuchet MS"/>
          <w:sz w:val="20"/>
          <w:szCs w:val="16"/>
        </w:rPr>
        <w:t>,</w:t>
      </w:r>
      <w:r w:rsidRPr="00510422">
        <w:rPr>
          <w:rFonts w:ascii="Trebuchet MS" w:eastAsiaTheme="minorHAnsi" w:hAnsi="Trebuchet MS"/>
          <w:sz w:val="20"/>
          <w:szCs w:val="16"/>
        </w:rPr>
        <w:t xml:space="preserve"> </w:t>
      </w:r>
      <w:r w:rsidR="00CC55ED">
        <w:rPr>
          <w:rFonts w:ascii="Trebuchet MS" w:eastAsiaTheme="minorHAnsi" w:hAnsi="Trebuchet MS"/>
          <w:sz w:val="20"/>
          <w:szCs w:val="16"/>
        </w:rPr>
        <w:t>actuando</w:t>
      </w:r>
      <w:r w:rsidRPr="00510422">
        <w:rPr>
          <w:rFonts w:ascii="Trebuchet MS" w:eastAsiaTheme="minorHAnsi" w:hAnsi="Trebuchet MS"/>
          <w:sz w:val="20"/>
          <w:szCs w:val="16"/>
        </w:rPr>
        <w:t xml:space="preserve"> através do</w:t>
      </w:r>
      <w:r w:rsidR="00F93B37">
        <w:rPr>
          <w:rFonts w:ascii="Trebuchet MS" w:eastAsiaTheme="minorHAnsi" w:hAnsi="Trebuchet MS"/>
          <w:sz w:val="20"/>
          <w:szCs w:val="16"/>
        </w:rPr>
        <w:t>s</w:t>
      </w:r>
      <w:r>
        <w:rPr>
          <w:rFonts w:ascii="Trebuchet MS" w:eastAsiaTheme="minorHAnsi" w:hAnsi="Trebuchet MS"/>
          <w:sz w:val="20"/>
          <w:szCs w:val="16"/>
        </w:rPr>
        <w:t xml:space="preserve"> receptores</w:t>
      </w:r>
      <w:r w:rsidRPr="00510422">
        <w:rPr>
          <w:rFonts w:ascii="Trebuchet MS" w:eastAsiaTheme="minorHAnsi" w:hAnsi="Trebuchet MS"/>
          <w:sz w:val="20"/>
          <w:szCs w:val="16"/>
        </w:rPr>
        <w:t xml:space="preserve"> ini</w:t>
      </w:r>
      <w:r>
        <w:rPr>
          <w:rFonts w:ascii="Trebuchet MS" w:eastAsiaTheme="minorHAnsi" w:hAnsi="Trebuchet MS"/>
          <w:sz w:val="20"/>
          <w:szCs w:val="16"/>
        </w:rPr>
        <w:t>bitórios</w:t>
      </w:r>
      <w:r w:rsidR="00A138CC">
        <w:rPr>
          <w:rFonts w:ascii="Trebuchet MS" w:eastAsiaTheme="minorHAnsi" w:hAnsi="Trebuchet MS"/>
          <w:sz w:val="20"/>
          <w:szCs w:val="16"/>
        </w:rPr>
        <w:t xml:space="preserve"> </w:t>
      </w:r>
      <w:r w:rsidR="00CC55ED">
        <w:rPr>
          <w:rFonts w:ascii="Trebuchet MS" w:eastAsiaTheme="minorHAnsi" w:hAnsi="Trebuchet MS"/>
          <w:sz w:val="20"/>
          <w:szCs w:val="16"/>
        </w:rPr>
        <w:t>A</w:t>
      </w:r>
      <w:r w:rsidR="00CC55ED" w:rsidRPr="00510422">
        <w:rPr>
          <w:rFonts w:ascii="Trebuchet MS" w:eastAsiaTheme="minorHAnsi" w:hAnsi="Trebuchet MS"/>
          <w:sz w:val="20"/>
          <w:szCs w:val="16"/>
          <w:vertAlign w:val="subscript"/>
        </w:rPr>
        <w:t>1</w:t>
      </w:r>
      <w:r w:rsidR="00A138CC">
        <w:rPr>
          <w:rFonts w:ascii="Trebuchet MS" w:eastAsiaTheme="minorHAnsi" w:hAnsi="Trebuchet MS"/>
          <w:sz w:val="20"/>
          <w:szCs w:val="16"/>
        </w:rPr>
        <w:t>Rs</w:t>
      </w:r>
      <w:r w:rsidR="00CC55ED">
        <w:rPr>
          <w:rFonts w:ascii="Trebuchet MS" w:eastAsiaTheme="minorHAnsi" w:hAnsi="Trebuchet MS"/>
          <w:sz w:val="20"/>
          <w:szCs w:val="16"/>
        </w:rPr>
        <w:t>,</w:t>
      </w:r>
      <w:r>
        <w:rPr>
          <w:rFonts w:ascii="Trebuchet MS" w:eastAsiaTheme="minorHAnsi" w:hAnsi="Trebuchet MS"/>
          <w:sz w:val="20"/>
          <w:szCs w:val="16"/>
        </w:rPr>
        <w:t xml:space="preserve"> </w:t>
      </w:r>
      <w:r w:rsidRPr="00510422">
        <w:rPr>
          <w:rFonts w:ascii="Trebuchet MS" w:eastAsiaTheme="minorHAnsi" w:hAnsi="Trebuchet MS"/>
          <w:sz w:val="20"/>
          <w:szCs w:val="16"/>
        </w:rPr>
        <w:t>mais abundante</w:t>
      </w:r>
      <w:r>
        <w:rPr>
          <w:rFonts w:ascii="Trebuchet MS" w:eastAsiaTheme="minorHAnsi" w:hAnsi="Trebuchet MS"/>
          <w:sz w:val="20"/>
          <w:szCs w:val="16"/>
        </w:rPr>
        <w:t>s</w:t>
      </w:r>
      <w:r w:rsidR="00CC55ED">
        <w:rPr>
          <w:rFonts w:ascii="Trebuchet MS" w:eastAsiaTheme="minorHAnsi" w:hAnsi="Trebuchet MS"/>
          <w:sz w:val="20"/>
          <w:szCs w:val="16"/>
        </w:rPr>
        <w:t>,</w:t>
      </w:r>
      <w:r w:rsidRPr="00510422">
        <w:rPr>
          <w:rFonts w:ascii="Trebuchet MS" w:eastAsiaTheme="minorHAnsi" w:hAnsi="Trebuchet MS"/>
          <w:sz w:val="20"/>
          <w:szCs w:val="16"/>
        </w:rPr>
        <w:t xml:space="preserve"> e </w:t>
      </w:r>
      <w:r w:rsidR="00CC55ED">
        <w:rPr>
          <w:rFonts w:ascii="Trebuchet MS" w:eastAsiaTheme="minorHAnsi" w:hAnsi="Trebuchet MS"/>
          <w:sz w:val="20"/>
          <w:szCs w:val="16"/>
        </w:rPr>
        <w:t xml:space="preserve">através dos </w:t>
      </w:r>
      <w:r w:rsidRPr="00510422">
        <w:rPr>
          <w:rFonts w:ascii="Trebuchet MS" w:eastAsiaTheme="minorHAnsi" w:hAnsi="Trebuchet MS"/>
          <w:sz w:val="20"/>
          <w:szCs w:val="16"/>
        </w:rPr>
        <w:t>menos abundante</w:t>
      </w:r>
      <w:r w:rsidR="00F93B37">
        <w:rPr>
          <w:rFonts w:ascii="Trebuchet MS" w:eastAsiaTheme="minorHAnsi" w:hAnsi="Trebuchet MS"/>
          <w:sz w:val="20"/>
          <w:szCs w:val="16"/>
        </w:rPr>
        <w:t>s</w:t>
      </w:r>
      <w:r w:rsidRPr="00510422">
        <w:rPr>
          <w:rFonts w:ascii="Trebuchet MS" w:eastAsiaTheme="minorHAnsi" w:hAnsi="Trebuchet MS"/>
          <w:sz w:val="20"/>
          <w:szCs w:val="16"/>
        </w:rPr>
        <w:t xml:space="preserve"> mas </w:t>
      </w:r>
      <w:r w:rsidR="00F93B37">
        <w:rPr>
          <w:rFonts w:ascii="Trebuchet MS" w:eastAsiaTheme="minorHAnsi" w:hAnsi="Trebuchet MS"/>
          <w:sz w:val="20"/>
          <w:szCs w:val="16"/>
        </w:rPr>
        <w:t>comuns</w:t>
      </w:r>
      <w:r w:rsidRPr="00510422">
        <w:rPr>
          <w:rFonts w:ascii="Trebuchet MS" w:eastAsiaTheme="minorHAnsi" w:hAnsi="Trebuchet MS"/>
          <w:sz w:val="20"/>
          <w:szCs w:val="16"/>
        </w:rPr>
        <w:t xml:space="preserve"> A</w:t>
      </w:r>
      <w:r w:rsidRPr="00F93B37">
        <w:rPr>
          <w:rFonts w:ascii="Trebuchet MS" w:eastAsiaTheme="minorHAnsi" w:hAnsi="Trebuchet MS"/>
          <w:sz w:val="20"/>
          <w:szCs w:val="16"/>
          <w:vertAlign w:val="subscript"/>
        </w:rPr>
        <w:t>2A</w:t>
      </w:r>
      <w:r w:rsidR="00F93B37">
        <w:rPr>
          <w:rFonts w:ascii="Trebuchet MS" w:eastAsiaTheme="minorHAnsi" w:hAnsi="Trebuchet MS"/>
          <w:sz w:val="20"/>
          <w:szCs w:val="16"/>
        </w:rPr>
        <w:t xml:space="preserve">Rs </w:t>
      </w:r>
      <w:r w:rsidRPr="00510422">
        <w:rPr>
          <w:rFonts w:ascii="Trebuchet MS" w:eastAsiaTheme="minorHAnsi" w:hAnsi="Trebuchet MS"/>
          <w:sz w:val="20"/>
          <w:szCs w:val="16"/>
        </w:rPr>
        <w:t>(</w:t>
      </w:r>
      <w:r w:rsidR="004149DC">
        <w:rPr>
          <w:rFonts w:ascii="Trebuchet MS" w:eastAsiaTheme="minorHAnsi" w:hAnsi="Trebuchet MS"/>
          <w:sz w:val="20"/>
          <w:szCs w:val="16"/>
        </w:rPr>
        <w:t>Para revisão ver</w:t>
      </w:r>
      <w:r w:rsidRPr="00510422">
        <w:rPr>
          <w:rFonts w:ascii="Trebuchet MS" w:eastAsiaTheme="minorHAnsi" w:hAnsi="Trebuchet MS"/>
          <w:sz w:val="20"/>
          <w:szCs w:val="16"/>
        </w:rPr>
        <w:t xml:space="preserve"> Cunha, 2005)</w:t>
      </w:r>
      <w:r>
        <w:rPr>
          <w:rFonts w:ascii="Trebuchet MS" w:eastAsiaTheme="minorHAnsi" w:hAnsi="Trebuchet MS"/>
          <w:sz w:val="20"/>
          <w:szCs w:val="16"/>
        </w:rPr>
        <w:t>.</w:t>
      </w:r>
      <w:r w:rsidR="00811894">
        <w:rPr>
          <w:rFonts w:ascii="Trebuchet MS" w:eastAsiaTheme="minorHAnsi" w:hAnsi="Trebuchet MS"/>
          <w:sz w:val="20"/>
          <w:szCs w:val="16"/>
        </w:rPr>
        <w:t xml:space="preserve"> É comum assumir que os A</w:t>
      </w:r>
      <w:r w:rsidR="00811894" w:rsidRPr="00811894">
        <w:rPr>
          <w:rFonts w:ascii="Trebuchet MS" w:eastAsiaTheme="minorHAnsi" w:hAnsi="Trebuchet MS"/>
          <w:sz w:val="20"/>
          <w:szCs w:val="16"/>
          <w:vertAlign w:val="subscript"/>
        </w:rPr>
        <w:t>1</w:t>
      </w:r>
      <w:r w:rsidR="00811894">
        <w:rPr>
          <w:rFonts w:ascii="Trebuchet MS" w:eastAsiaTheme="minorHAnsi" w:hAnsi="Trebuchet MS"/>
          <w:sz w:val="20"/>
          <w:szCs w:val="16"/>
        </w:rPr>
        <w:t>Rs desempenham um papel fundamental na neuroprote</w:t>
      </w:r>
      <w:r w:rsidR="00811894">
        <w:rPr>
          <w:rFonts w:ascii="Trebuchet MS" w:eastAsiaTheme="minorHAnsi" w:hAnsi="Trebuchet MS"/>
          <w:sz w:val="20"/>
          <w:szCs w:val="16"/>
        </w:rPr>
        <w:t>c</w:t>
      </w:r>
      <w:r w:rsidR="00CC55ED">
        <w:rPr>
          <w:rFonts w:ascii="Trebuchet MS" w:eastAsiaTheme="minorHAnsi" w:hAnsi="Trebuchet MS"/>
          <w:sz w:val="20"/>
          <w:szCs w:val="16"/>
        </w:rPr>
        <w:t>ção, uma vez que</w:t>
      </w:r>
      <w:r w:rsidR="00811894">
        <w:rPr>
          <w:rFonts w:ascii="Trebuchet MS" w:eastAsiaTheme="minorHAnsi" w:hAnsi="Trebuchet MS"/>
          <w:sz w:val="20"/>
          <w:szCs w:val="16"/>
        </w:rPr>
        <w:t xml:space="preserve"> diminuem a libertação de glutamato e</w:t>
      </w:r>
      <w:r w:rsidR="00CC55ED">
        <w:rPr>
          <w:rFonts w:ascii="Trebuchet MS" w:eastAsiaTheme="minorHAnsi" w:hAnsi="Trebuchet MS"/>
          <w:sz w:val="20"/>
          <w:szCs w:val="16"/>
        </w:rPr>
        <w:t xml:space="preserve"> promovem</w:t>
      </w:r>
      <w:r w:rsidR="00811894">
        <w:rPr>
          <w:rFonts w:ascii="Trebuchet MS" w:eastAsiaTheme="minorHAnsi" w:hAnsi="Trebuchet MS"/>
          <w:sz w:val="20"/>
          <w:szCs w:val="16"/>
        </w:rPr>
        <w:t xml:space="preserve"> a hiperpolarização neur</w:t>
      </w:r>
      <w:r w:rsidR="00811894">
        <w:rPr>
          <w:rFonts w:ascii="Trebuchet MS" w:eastAsiaTheme="minorHAnsi" w:hAnsi="Trebuchet MS"/>
          <w:sz w:val="20"/>
          <w:szCs w:val="16"/>
        </w:rPr>
        <w:t>o</w:t>
      </w:r>
      <w:r w:rsidR="00811894">
        <w:rPr>
          <w:rFonts w:ascii="Trebuchet MS" w:eastAsiaTheme="minorHAnsi" w:hAnsi="Trebuchet MS"/>
          <w:sz w:val="20"/>
          <w:szCs w:val="16"/>
        </w:rPr>
        <w:t>nal. De facto, a activação dos A</w:t>
      </w:r>
      <w:r w:rsidR="00811894" w:rsidRPr="00811894">
        <w:rPr>
          <w:rFonts w:ascii="Trebuchet MS" w:eastAsiaTheme="minorHAnsi" w:hAnsi="Trebuchet MS"/>
          <w:sz w:val="20"/>
          <w:szCs w:val="16"/>
          <w:vertAlign w:val="subscript"/>
        </w:rPr>
        <w:t>1</w:t>
      </w:r>
      <w:r w:rsidR="00811894">
        <w:rPr>
          <w:rFonts w:ascii="Trebuchet MS" w:eastAsiaTheme="minorHAnsi" w:hAnsi="Trebuchet MS"/>
          <w:sz w:val="20"/>
          <w:szCs w:val="16"/>
        </w:rPr>
        <w:t xml:space="preserve">Rs no inicio da lesão neuronal atenua </w:t>
      </w:r>
      <w:r w:rsidR="00911C32">
        <w:rPr>
          <w:rFonts w:ascii="Trebuchet MS" w:eastAsiaTheme="minorHAnsi" w:hAnsi="Trebuchet MS"/>
          <w:sz w:val="20"/>
          <w:szCs w:val="16"/>
        </w:rPr>
        <w:t>os danos neuronais</w:t>
      </w:r>
      <w:r w:rsidR="00811894">
        <w:rPr>
          <w:rFonts w:ascii="Trebuchet MS" w:eastAsiaTheme="minorHAnsi" w:hAnsi="Trebuchet MS"/>
          <w:sz w:val="20"/>
          <w:szCs w:val="16"/>
        </w:rPr>
        <w:t xml:space="preserve">, </w:t>
      </w:r>
      <w:proofErr w:type="gramStart"/>
      <w:r w:rsidR="00811894">
        <w:rPr>
          <w:rFonts w:ascii="Trebuchet MS" w:eastAsiaTheme="minorHAnsi" w:hAnsi="Trebuchet MS"/>
          <w:sz w:val="20"/>
          <w:szCs w:val="16"/>
        </w:rPr>
        <w:t>enquanto que</w:t>
      </w:r>
      <w:proofErr w:type="gramEnd"/>
      <w:r w:rsidR="00811894">
        <w:rPr>
          <w:rFonts w:ascii="Trebuchet MS" w:eastAsiaTheme="minorHAnsi" w:hAnsi="Trebuchet MS"/>
          <w:sz w:val="20"/>
          <w:szCs w:val="16"/>
        </w:rPr>
        <w:t>, o seu bloqueio agrava as lesões</w:t>
      </w:r>
      <w:r w:rsidR="00911C32">
        <w:rPr>
          <w:rFonts w:ascii="Trebuchet MS" w:eastAsiaTheme="minorHAnsi" w:hAnsi="Trebuchet MS"/>
          <w:sz w:val="20"/>
          <w:szCs w:val="16"/>
        </w:rPr>
        <w:t xml:space="preserve"> neuronais</w:t>
      </w:r>
      <w:r w:rsidR="00811894">
        <w:rPr>
          <w:rFonts w:ascii="Trebuchet MS" w:eastAsiaTheme="minorHAnsi" w:hAnsi="Trebuchet MS"/>
          <w:sz w:val="20"/>
          <w:szCs w:val="16"/>
        </w:rPr>
        <w:t xml:space="preserve"> em animais adultos. No entanto, </w:t>
      </w:r>
      <w:r w:rsidR="00911C32">
        <w:rPr>
          <w:rFonts w:ascii="Trebuchet MS" w:eastAsiaTheme="minorHAnsi" w:hAnsi="Trebuchet MS"/>
          <w:sz w:val="20"/>
          <w:szCs w:val="16"/>
        </w:rPr>
        <w:t xml:space="preserve">durante situações </w:t>
      </w:r>
      <w:r w:rsidR="00CC55ED">
        <w:rPr>
          <w:rFonts w:ascii="Trebuchet MS" w:eastAsiaTheme="minorHAnsi" w:hAnsi="Trebuchet MS"/>
          <w:sz w:val="20"/>
          <w:szCs w:val="16"/>
        </w:rPr>
        <w:t xml:space="preserve">de doenças </w:t>
      </w:r>
      <w:r w:rsidR="00911C32">
        <w:rPr>
          <w:rFonts w:ascii="Trebuchet MS" w:eastAsiaTheme="minorHAnsi" w:hAnsi="Trebuchet MS"/>
          <w:sz w:val="20"/>
          <w:szCs w:val="16"/>
        </w:rPr>
        <w:t>crónicas ocorre</w:t>
      </w:r>
      <w:r w:rsidR="00811894">
        <w:rPr>
          <w:rFonts w:ascii="Trebuchet MS" w:eastAsiaTheme="minorHAnsi" w:hAnsi="Trebuchet MS"/>
          <w:sz w:val="20"/>
          <w:szCs w:val="16"/>
        </w:rPr>
        <w:t xml:space="preserve"> uma diminuição na regulação dos A</w:t>
      </w:r>
      <w:r w:rsidR="00811894" w:rsidRPr="00811894">
        <w:rPr>
          <w:rFonts w:ascii="Trebuchet MS" w:eastAsiaTheme="minorHAnsi" w:hAnsi="Trebuchet MS"/>
          <w:sz w:val="20"/>
          <w:szCs w:val="16"/>
          <w:vertAlign w:val="subscript"/>
        </w:rPr>
        <w:t>1</w:t>
      </w:r>
      <w:r w:rsidR="00811894">
        <w:rPr>
          <w:rFonts w:ascii="Trebuchet MS" w:eastAsiaTheme="minorHAnsi" w:hAnsi="Trebuchet MS"/>
          <w:sz w:val="20"/>
          <w:szCs w:val="16"/>
        </w:rPr>
        <w:t>Rs centrais (</w:t>
      </w:r>
      <w:r w:rsidR="004149DC">
        <w:rPr>
          <w:rFonts w:ascii="Trebuchet MS" w:eastAsiaTheme="minorHAnsi" w:hAnsi="Trebuchet MS"/>
          <w:sz w:val="20"/>
          <w:szCs w:val="16"/>
        </w:rPr>
        <w:t>Para revisão ver</w:t>
      </w:r>
      <w:r w:rsidR="00811894">
        <w:rPr>
          <w:rFonts w:ascii="Trebuchet MS" w:eastAsiaTheme="minorHAnsi" w:hAnsi="Trebuchet MS"/>
          <w:sz w:val="20"/>
          <w:szCs w:val="16"/>
        </w:rPr>
        <w:t xml:space="preserve"> Cunha, 2005). </w:t>
      </w:r>
    </w:p>
    <w:p w:rsidR="005440E0" w:rsidRPr="009E323D" w:rsidRDefault="008E18AB" w:rsidP="00906E66">
      <w:pPr>
        <w:spacing w:line="360" w:lineRule="auto"/>
        <w:ind w:firstLine="708"/>
        <w:jc w:val="both"/>
        <w:rPr>
          <w:rFonts w:ascii="Trebuchet MS" w:eastAsiaTheme="minorHAnsi" w:hAnsi="Trebuchet MS"/>
          <w:sz w:val="20"/>
          <w:szCs w:val="16"/>
        </w:rPr>
      </w:pPr>
      <w:r>
        <w:rPr>
          <w:rFonts w:ascii="Trebuchet MS" w:eastAsiaTheme="minorHAnsi" w:hAnsi="Trebuchet MS"/>
          <w:sz w:val="20"/>
          <w:szCs w:val="16"/>
        </w:rPr>
        <w:t>A a</w:t>
      </w:r>
      <w:r w:rsidR="00677F1B" w:rsidRPr="009E323D">
        <w:rPr>
          <w:rFonts w:ascii="Trebuchet MS" w:eastAsiaTheme="minorHAnsi" w:hAnsi="Trebuchet MS"/>
          <w:sz w:val="20"/>
          <w:szCs w:val="16"/>
        </w:rPr>
        <w:t>ctivação dos A</w:t>
      </w:r>
      <w:r w:rsidR="00677F1B" w:rsidRPr="00997A72">
        <w:rPr>
          <w:rFonts w:ascii="Trebuchet MS" w:eastAsiaTheme="minorHAnsi" w:hAnsi="Trebuchet MS"/>
          <w:sz w:val="20"/>
          <w:szCs w:val="16"/>
          <w:vertAlign w:val="subscript"/>
        </w:rPr>
        <w:t>1</w:t>
      </w:r>
      <w:r w:rsidR="00677F1B" w:rsidRPr="009E323D">
        <w:rPr>
          <w:rFonts w:ascii="Trebuchet MS" w:eastAsiaTheme="minorHAnsi" w:hAnsi="Trebuchet MS"/>
          <w:sz w:val="20"/>
          <w:szCs w:val="16"/>
        </w:rPr>
        <w:t>R pela adenosina endógena desempenha uma acção neuroprotect</w:t>
      </w:r>
      <w:r w:rsidR="00677F1B" w:rsidRPr="009E323D">
        <w:rPr>
          <w:rFonts w:ascii="Trebuchet MS" w:eastAsiaTheme="minorHAnsi" w:hAnsi="Trebuchet MS"/>
          <w:sz w:val="20"/>
          <w:szCs w:val="16"/>
        </w:rPr>
        <w:t>o</w:t>
      </w:r>
      <w:r w:rsidR="00677F1B" w:rsidRPr="009E323D">
        <w:rPr>
          <w:rFonts w:ascii="Trebuchet MS" w:eastAsiaTheme="minorHAnsi" w:hAnsi="Trebuchet MS"/>
          <w:sz w:val="20"/>
          <w:szCs w:val="16"/>
        </w:rPr>
        <w:t xml:space="preserve">ra sob várias condições patofisiológicas incluindo </w:t>
      </w:r>
      <w:r w:rsidR="00177DD6">
        <w:rPr>
          <w:rFonts w:ascii="Trebuchet MS" w:eastAsiaTheme="minorHAnsi" w:hAnsi="Trebuchet MS"/>
          <w:sz w:val="20"/>
          <w:szCs w:val="16"/>
        </w:rPr>
        <w:t xml:space="preserve">a </w:t>
      </w:r>
      <w:r w:rsidR="00677F1B" w:rsidRPr="009E323D">
        <w:rPr>
          <w:rFonts w:ascii="Trebuchet MS" w:eastAsiaTheme="minorHAnsi" w:hAnsi="Trebuchet MS"/>
          <w:sz w:val="20"/>
          <w:szCs w:val="16"/>
        </w:rPr>
        <w:t xml:space="preserve">hipóxia (Eschke </w:t>
      </w:r>
      <w:r w:rsidR="00F96813" w:rsidRPr="009E323D">
        <w:rPr>
          <w:rFonts w:ascii="Trebuchet MS" w:eastAsiaTheme="minorHAnsi" w:hAnsi="Trebuchet MS"/>
          <w:i/>
          <w:sz w:val="20"/>
          <w:szCs w:val="16"/>
        </w:rPr>
        <w:t>et al.</w:t>
      </w:r>
      <w:r w:rsidR="00677F1B" w:rsidRPr="009E323D">
        <w:rPr>
          <w:rFonts w:ascii="Trebuchet MS" w:eastAsiaTheme="minorHAnsi" w:hAnsi="Trebuchet MS"/>
          <w:sz w:val="20"/>
          <w:szCs w:val="16"/>
        </w:rPr>
        <w:t>, 2001).</w:t>
      </w:r>
      <w:r w:rsidR="005440E0" w:rsidRPr="009E323D">
        <w:rPr>
          <w:rFonts w:ascii="Trebuchet MS" w:eastAsiaTheme="minorHAnsi" w:hAnsi="Trebuchet MS"/>
          <w:sz w:val="20"/>
          <w:szCs w:val="16"/>
        </w:rPr>
        <w:t xml:space="preserve"> Ao nível do sistema nervoso, a activação dos receptores A</w:t>
      </w:r>
      <w:r w:rsidR="005440E0" w:rsidRPr="009E323D">
        <w:rPr>
          <w:rFonts w:ascii="Trebuchet MS" w:eastAsiaTheme="minorHAnsi" w:hAnsi="Trebuchet MS"/>
          <w:sz w:val="20"/>
          <w:szCs w:val="16"/>
          <w:vertAlign w:val="subscript"/>
        </w:rPr>
        <w:t>1</w:t>
      </w:r>
      <w:r w:rsidR="005440E0" w:rsidRPr="009E323D">
        <w:rPr>
          <w:rFonts w:ascii="Trebuchet MS" w:eastAsiaTheme="minorHAnsi" w:hAnsi="Trebuchet MS"/>
          <w:sz w:val="20"/>
          <w:szCs w:val="16"/>
        </w:rPr>
        <w:t xml:space="preserve"> reduz a libertação de diversos neurotransmi</w:t>
      </w:r>
      <w:r w:rsidR="005440E0" w:rsidRPr="009E323D">
        <w:rPr>
          <w:rFonts w:ascii="Trebuchet MS" w:eastAsiaTheme="minorHAnsi" w:hAnsi="Trebuchet MS"/>
          <w:sz w:val="20"/>
          <w:szCs w:val="16"/>
        </w:rPr>
        <w:t>s</w:t>
      </w:r>
      <w:r w:rsidR="005440E0" w:rsidRPr="009E323D">
        <w:rPr>
          <w:rFonts w:ascii="Trebuchet MS" w:eastAsiaTheme="minorHAnsi" w:hAnsi="Trebuchet MS"/>
          <w:sz w:val="20"/>
          <w:szCs w:val="16"/>
        </w:rPr>
        <w:t>sores e diminui a excitabilidade neuronal, exercendo também um efeito neuroprotector face a diversas situações de stress. Os receptores A</w:t>
      </w:r>
      <w:r w:rsidR="005440E0" w:rsidRPr="009E323D">
        <w:rPr>
          <w:rFonts w:ascii="Trebuchet MS" w:eastAsiaTheme="minorHAnsi" w:hAnsi="Trebuchet MS"/>
          <w:sz w:val="20"/>
          <w:szCs w:val="16"/>
          <w:vertAlign w:val="subscript"/>
        </w:rPr>
        <w:t>1</w:t>
      </w:r>
      <w:r w:rsidR="005440E0" w:rsidRPr="009E323D">
        <w:rPr>
          <w:rFonts w:ascii="Trebuchet MS" w:eastAsiaTheme="minorHAnsi" w:hAnsi="Trebuchet MS"/>
          <w:sz w:val="20"/>
          <w:szCs w:val="16"/>
        </w:rPr>
        <w:t xml:space="preserve"> da adenosina estão acoplados negativamente à ciclase do adenililo via proteínas G</w:t>
      </w:r>
      <w:r w:rsidR="00510422">
        <w:rPr>
          <w:rFonts w:ascii="Trebuchet MS" w:eastAsiaTheme="minorHAnsi" w:hAnsi="Trebuchet MS"/>
          <w:sz w:val="20"/>
          <w:szCs w:val="16"/>
          <w:vertAlign w:val="subscript"/>
        </w:rPr>
        <w:t>i/</w:t>
      </w:r>
      <w:r w:rsidR="005440E0" w:rsidRPr="009E323D">
        <w:rPr>
          <w:rFonts w:ascii="Trebuchet MS" w:eastAsiaTheme="minorHAnsi" w:hAnsi="Trebuchet MS"/>
          <w:sz w:val="20"/>
          <w:szCs w:val="16"/>
          <w:vertAlign w:val="subscript"/>
        </w:rPr>
        <w:t>o</w:t>
      </w:r>
      <w:r w:rsidR="005440E0" w:rsidRPr="009E323D">
        <w:rPr>
          <w:rFonts w:ascii="Trebuchet MS" w:eastAsiaTheme="minorHAnsi" w:hAnsi="Trebuchet MS"/>
          <w:sz w:val="20"/>
          <w:szCs w:val="16"/>
        </w:rPr>
        <w:t>, podendo no entanto accionar outras vias de segundo mensageiro</w:t>
      </w:r>
      <w:r w:rsidR="001845F4">
        <w:rPr>
          <w:rFonts w:ascii="Trebuchet MS" w:eastAsiaTheme="minorHAnsi" w:hAnsi="Trebuchet MS"/>
          <w:sz w:val="20"/>
          <w:szCs w:val="16"/>
        </w:rPr>
        <w:t xml:space="preserve"> (</w:t>
      </w:r>
      <w:r w:rsidR="00296679">
        <w:rPr>
          <w:rFonts w:ascii="Trebuchet MS" w:eastAsiaTheme="minorHAnsi" w:hAnsi="Trebuchet MS"/>
          <w:sz w:val="20"/>
          <w:szCs w:val="16"/>
        </w:rPr>
        <w:t>Para revisão ver Picano and Abbracchio, 2000; Sebastião and Ribeiro, 2000</w:t>
      </w:r>
      <w:r w:rsidR="001845F4">
        <w:rPr>
          <w:rFonts w:ascii="Trebuchet MS" w:eastAsiaTheme="minorHAnsi" w:hAnsi="Trebuchet MS"/>
          <w:sz w:val="20"/>
          <w:szCs w:val="16"/>
        </w:rPr>
        <w:t>)</w:t>
      </w:r>
      <w:r w:rsidR="005440E0" w:rsidRPr="009E323D">
        <w:rPr>
          <w:rFonts w:ascii="Trebuchet MS" w:eastAsiaTheme="minorHAnsi" w:hAnsi="Trebuchet MS"/>
          <w:sz w:val="20"/>
          <w:szCs w:val="16"/>
        </w:rPr>
        <w:t>.</w:t>
      </w:r>
      <w:r w:rsidR="00906E66" w:rsidRPr="009E323D">
        <w:rPr>
          <w:rFonts w:ascii="Trebuchet MS" w:eastAsiaTheme="minorHAnsi" w:hAnsi="Trebuchet MS"/>
          <w:sz w:val="20"/>
          <w:szCs w:val="16"/>
        </w:rPr>
        <w:t xml:space="preserve"> </w:t>
      </w:r>
      <w:r w:rsidR="005440E0" w:rsidRPr="009E323D">
        <w:rPr>
          <w:rFonts w:ascii="Trebuchet MS" w:eastAsiaTheme="minorHAnsi" w:hAnsi="Trebuchet MS"/>
          <w:sz w:val="20"/>
          <w:szCs w:val="16"/>
        </w:rPr>
        <w:t>Ao nível do sistema nervoso central</w:t>
      </w:r>
      <w:r>
        <w:rPr>
          <w:rFonts w:ascii="Trebuchet MS" w:eastAsiaTheme="minorHAnsi" w:hAnsi="Trebuchet MS"/>
          <w:sz w:val="20"/>
          <w:szCs w:val="16"/>
        </w:rPr>
        <w:t>,</w:t>
      </w:r>
      <w:r w:rsidR="005440E0" w:rsidRPr="009E323D">
        <w:rPr>
          <w:rFonts w:ascii="Trebuchet MS" w:eastAsiaTheme="minorHAnsi" w:hAnsi="Trebuchet MS"/>
          <w:sz w:val="20"/>
          <w:szCs w:val="16"/>
        </w:rPr>
        <w:t xml:space="preserve"> a concentração de receptores A</w:t>
      </w:r>
      <w:r w:rsidR="005440E0" w:rsidRPr="009E323D">
        <w:rPr>
          <w:rFonts w:ascii="Trebuchet MS" w:eastAsiaTheme="minorHAnsi" w:hAnsi="Trebuchet MS"/>
          <w:sz w:val="20"/>
          <w:szCs w:val="16"/>
          <w:vertAlign w:val="subscript"/>
        </w:rPr>
        <w:t>1</w:t>
      </w:r>
      <w:r w:rsidR="005440E0" w:rsidRPr="009E323D">
        <w:rPr>
          <w:rFonts w:ascii="Trebuchet MS" w:eastAsiaTheme="minorHAnsi" w:hAnsi="Trebuchet MS"/>
          <w:sz w:val="20"/>
          <w:szCs w:val="16"/>
        </w:rPr>
        <w:t xml:space="preserve"> é mais elevada ao nível do hipocampo</w:t>
      </w:r>
      <w:r w:rsidR="00B65DE2">
        <w:rPr>
          <w:rFonts w:ascii="Trebuchet MS" w:eastAsiaTheme="minorHAnsi" w:hAnsi="Trebuchet MS"/>
          <w:sz w:val="20"/>
          <w:szCs w:val="16"/>
        </w:rPr>
        <w:t xml:space="preserve"> (Fig. </w:t>
      </w:r>
      <w:r w:rsidR="002F49DB">
        <w:rPr>
          <w:rFonts w:ascii="Trebuchet MS" w:eastAsiaTheme="minorHAnsi" w:hAnsi="Trebuchet MS"/>
          <w:sz w:val="20"/>
          <w:szCs w:val="16"/>
        </w:rPr>
        <w:t>1</w:t>
      </w:r>
      <w:r w:rsidR="00B65DE2">
        <w:rPr>
          <w:rFonts w:ascii="Trebuchet MS" w:eastAsiaTheme="minorHAnsi" w:hAnsi="Trebuchet MS"/>
          <w:sz w:val="20"/>
          <w:szCs w:val="16"/>
        </w:rPr>
        <w:t>.</w:t>
      </w:r>
      <w:r w:rsidR="004149DC">
        <w:rPr>
          <w:rFonts w:ascii="Trebuchet MS" w:eastAsiaTheme="minorHAnsi" w:hAnsi="Trebuchet MS"/>
          <w:sz w:val="20"/>
          <w:szCs w:val="16"/>
        </w:rPr>
        <w:t>4</w:t>
      </w:r>
      <w:r w:rsidR="00B65DE2">
        <w:rPr>
          <w:rFonts w:ascii="Trebuchet MS" w:eastAsiaTheme="minorHAnsi" w:hAnsi="Trebuchet MS"/>
          <w:sz w:val="20"/>
          <w:szCs w:val="16"/>
        </w:rPr>
        <w:t>)</w:t>
      </w:r>
      <w:r w:rsidR="005440E0" w:rsidRPr="009E323D">
        <w:rPr>
          <w:rFonts w:ascii="Trebuchet MS" w:eastAsiaTheme="minorHAnsi" w:hAnsi="Trebuchet MS"/>
          <w:sz w:val="20"/>
          <w:szCs w:val="16"/>
        </w:rPr>
        <w:t>, constituindo assim esta região um bom modelo para o estudo destes receptores.</w:t>
      </w:r>
    </w:p>
    <w:p w:rsidR="002A3375" w:rsidRDefault="00C856BB" w:rsidP="002A3375">
      <w:pPr>
        <w:spacing w:line="360" w:lineRule="auto"/>
        <w:ind w:firstLine="708"/>
        <w:jc w:val="both"/>
        <w:rPr>
          <w:rFonts w:ascii="Trebuchet MS" w:eastAsiaTheme="minorHAnsi" w:hAnsi="Trebuchet MS"/>
          <w:sz w:val="20"/>
          <w:szCs w:val="16"/>
        </w:rPr>
      </w:pPr>
      <w:r w:rsidRPr="009E323D">
        <w:rPr>
          <w:rFonts w:ascii="Trebuchet MS" w:eastAsiaTheme="minorHAnsi" w:hAnsi="Trebuchet MS"/>
          <w:sz w:val="20"/>
          <w:szCs w:val="16"/>
        </w:rPr>
        <w:t xml:space="preserve">A </w:t>
      </w:r>
      <w:r w:rsidRPr="009E323D">
        <w:rPr>
          <w:rFonts w:ascii="Trebuchet MS" w:eastAsiaTheme="minorHAnsi" w:hAnsi="Trebuchet MS"/>
          <w:b/>
          <w:sz w:val="20"/>
          <w:szCs w:val="16"/>
        </w:rPr>
        <w:t>distribuição</w:t>
      </w:r>
      <w:r w:rsidRPr="009E323D">
        <w:rPr>
          <w:rFonts w:ascii="Trebuchet MS" w:eastAsiaTheme="minorHAnsi" w:hAnsi="Trebuchet MS"/>
          <w:sz w:val="20"/>
          <w:szCs w:val="16"/>
        </w:rPr>
        <w:t xml:space="preserve"> dos diferentes tipos de receptores de adenosina</w:t>
      </w:r>
      <w:r w:rsidR="005830F2">
        <w:rPr>
          <w:rFonts w:ascii="Trebuchet MS" w:eastAsiaTheme="minorHAnsi" w:hAnsi="Trebuchet MS"/>
          <w:sz w:val="20"/>
          <w:szCs w:val="16"/>
        </w:rPr>
        <w:t xml:space="preserve"> no </w:t>
      </w:r>
      <w:r w:rsidR="001845F4">
        <w:rPr>
          <w:rFonts w:ascii="Trebuchet MS" w:eastAsiaTheme="minorHAnsi" w:hAnsi="Trebuchet MS"/>
          <w:sz w:val="20"/>
          <w:szCs w:val="16"/>
        </w:rPr>
        <w:t>cérebro</w:t>
      </w:r>
      <w:r w:rsidRPr="009E323D">
        <w:rPr>
          <w:rFonts w:ascii="Trebuchet MS" w:eastAsiaTheme="minorHAnsi" w:hAnsi="Trebuchet MS"/>
          <w:sz w:val="20"/>
          <w:szCs w:val="16"/>
        </w:rPr>
        <w:t xml:space="preserve"> é represe</w:t>
      </w:r>
      <w:r w:rsidRPr="009E323D">
        <w:rPr>
          <w:rFonts w:ascii="Trebuchet MS" w:eastAsiaTheme="minorHAnsi" w:hAnsi="Trebuchet MS"/>
          <w:sz w:val="20"/>
          <w:szCs w:val="16"/>
        </w:rPr>
        <w:t>n</w:t>
      </w:r>
      <w:r w:rsidRPr="009E323D">
        <w:rPr>
          <w:rFonts w:ascii="Trebuchet MS" w:eastAsiaTheme="minorHAnsi" w:hAnsi="Trebuchet MS"/>
          <w:sz w:val="20"/>
          <w:szCs w:val="16"/>
        </w:rPr>
        <w:t xml:space="preserve">tada na Fig. </w:t>
      </w:r>
      <w:r w:rsidR="002F49DB">
        <w:rPr>
          <w:rFonts w:ascii="Trebuchet MS" w:eastAsiaTheme="minorHAnsi" w:hAnsi="Trebuchet MS"/>
          <w:sz w:val="20"/>
          <w:szCs w:val="16"/>
        </w:rPr>
        <w:t>1</w:t>
      </w:r>
      <w:r w:rsidRPr="009E323D">
        <w:rPr>
          <w:rFonts w:ascii="Trebuchet MS" w:eastAsiaTheme="minorHAnsi" w:hAnsi="Trebuchet MS"/>
          <w:sz w:val="20"/>
          <w:szCs w:val="16"/>
        </w:rPr>
        <w:t>.</w:t>
      </w:r>
      <w:r w:rsidR="004149DC">
        <w:rPr>
          <w:rFonts w:ascii="Trebuchet MS" w:eastAsiaTheme="minorHAnsi" w:hAnsi="Trebuchet MS"/>
          <w:sz w:val="20"/>
          <w:szCs w:val="16"/>
        </w:rPr>
        <w:t>4</w:t>
      </w:r>
      <w:r w:rsidRPr="009E323D">
        <w:rPr>
          <w:rFonts w:ascii="Trebuchet MS" w:eastAsiaTheme="minorHAnsi" w:hAnsi="Trebuchet MS"/>
          <w:sz w:val="20"/>
          <w:szCs w:val="16"/>
        </w:rPr>
        <w:t>. O receptor A</w:t>
      </w:r>
      <w:r w:rsidRPr="00237833">
        <w:rPr>
          <w:rFonts w:ascii="Trebuchet MS" w:eastAsiaTheme="minorHAnsi" w:hAnsi="Trebuchet MS"/>
          <w:sz w:val="20"/>
          <w:szCs w:val="16"/>
          <w:vertAlign w:val="subscript"/>
        </w:rPr>
        <w:t>1</w:t>
      </w:r>
      <w:r w:rsidRPr="009E323D">
        <w:rPr>
          <w:rFonts w:ascii="Trebuchet MS" w:eastAsiaTheme="minorHAnsi" w:hAnsi="Trebuchet MS"/>
          <w:sz w:val="20"/>
          <w:szCs w:val="16"/>
        </w:rPr>
        <w:t xml:space="preserve"> </w:t>
      </w:r>
      <w:r w:rsidR="005528EA">
        <w:rPr>
          <w:rFonts w:ascii="Trebuchet MS" w:eastAsiaTheme="minorHAnsi" w:hAnsi="Trebuchet MS"/>
          <w:sz w:val="20"/>
          <w:szCs w:val="16"/>
        </w:rPr>
        <w:t xml:space="preserve">é o mais abundante no cérebro e </w:t>
      </w:r>
      <w:r w:rsidRPr="009E323D">
        <w:rPr>
          <w:rFonts w:ascii="Trebuchet MS" w:eastAsiaTheme="minorHAnsi" w:hAnsi="Trebuchet MS"/>
          <w:sz w:val="20"/>
          <w:szCs w:val="16"/>
        </w:rPr>
        <w:t>é altamente expresso no có</w:t>
      </w:r>
      <w:r w:rsidRPr="009E323D">
        <w:rPr>
          <w:rFonts w:ascii="Trebuchet MS" w:eastAsiaTheme="minorHAnsi" w:hAnsi="Trebuchet MS"/>
          <w:sz w:val="20"/>
          <w:szCs w:val="16"/>
        </w:rPr>
        <w:t>r</w:t>
      </w:r>
      <w:r w:rsidRPr="009E323D">
        <w:rPr>
          <w:rFonts w:ascii="Trebuchet MS" w:eastAsiaTheme="minorHAnsi" w:hAnsi="Trebuchet MS"/>
          <w:sz w:val="20"/>
          <w:szCs w:val="16"/>
        </w:rPr>
        <w:t>tex, cerebelo, hipocampo e coluna vertebral. Estes receptores são encontrados tanto no ne</w:t>
      </w:r>
      <w:r w:rsidRPr="009E323D">
        <w:rPr>
          <w:rFonts w:ascii="Trebuchet MS" w:eastAsiaTheme="minorHAnsi" w:hAnsi="Trebuchet MS"/>
          <w:sz w:val="20"/>
          <w:szCs w:val="16"/>
        </w:rPr>
        <w:t>u</w:t>
      </w:r>
      <w:r w:rsidRPr="009E323D">
        <w:rPr>
          <w:rFonts w:ascii="Trebuchet MS" w:eastAsiaTheme="minorHAnsi" w:hAnsi="Trebuchet MS"/>
          <w:sz w:val="20"/>
          <w:szCs w:val="16"/>
        </w:rPr>
        <w:t>rónio pré- como no pós-sináptico (</w:t>
      </w:r>
      <w:r w:rsidR="004149DC">
        <w:rPr>
          <w:rFonts w:ascii="Trebuchet MS" w:eastAsiaTheme="minorHAnsi" w:hAnsi="Trebuchet MS"/>
          <w:sz w:val="20"/>
          <w:szCs w:val="16"/>
        </w:rPr>
        <w:t>Para revisão ver</w:t>
      </w:r>
      <w:r w:rsidRPr="009E323D">
        <w:rPr>
          <w:rFonts w:ascii="Trebuchet MS" w:eastAsiaTheme="minorHAnsi" w:hAnsi="Trebuchet MS"/>
          <w:sz w:val="20"/>
          <w:szCs w:val="16"/>
        </w:rPr>
        <w:t xml:space="preserve"> Ribeiro </w:t>
      </w:r>
      <w:r w:rsidR="00F96813" w:rsidRPr="009E323D">
        <w:rPr>
          <w:rFonts w:ascii="Trebuchet MS" w:eastAsiaTheme="minorHAnsi" w:hAnsi="Trebuchet MS"/>
          <w:i/>
          <w:sz w:val="20"/>
          <w:szCs w:val="16"/>
        </w:rPr>
        <w:t>et al.</w:t>
      </w:r>
      <w:r w:rsidRPr="009E323D">
        <w:rPr>
          <w:rFonts w:ascii="Trebuchet MS" w:eastAsiaTheme="minorHAnsi" w:hAnsi="Trebuchet MS"/>
          <w:sz w:val="20"/>
          <w:szCs w:val="16"/>
        </w:rPr>
        <w:t xml:space="preserve">, 2003). </w:t>
      </w:r>
      <w:r w:rsidR="002A3375" w:rsidRPr="009E323D">
        <w:rPr>
          <w:rFonts w:ascii="Trebuchet MS" w:eastAsiaTheme="minorHAnsi" w:hAnsi="Trebuchet MS"/>
          <w:sz w:val="20"/>
          <w:szCs w:val="16"/>
        </w:rPr>
        <w:t>Os receptores A</w:t>
      </w:r>
      <w:r w:rsidR="002A3375" w:rsidRPr="00237833">
        <w:rPr>
          <w:rFonts w:ascii="Trebuchet MS" w:eastAsiaTheme="minorHAnsi" w:hAnsi="Trebuchet MS"/>
          <w:sz w:val="20"/>
          <w:szCs w:val="16"/>
          <w:vertAlign w:val="subscript"/>
        </w:rPr>
        <w:t>2A</w:t>
      </w:r>
      <w:r w:rsidR="002A3375" w:rsidRPr="009E323D">
        <w:rPr>
          <w:rFonts w:ascii="Trebuchet MS" w:eastAsiaTheme="minorHAnsi" w:hAnsi="Trebuchet MS"/>
          <w:sz w:val="20"/>
          <w:szCs w:val="16"/>
        </w:rPr>
        <w:t xml:space="preserve"> são expressos, abundantemente, nos gânglios basais de várias espécies, incluindo humanos (</w:t>
      </w:r>
      <w:r w:rsidR="002A3375">
        <w:rPr>
          <w:rFonts w:ascii="Trebuchet MS" w:eastAsiaTheme="minorHAnsi" w:hAnsi="Trebuchet MS"/>
          <w:sz w:val="20"/>
          <w:szCs w:val="16"/>
        </w:rPr>
        <w:t>Para revisão ver</w:t>
      </w:r>
      <w:r w:rsidR="002A3375" w:rsidRPr="009E323D">
        <w:rPr>
          <w:rFonts w:ascii="Trebuchet MS" w:eastAsiaTheme="minorHAnsi" w:hAnsi="Trebuchet MS"/>
          <w:sz w:val="20"/>
          <w:szCs w:val="16"/>
        </w:rPr>
        <w:t xml:space="preserve"> Fredholm, 2001). </w:t>
      </w:r>
    </w:p>
    <w:p w:rsidR="002A3375" w:rsidRDefault="002A3375" w:rsidP="002A3375">
      <w:pPr>
        <w:spacing w:line="360" w:lineRule="auto"/>
        <w:ind w:firstLine="708"/>
        <w:jc w:val="both"/>
        <w:rPr>
          <w:rFonts w:ascii="Trebuchet MS" w:eastAsiaTheme="minorHAnsi" w:hAnsi="Trebuchet MS"/>
          <w:sz w:val="20"/>
          <w:szCs w:val="16"/>
        </w:rPr>
      </w:pPr>
      <w:r w:rsidRPr="009E323D">
        <w:rPr>
          <w:rFonts w:ascii="Trebuchet MS" w:eastAsiaTheme="minorHAnsi" w:hAnsi="Trebuchet MS"/>
          <w:sz w:val="20"/>
          <w:szCs w:val="16"/>
        </w:rPr>
        <w:t>Os receptores A</w:t>
      </w:r>
      <w:r w:rsidRPr="00237833">
        <w:rPr>
          <w:rFonts w:ascii="Trebuchet MS" w:eastAsiaTheme="minorHAnsi" w:hAnsi="Trebuchet MS"/>
          <w:sz w:val="20"/>
          <w:szCs w:val="16"/>
          <w:vertAlign w:val="subscript"/>
        </w:rPr>
        <w:t>2A</w:t>
      </w:r>
      <w:r w:rsidRPr="009E323D">
        <w:rPr>
          <w:rFonts w:ascii="Trebuchet MS" w:eastAsiaTheme="minorHAnsi" w:hAnsi="Trebuchet MS"/>
          <w:sz w:val="20"/>
          <w:szCs w:val="16"/>
        </w:rPr>
        <w:t xml:space="preserve"> são expressos em neurónios GABAérgicos do estriado e bolbo olfa</w:t>
      </w:r>
      <w:r w:rsidRPr="009E323D">
        <w:rPr>
          <w:rFonts w:ascii="Trebuchet MS" w:eastAsiaTheme="minorHAnsi" w:hAnsi="Trebuchet MS"/>
          <w:sz w:val="20"/>
          <w:szCs w:val="16"/>
        </w:rPr>
        <w:t>c</w:t>
      </w:r>
      <w:r w:rsidRPr="009E323D">
        <w:rPr>
          <w:rFonts w:ascii="Trebuchet MS" w:eastAsiaTheme="minorHAnsi" w:hAnsi="Trebuchet MS"/>
          <w:sz w:val="20"/>
          <w:szCs w:val="16"/>
        </w:rPr>
        <w:t>tivo, sendo expressos em baixos níveis noutras áreas do cérebro. Os receptores A</w:t>
      </w:r>
      <w:r w:rsidRPr="00237833">
        <w:rPr>
          <w:rFonts w:ascii="Trebuchet MS" w:eastAsiaTheme="minorHAnsi" w:hAnsi="Trebuchet MS"/>
          <w:sz w:val="20"/>
          <w:szCs w:val="16"/>
          <w:vertAlign w:val="subscript"/>
        </w:rPr>
        <w:t>2B</w:t>
      </w:r>
      <w:r w:rsidRPr="009E323D">
        <w:rPr>
          <w:rFonts w:ascii="Trebuchet MS" w:eastAsiaTheme="minorHAnsi" w:hAnsi="Trebuchet MS"/>
          <w:sz w:val="20"/>
          <w:szCs w:val="16"/>
        </w:rPr>
        <w:t xml:space="preserve"> possuem baixos níveis de expressão no cérebro</w:t>
      </w:r>
      <w:r>
        <w:rPr>
          <w:rFonts w:ascii="Trebuchet MS" w:eastAsiaTheme="minorHAnsi" w:hAnsi="Trebuchet MS"/>
          <w:sz w:val="20"/>
          <w:szCs w:val="16"/>
        </w:rPr>
        <w:t>. O</w:t>
      </w:r>
      <w:r w:rsidRPr="009E323D">
        <w:rPr>
          <w:rFonts w:ascii="Trebuchet MS" w:eastAsiaTheme="minorHAnsi" w:hAnsi="Trebuchet MS"/>
          <w:sz w:val="20"/>
          <w:szCs w:val="16"/>
        </w:rPr>
        <w:t xml:space="preserve"> A</w:t>
      </w:r>
      <w:r w:rsidRPr="00237833">
        <w:rPr>
          <w:rFonts w:ascii="Trebuchet MS" w:eastAsiaTheme="minorHAnsi" w:hAnsi="Trebuchet MS"/>
          <w:sz w:val="20"/>
          <w:szCs w:val="16"/>
          <w:vertAlign w:val="subscript"/>
        </w:rPr>
        <w:t>3</w:t>
      </w:r>
      <w:r>
        <w:rPr>
          <w:rFonts w:ascii="Trebuchet MS" w:eastAsiaTheme="minorHAnsi" w:hAnsi="Trebuchet MS"/>
          <w:sz w:val="20"/>
          <w:szCs w:val="16"/>
        </w:rPr>
        <w:t xml:space="preserve">R </w:t>
      </w:r>
      <w:r w:rsidRPr="009E323D">
        <w:rPr>
          <w:rFonts w:ascii="Trebuchet MS" w:eastAsiaTheme="minorHAnsi" w:hAnsi="Trebuchet MS"/>
          <w:sz w:val="20"/>
          <w:szCs w:val="16"/>
        </w:rPr>
        <w:t xml:space="preserve">aparentemente apresenta níveis de expressão </w:t>
      </w:r>
      <w:r w:rsidRPr="009E323D">
        <w:rPr>
          <w:rFonts w:ascii="Trebuchet MS" w:eastAsiaTheme="minorHAnsi" w:hAnsi="Trebuchet MS"/>
          <w:sz w:val="20"/>
          <w:szCs w:val="16"/>
        </w:rPr>
        <w:lastRenderedPageBreak/>
        <w:t>intermédios no cerebelo e hipocampo humano e baixos níveis na maior parte do cérebro. Os receptores de adenosina estão também presentes no sistema nervoso periférico (</w:t>
      </w:r>
      <w:r>
        <w:rPr>
          <w:rFonts w:ascii="Trebuchet MS" w:eastAsiaTheme="minorHAnsi" w:hAnsi="Trebuchet MS"/>
          <w:sz w:val="20"/>
          <w:szCs w:val="16"/>
        </w:rPr>
        <w:t>Para revisão ver</w:t>
      </w:r>
      <w:r w:rsidRPr="009E323D">
        <w:rPr>
          <w:rFonts w:ascii="Trebuchet MS" w:eastAsiaTheme="minorHAnsi" w:hAnsi="Trebuchet MS"/>
          <w:sz w:val="20"/>
          <w:szCs w:val="16"/>
        </w:rPr>
        <w:t xml:space="preserve"> Ribeiro </w:t>
      </w:r>
      <w:r w:rsidRPr="009E323D">
        <w:rPr>
          <w:rFonts w:ascii="Trebuchet MS" w:eastAsiaTheme="minorHAnsi" w:hAnsi="Trebuchet MS"/>
          <w:i/>
          <w:sz w:val="20"/>
          <w:szCs w:val="16"/>
        </w:rPr>
        <w:t>et al.</w:t>
      </w:r>
      <w:r w:rsidRPr="009E323D">
        <w:rPr>
          <w:rFonts w:ascii="Trebuchet MS" w:eastAsiaTheme="minorHAnsi" w:hAnsi="Trebuchet MS"/>
          <w:sz w:val="20"/>
          <w:szCs w:val="16"/>
        </w:rPr>
        <w:t xml:space="preserve">, 2000). </w:t>
      </w:r>
    </w:p>
    <w:p w:rsidR="00237833" w:rsidRPr="009E323D" w:rsidRDefault="00237833" w:rsidP="00C3702E">
      <w:pPr>
        <w:spacing w:line="360" w:lineRule="auto"/>
        <w:jc w:val="center"/>
        <w:rPr>
          <w:rFonts w:ascii="Trebuchet MS" w:eastAsiaTheme="minorHAnsi" w:hAnsi="Trebuchet MS"/>
          <w:sz w:val="20"/>
          <w:szCs w:val="16"/>
        </w:rPr>
      </w:pPr>
      <w:r w:rsidRPr="00237833">
        <w:rPr>
          <w:rFonts w:ascii="Trebuchet MS" w:eastAsiaTheme="minorHAnsi" w:hAnsi="Trebuchet MS"/>
          <w:noProof/>
          <w:sz w:val="20"/>
          <w:szCs w:val="16"/>
          <w:lang w:eastAsia="pt-PT"/>
        </w:rPr>
        <w:drawing>
          <wp:inline distT="0" distB="0" distL="0" distR="0">
            <wp:extent cx="3924795" cy="2488134"/>
            <wp:effectExtent l="19050" t="0" r="0" b="0"/>
            <wp:docPr id="54"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srcRect/>
                    <a:stretch>
                      <a:fillRect/>
                    </a:stretch>
                  </pic:blipFill>
                  <pic:spPr bwMode="auto">
                    <a:xfrm>
                      <a:off x="0" y="0"/>
                      <a:ext cx="3931839" cy="2492599"/>
                    </a:xfrm>
                    <a:prstGeom prst="rect">
                      <a:avLst/>
                    </a:prstGeom>
                    <a:noFill/>
                    <a:ln w="9525">
                      <a:noFill/>
                      <a:miter lim="800000"/>
                      <a:headEnd/>
                      <a:tailEnd/>
                    </a:ln>
                  </pic:spPr>
                </pic:pic>
              </a:graphicData>
            </a:graphic>
          </wp:inline>
        </w:drawing>
      </w:r>
    </w:p>
    <w:p w:rsidR="00237833" w:rsidRDefault="00237833" w:rsidP="00560D43">
      <w:pPr>
        <w:pStyle w:val="Corpodetexto"/>
        <w:ind w:left="426" w:right="567" w:hanging="1"/>
        <w:jc w:val="center"/>
        <w:rPr>
          <w:rFonts w:ascii="Trebuchet MS" w:hAnsi="Trebuchet MS"/>
          <w:sz w:val="18"/>
          <w:szCs w:val="22"/>
        </w:rPr>
      </w:pPr>
      <w:r w:rsidRPr="009E323D">
        <w:rPr>
          <w:rFonts w:ascii="Trebuchet MS" w:hAnsi="Trebuchet MS"/>
          <w:sz w:val="18"/>
          <w:szCs w:val="22"/>
        </w:rPr>
        <w:t xml:space="preserve">Fig. </w:t>
      </w:r>
      <w:r w:rsidR="002441ED">
        <w:rPr>
          <w:rFonts w:ascii="Trebuchet MS" w:hAnsi="Trebuchet MS"/>
          <w:sz w:val="18"/>
          <w:szCs w:val="22"/>
        </w:rPr>
        <w:t>1</w:t>
      </w:r>
      <w:r w:rsidRPr="009E323D">
        <w:rPr>
          <w:rFonts w:ascii="Trebuchet MS" w:hAnsi="Trebuchet MS"/>
          <w:sz w:val="18"/>
          <w:szCs w:val="22"/>
        </w:rPr>
        <w:t>.</w:t>
      </w:r>
      <w:r w:rsidR="004149DC">
        <w:rPr>
          <w:rFonts w:ascii="Trebuchet MS" w:hAnsi="Trebuchet MS"/>
          <w:sz w:val="18"/>
          <w:szCs w:val="22"/>
        </w:rPr>
        <w:t>4</w:t>
      </w:r>
      <w:r w:rsidRPr="009E323D">
        <w:rPr>
          <w:rFonts w:ascii="Trebuchet MS" w:hAnsi="Trebuchet MS"/>
          <w:sz w:val="18"/>
          <w:szCs w:val="22"/>
        </w:rPr>
        <w:t>. Distribuição dos receptores de adenosina de elevada afinidade (A</w:t>
      </w:r>
      <w:r w:rsidRPr="00237833">
        <w:rPr>
          <w:rFonts w:ascii="Trebuchet MS" w:hAnsi="Trebuchet MS"/>
          <w:sz w:val="18"/>
          <w:szCs w:val="22"/>
          <w:vertAlign w:val="subscript"/>
        </w:rPr>
        <w:t>1</w:t>
      </w:r>
      <w:r w:rsidRPr="009E323D">
        <w:rPr>
          <w:rFonts w:ascii="Trebuchet MS" w:hAnsi="Trebuchet MS"/>
          <w:sz w:val="18"/>
          <w:szCs w:val="22"/>
        </w:rPr>
        <w:t>, A</w:t>
      </w:r>
      <w:r w:rsidRPr="00237833">
        <w:rPr>
          <w:rFonts w:ascii="Trebuchet MS" w:hAnsi="Trebuchet MS"/>
          <w:sz w:val="18"/>
          <w:szCs w:val="22"/>
          <w:vertAlign w:val="subscript"/>
        </w:rPr>
        <w:t>2A</w:t>
      </w:r>
      <w:r w:rsidRPr="009E323D">
        <w:rPr>
          <w:rFonts w:ascii="Trebuchet MS" w:hAnsi="Trebuchet MS"/>
          <w:sz w:val="18"/>
          <w:szCs w:val="22"/>
        </w:rPr>
        <w:t xml:space="preserve"> e A</w:t>
      </w:r>
      <w:r w:rsidRPr="00237833">
        <w:rPr>
          <w:rFonts w:ascii="Trebuchet MS" w:hAnsi="Trebuchet MS"/>
          <w:sz w:val="18"/>
          <w:szCs w:val="22"/>
          <w:vertAlign w:val="subscript"/>
        </w:rPr>
        <w:t>3</w:t>
      </w:r>
      <w:r w:rsidRPr="009E323D">
        <w:rPr>
          <w:rFonts w:ascii="Trebuchet MS" w:hAnsi="Trebuchet MS"/>
          <w:sz w:val="18"/>
          <w:szCs w:val="22"/>
        </w:rPr>
        <w:t xml:space="preserve"> hum</w:t>
      </w:r>
      <w:r w:rsidRPr="009E323D">
        <w:rPr>
          <w:rFonts w:ascii="Trebuchet MS" w:hAnsi="Trebuchet MS"/>
          <w:sz w:val="18"/>
          <w:szCs w:val="22"/>
        </w:rPr>
        <w:t>a</w:t>
      </w:r>
      <w:r w:rsidRPr="009E323D">
        <w:rPr>
          <w:rFonts w:ascii="Trebuchet MS" w:hAnsi="Trebuchet MS"/>
          <w:sz w:val="18"/>
          <w:szCs w:val="22"/>
        </w:rPr>
        <w:t xml:space="preserve">nos) nas principais regiões do sistema nervoso central, onde a adenosina tem sido proposta interferir com disfunções cerebrais e </w:t>
      </w:r>
      <w:r w:rsidR="00177DD6">
        <w:rPr>
          <w:rFonts w:ascii="Trebuchet MS" w:hAnsi="Trebuchet MS"/>
          <w:sz w:val="18"/>
          <w:szCs w:val="22"/>
        </w:rPr>
        <w:t>algumas patologias</w:t>
      </w:r>
      <w:r w:rsidRPr="009E323D">
        <w:rPr>
          <w:rFonts w:ascii="Trebuchet MS" w:hAnsi="Trebuchet MS"/>
          <w:sz w:val="18"/>
          <w:szCs w:val="22"/>
        </w:rPr>
        <w:t xml:space="preserve"> (Adaptado de Ribeiro </w:t>
      </w:r>
      <w:r w:rsidRPr="009E323D">
        <w:rPr>
          <w:rFonts w:ascii="Trebuchet MS" w:hAnsi="Trebuchet MS"/>
          <w:i/>
          <w:sz w:val="18"/>
          <w:szCs w:val="22"/>
        </w:rPr>
        <w:t>et al.</w:t>
      </w:r>
      <w:r w:rsidRPr="009E323D">
        <w:rPr>
          <w:rFonts w:ascii="Trebuchet MS" w:hAnsi="Trebuchet MS"/>
          <w:sz w:val="18"/>
          <w:szCs w:val="22"/>
        </w:rPr>
        <w:t>, 2003).</w:t>
      </w:r>
    </w:p>
    <w:p w:rsidR="002C3455" w:rsidRDefault="002C3455" w:rsidP="002C3455">
      <w:pPr>
        <w:spacing w:line="360" w:lineRule="auto"/>
        <w:ind w:firstLine="708"/>
        <w:jc w:val="both"/>
        <w:rPr>
          <w:rFonts w:ascii="Trebuchet MS" w:eastAsiaTheme="minorHAnsi" w:hAnsi="Trebuchet MS"/>
          <w:sz w:val="20"/>
          <w:szCs w:val="16"/>
        </w:rPr>
      </w:pPr>
    </w:p>
    <w:p w:rsidR="00BE03DC" w:rsidRPr="002861BA" w:rsidRDefault="00BE03DC" w:rsidP="00BE03DC">
      <w:pPr>
        <w:spacing w:after="240"/>
        <w:ind w:firstLine="708"/>
        <w:rPr>
          <w:rFonts w:ascii="Trebuchet MS" w:hAnsi="Trebuchet MS"/>
          <w:b/>
          <w:shadow/>
          <w:color w:val="333399"/>
        </w:rPr>
      </w:pPr>
      <w:r w:rsidRPr="002861BA">
        <w:rPr>
          <w:rFonts w:ascii="Trebuchet MS" w:hAnsi="Trebuchet MS"/>
          <w:b/>
          <w:shadow/>
          <w:color w:val="333399"/>
        </w:rPr>
        <w:sym w:font="Wingdings" w:char="F0D6"/>
      </w:r>
      <w:r w:rsidRPr="002861BA">
        <w:rPr>
          <w:rFonts w:ascii="Trebuchet MS" w:hAnsi="Trebuchet MS"/>
          <w:b/>
          <w:shadow/>
          <w:color w:val="333399"/>
        </w:rPr>
        <w:t xml:space="preserve">Agonistas </w:t>
      </w:r>
      <w:r w:rsidR="00AD4F97">
        <w:rPr>
          <w:rFonts w:ascii="Trebuchet MS" w:hAnsi="Trebuchet MS"/>
          <w:b/>
          <w:shadow/>
          <w:color w:val="333399"/>
        </w:rPr>
        <w:t xml:space="preserve">e Antagonistas </w:t>
      </w:r>
      <w:r w:rsidRPr="002861BA">
        <w:rPr>
          <w:rFonts w:ascii="Trebuchet MS" w:hAnsi="Trebuchet MS"/>
          <w:b/>
          <w:shadow/>
          <w:color w:val="333399"/>
        </w:rPr>
        <w:t>dos A</w:t>
      </w:r>
      <w:r w:rsidRPr="00AD4F97">
        <w:rPr>
          <w:rFonts w:ascii="Trebuchet MS" w:hAnsi="Trebuchet MS"/>
          <w:b/>
          <w:shadow/>
          <w:color w:val="333399"/>
          <w:vertAlign w:val="subscript"/>
        </w:rPr>
        <w:t>1</w:t>
      </w:r>
      <w:r w:rsidRPr="002861BA">
        <w:rPr>
          <w:rFonts w:ascii="Trebuchet MS" w:hAnsi="Trebuchet MS"/>
          <w:b/>
          <w:shadow/>
          <w:color w:val="333399"/>
        </w:rPr>
        <w:t>R</w:t>
      </w:r>
      <w:r w:rsidR="00AD4F97">
        <w:rPr>
          <w:rFonts w:ascii="Trebuchet MS" w:hAnsi="Trebuchet MS"/>
          <w:b/>
          <w:shadow/>
          <w:color w:val="333399"/>
        </w:rPr>
        <w:t>s</w:t>
      </w:r>
    </w:p>
    <w:p w:rsidR="00A34312" w:rsidRPr="009C4412" w:rsidRDefault="002E1E42" w:rsidP="00560D43">
      <w:pPr>
        <w:spacing w:line="360" w:lineRule="auto"/>
        <w:ind w:firstLine="708"/>
        <w:rPr>
          <w:rFonts w:ascii="Trebuchet MS" w:hAnsi="Trebuchet MS"/>
          <w:b/>
          <w:sz w:val="20"/>
        </w:rPr>
      </w:pPr>
      <w:r w:rsidRPr="009E323D">
        <w:rPr>
          <w:rFonts w:ascii="Trebuchet MS" w:hAnsi="Trebuchet MS"/>
          <w:sz w:val="20"/>
        </w:rPr>
        <w:t xml:space="preserve">Na </w:t>
      </w:r>
      <w:r w:rsidR="002F49DB">
        <w:rPr>
          <w:rFonts w:ascii="Trebuchet MS" w:hAnsi="Trebuchet MS"/>
          <w:sz w:val="20"/>
        </w:rPr>
        <w:t>F</w:t>
      </w:r>
      <w:r w:rsidRPr="009E323D">
        <w:rPr>
          <w:rFonts w:ascii="Trebuchet MS" w:hAnsi="Trebuchet MS"/>
          <w:sz w:val="20"/>
        </w:rPr>
        <w:t>ig.</w:t>
      </w:r>
      <w:r w:rsidR="002F49DB">
        <w:rPr>
          <w:rFonts w:ascii="Trebuchet MS" w:hAnsi="Trebuchet MS"/>
          <w:sz w:val="20"/>
        </w:rPr>
        <w:t>1</w:t>
      </w:r>
      <w:r w:rsidRPr="009E323D">
        <w:rPr>
          <w:rFonts w:ascii="Trebuchet MS" w:hAnsi="Trebuchet MS"/>
          <w:sz w:val="20"/>
        </w:rPr>
        <w:t>.</w:t>
      </w:r>
      <w:r w:rsidR="004149DC">
        <w:rPr>
          <w:rFonts w:ascii="Trebuchet MS" w:hAnsi="Trebuchet MS"/>
          <w:sz w:val="20"/>
        </w:rPr>
        <w:t>5</w:t>
      </w:r>
      <w:r w:rsidRPr="009E323D">
        <w:rPr>
          <w:rFonts w:ascii="Trebuchet MS" w:hAnsi="Trebuchet MS"/>
          <w:sz w:val="20"/>
        </w:rPr>
        <w:t xml:space="preserve"> estão representadas as estruturas químicas da adenosi</w:t>
      </w:r>
      <w:r w:rsidR="001A3C7B" w:rsidRPr="009E323D">
        <w:rPr>
          <w:rFonts w:ascii="Trebuchet MS" w:hAnsi="Trebuchet MS"/>
          <w:sz w:val="20"/>
        </w:rPr>
        <w:t>na</w:t>
      </w:r>
      <w:r w:rsidR="00A96654">
        <w:rPr>
          <w:rFonts w:ascii="Trebuchet MS" w:hAnsi="Trebuchet MS"/>
          <w:sz w:val="20"/>
        </w:rPr>
        <w:t>, bem com</w:t>
      </w:r>
      <w:r w:rsidR="00AD4F97">
        <w:rPr>
          <w:rFonts w:ascii="Trebuchet MS" w:hAnsi="Trebuchet MS"/>
          <w:sz w:val="20"/>
        </w:rPr>
        <w:t xml:space="preserve"> a do agonista estável e </w:t>
      </w:r>
      <w:r w:rsidR="00AD4F97" w:rsidRPr="009E323D">
        <w:rPr>
          <w:rFonts w:ascii="Trebuchet MS" w:hAnsi="Trebuchet MS"/>
          <w:sz w:val="20"/>
        </w:rPr>
        <w:t>selectivo (CPA</w:t>
      </w:r>
      <w:r w:rsidR="00AD4F97">
        <w:rPr>
          <w:rFonts w:ascii="Trebuchet MS" w:hAnsi="Trebuchet MS"/>
          <w:sz w:val="20"/>
        </w:rPr>
        <w:t xml:space="preserve">: </w:t>
      </w:r>
      <w:r w:rsidR="00AD4F97" w:rsidRPr="00572B61">
        <w:rPr>
          <w:rFonts w:ascii="Trebuchet MS" w:eastAsia="Arial Unicode MS" w:hAnsi="Trebuchet MS" w:cs="Arial"/>
          <w:sz w:val="20"/>
          <w:szCs w:val="20"/>
        </w:rPr>
        <w:t>N</w:t>
      </w:r>
      <w:r w:rsidR="00AD4F97" w:rsidRPr="00572B61">
        <w:rPr>
          <w:rFonts w:ascii="Trebuchet MS" w:eastAsia="Arial Unicode MS" w:hAnsi="Trebuchet MS" w:cs="Arial"/>
          <w:sz w:val="20"/>
          <w:szCs w:val="20"/>
          <w:vertAlign w:val="superscript"/>
        </w:rPr>
        <w:t>6</w:t>
      </w:r>
      <w:r w:rsidR="00AD4F97" w:rsidRPr="00572B61">
        <w:rPr>
          <w:rFonts w:ascii="Trebuchet MS" w:eastAsia="Arial Unicode MS" w:hAnsi="Trebuchet MS" w:cs="Arial"/>
          <w:sz w:val="20"/>
          <w:szCs w:val="20"/>
        </w:rPr>
        <w:t xml:space="preserve"> - ciclopentiladenosina</w:t>
      </w:r>
      <w:r w:rsidR="00AD4F97" w:rsidRPr="009E323D">
        <w:rPr>
          <w:rFonts w:ascii="Trebuchet MS" w:hAnsi="Trebuchet MS"/>
          <w:sz w:val="20"/>
        </w:rPr>
        <w:t>)</w:t>
      </w:r>
      <w:r w:rsidR="001A3C7B" w:rsidRPr="009E323D">
        <w:rPr>
          <w:rFonts w:ascii="Trebuchet MS" w:hAnsi="Trebuchet MS"/>
          <w:sz w:val="20"/>
        </w:rPr>
        <w:t xml:space="preserve"> e antagonista selectivo (DPCPX</w:t>
      </w:r>
      <w:r w:rsidR="00AD4F97">
        <w:rPr>
          <w:rFonts w:ascii="Trebuchet MS" w:hAnsi="Trebuchet MS"/>
          <w:sz w:val="20"/>
        </w:rPr>
        <w:t xml:space="preserve">: </w:t>
      </w:r>
      <w:r w:rsidR="00AD4F97" w:rsidRPr="00572B61">
        <w:rPr>
          <w:rFonts w:ascii="Trebuchet MS" w:hAnsi="Trebuchet MS"/>
          <w:sz w:val="20"/>
          <w:szCs w:val="20"/>
        </w:rPr>
        <w:t>8-ciclopentil-1,3-dipropilxantina</w:t>
      </w:r>
      <w:r w:rsidR="001A3C7B" w:rsidRPr="009E323D">
        <w:rPr>
          <w:rFonts w:ascii="Trebuchet MS" w:hAnsi="Trebuchet MS"/>
          <w:sz w:val="20"/>
        </w:rPr>
        <w:t>) dos A</w:t>
      </w:r>
      <w:r w:rsidR="001A3C7B" w:rsidRPr="00AD4F97">
        <w:rPr>
          <w:rFonts w:ascii="Trebuchet MS" w:hAnsi="Trebuchet MS"/>
          <w:sz w:val="20"/>
          <w:vertAlign w:val="subscript"/>
        </w:rPr>
        <w:t>1</w:t>
      </w:r>
      <w:r w:rsidR="001A3C7B" w:rsidRPr="009E323D">
        <w:rPr>
          <w:rFonts w:ascii="Trebuchet MS" w:hAnsi="Trebuchet MS"/>
          <w:sz w:val="20"/>
        </w:rPr>
        <w:t>R</w:t>
      </w:r>
      <w:r w:rsidR="00AD4F97">
        <w:rPr>
          <w:rFonts w:ascii="Trebuchet MS" w:hAnsi="Trebuchet MS"/>
          <w:sz w:val="20"/>
        </w:rPr>
        <w:t>s da adenosina</w:t>
      </w:r>
      <w:r w:rsidR="001A3C7B" w:rsidRPr="009E323D">
        <w:rPr>
          <w:rFonts w:ascii="Trebuchet MS" w:hAnsi="Trebuchet MS"/>
          <w:sz w:val="20"/>
        </w:rPr>
        <w:t>.</w:t>
      </w:r>
      <w:r w:rsidR="009C4412">
        <w:rPr>
          <w:rFonts w:ascii="Trebuchet MS" w:hAnsi="Trebuchet MS"/>
          <w:sz w:val="20"/>
        </w:rPr>
        <w:t xml:space="preserve"> </w:t>
      </w:r>
    </w:p>
    <w:p w:rsidR="000A5E55" w:rsidRDefault="000A5E55" w:rsidP="000A5E55">
      <w:pPr>
        <w:spacing w:line="360" w:lineRule="auto"/>
        <w:ind w:firstLine="708"/>
        <w:rPr>
          <w:rFonts w:ascii="Trebuchet MS" w:hAnsi="Trebuchet MS"/>
          <w:sz w:val="20"/>
        </w:rPr>
      </w:pPr>
    </w:p>
    <w:tbl>
      <w:tblPr>
        <w:tblStyle w:val="Tabelacomgrelha"/>
        <w:tblW w:w="864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18"/>
        <w:gridCol w:w="2835"/>
        <w:gridCol w:w="3290"/>
      </w:tblGrid>
      <w:tr w:rsidR="001D5D6C" w:rsidRPr="00695153" w:rsidTr="009C4412">
        <w:trPr>
          <w:jc w:val="center"/>
        </w:trPr>
        <w:tc>
          <w:tcPr>
            <w:tcW w:w="2518" w:type="dxa"/>
          </w:tcPr>
          <w:p w:rsidR="009C4412" w:rsidRPr="00237614" w:rsidRDefault="009C4412" w:rsidP="00695153">
            <w:pPr>
              <w:spacing w:after="240"/>
              <w:jc w:val="center"/>
              <w:rPr>
                <w:rFonts w:ascii="Trebuchet MS" w:hAnsi="Trebuchet MS"/>
                <w:noProof/>
                <w:sz w:val="12"/>
                <w:szCs w:val="12"/>
              </w:rPr>
            </w:pPr>
          </w:p>
          <w:p w:rsidR="009C4412" w:rsidRPr="009C4412" w:rsidRDefault="009C4412" w:rsidP="00695153">
            <w:pPr>
              <w:spacing w:after="240"/>
              <w:jc w:val="center"/>
              <w:rPr>
                <w:rFonts w:ascii="Trebuchet MS" w:hAnsi="Trebuchet MS"/>
                <w:b/>
                <w:sz w:val="20"/>
                <w:szCs w:val="20"/>
              </w:rPr>
            </w:pPr>
            <w:r w:rsidRPr="009C4412">
              <w:rPr>
                <w:rFonts w:ascii="Trebuchet MS" w:hAnsi="Trebuchet MS"/>
                <w:noProof/>
                <w:sz w:val="20"/>
                <w:szCs w:val="20"/>
                <w:lang w:eastAsia="pt-PT"/>
              </w:rPr>
              <w:drawing>
                <wp:inline distT="0" distB="0" distL="0" distR="0">
                  <wp:extent cx="1435002" cy="1528877"/>
                  <wp:effectExtent l="19050" t="0" r="0" b="0"/>
                  <wp:docPr id="55"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srcRect l="15986"/>
                          <a:stretch>
                            <a:fillRect/>
                          </a:stretch>
                        </pic:blipFill>
                        <pic:spPr bwMode="auto">
                          <a:xfrm>
                            <a:off x="0" y="0"/>
                            <a:ext cx="1435002" cy="1528877"/>
                          </a:xfrm>
                          <a:prstGeom prst="rect">
                            <a:avLst/>
                          </a:prstGeom>
                          <a:noFill/>
                          <a:ln w="9525">
                            <a:noFill/>
                            <a:miter lim="800000"/>
                            <a:headEnd/>
                            <a:tailEnd/>
                          </a:ln>
                        </pic:spPr>
                      </pic:pic>
                    </a:graphicData>
                  </a:graphic>
                </wp:inline>
              </w:drawing>
            </w:r>
          </w:p>
          <w:p w:rsidR="001D5D6C" w:rsidRPr="00695153" w:rsidRDefault="009C4412" w:rsidP="00695153">
            <w:pPr>
              <w:spacing w:after="240"/>
              <w:jc w:val="center"/>
              <w:rPr>
                <w:rFonts w:ascii="Trebuchet MS" w:hAnsi="Trebuchet MS"/>
                <w:sz w:val="20"/>
                <w:szCs w:val="20"/>
              </w:rPr>
            </w:pPr>
            <w:r w:rsidRPr="009C4412">
              <w:rPr>
                <w:rFonts w:ascii="Trebuchet MS" w:hAnsi="Trebuchet MS"/>
                <w:b/>
                <w:smallCaps/>
                <w:sz w:val="20"/>
              </w:rPr>
              <w:t>ADENOSINA</w:t>
            </w:r>
          </w:p>
        </w:tc>
        <w:tc>
          <w:tcPr>
            <w:tcW w:w="2835" w:type="dxa"/>
          </w:tcPr>
          <w:p w:rsidR="00695153" w:rsidRPr="00DB4F84" w:rsidRDefault="001D5D6C" w:rsidP="00695153">
            <w:pPr>
              <w:pStyle w:val="Corpodetexto"/>
              <w:spacing w:after="240"/>
              <w:jc w:val="center"/>
              <w:rPr>
                <w:rFonts w:ascii="Trebuchet MS" w:hAnsi="Trebuchet MS"/>
                <w:color w:val="548DD4" w:themeColor="text2" w:themeTint="99"/>
                <w:sz w:val="20"/>
                <w:szCs w:val="20"/>
              </w:rPr>
            </w:pPr>
            <w:r w:rsidRPr="00DB4F84">
              <w:rPr>
                <w:rFonts w:ascii="Trebuchet MS" w:hAnsi="Trebuchet MS"/>
                <w:color w:val="548DD4" w:themeColor="text2" w:themeTint="99"/>
                <w:sz w:val="20"/>
                <w:szCs w:val="20"/>
              </w:rPr>
              <w:t>Agonista selectivo A1</w:t>
            </w:r>
          </w:p>
          <w:p w:rsidR="001D5D6C" w:rsidRDefault="001D5D6C" w:rsidP="00695153">
            <w:pPr>
              <w:spacing w:after="240"/>
              <w:jc w:val="center"/>
              <w:rPr>
                <w:rFonts w:ascii="Trebuchet MS" w:hAnsi="Trebuchet MS"/>
                <w:sz w:val="20"/>
                <w:szCs w:val="20"/>
              </w:rPr>
            </w:pPr>
            <w:r w:rsidRPr="00695153">
              <w:rPr>
                <w:rFonts w:ascii="Trebuchet MS" w:hAnsi="Trebuchet MS"/>
                <w:noProof/>
                <w:sz w:val="20"/>
                <w:szCs w:val="20"/>
                <w:lang w:eastAsia="pt-PT"/>
              </w:rPr>
              <w:drawing>
                <wp:inline distT="0" distB="0" distL="0" distR="0">
                  <wp:extent cx="1261110" cy="1448007"/>
                  <wp:effectExtent l="19050" t="0" r="0" b="0"/>
                  <wp:docPr id="39"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cstate="print"/>
                          <a:srcRect b="11297"/>
                          <a:stretch>
                            <a:fillRect/>
                          </a:stretch>
                        </pic:blipFill>
                        <pic:spPr bwMode="auto">
                          <a:xfrm>
                            <a:off x="0" y="0"/>
                            <a:ext cx="1261110" cy="1448007"/>
                          </a:xfrm>
                          <a:prstGeom prst="rect">
                            <a:avLst/>
                          </a:prstGeom>
                          <a:noFill/>
                          <a:ln w="9525">
                            <a:noFill/>
                            <a:miter lim="800000"/>
                            <a:headEnd/>
                            <a:tailEnd/>
                          </a:ln>
                        </pic:spPr>
                      </pic:pic>
                    </a:graphicData>
                  </a:graphic>
                </wp:inline>
              </w:drawing>
            </w:r>
          </w:p>
          <w:p w:rsidR="009C4412" w:rsidRPr="00695153" w:rsidRDefault="009C4412" w:rsidP="00695153">
            <w:pPr>
              <w:spacing w:after="240"/>
              <w:jc w:val="center"/>
              <w:rPr>
                <w:rFonts w:ascii="Trebuchet MS" w:hAnsi="Trebuchet MS"/>
                <w:sz w:val="20"/>
                <w:szCs w:val="20"/>
              </w:rPr>
            </w:pPr>
            <w:r>
              <w:rPr>
                <w:rFonts w:ascii="Trebuchet MS" w:hAnsi="Trebuchet MS"/>
                <w:b/>
                <w:smallCaps/>
                <w:sz w:val="20"/>
              </w:rPr>
              <w:t>CPA</w:t>
            </w:r>
          </w:p>
        </w:tc>
        <w:tc>
          <w:tcPr>
            <w:tcW w:w="3290" w:type="dxa"/>
          </w:tcPr>
          <w:p w:rsidR="00695153" w:rsidRPr="00DB4F84" w:rsidRDefault="001D5D6C" w:rsidP="00695153">
            <w:pPr>
              <w:spacing w:after="240"/>
              <w:jc w:val="center"/>
              <w:rPr>
                <w:rFonts w:ascii="Trebuchet MS" w:hAnsi="Trebuchet MS"/>
                <w:color w:val="548DD4" w:themeColor="text2" w:themeTint="99"/>
                <w:sz w:val="20"/>
                <w:szCs w:val="20"/>
              </w:rPr>
            </w:pPr>
            <w:r w:rsidRPr="00DB4F84">
              <w:rPr>
                <w:rFonts w:ascii="Trebuchet MS" w:hAnsi="Trebuchet MS"/>
                <w:color w:val="548DD4" w:themeColor="text2" w:themeTint="99"/>
                <w:sz w:val="20"/>
                <w:szCs w:val="20"/>
              </w:rPr>
              <w:t>Antagonista selectivo de A1</w:t>
            </w:r>
          </w:p>
          <w:p w:rsidR="001D5D6C" w:rsidRDefault="001D5D6C" w:rsidP="00695153">
            <w:pPr>
              <w:spacing w:after="240"/>
              <w:jc w:val="center"/>
              <w:rPr>
                <w:rFonts w:ascii="Trebuchet MS" w:hAnsi="Trebuchet MS"/>
                <w:sz w:val="20"/>
                <w:szCs w:val="20"/>
              </w:rPr>
            </w:pPr>
          </w:p>
          <w:p w:rsidR="009C4412" w:rsidRDefault="009C4412" w:rsidP="00695153">
            <w:pPr>
              <w:spacing w:after="240"/>
              <w:jc w:val="center"/>
              <w:rPr>
                <w:rFonts w:ascii="Trebuchet MS" w:hAnsi="Trebuchet MS"/>
                <w:sz w:val="20"/>
                <w:szCs w:val="20"/>
              </w:rPr>
            </w:pPr>
            <w:r w:rsidRPr="009C4412">
              <w:rPr>
                <w:rFonts w:ascii="Trebuchet MS" w:hAnsi="Trebuchet MS"/>
                <w:noProof/>
                <w:sz w:val="20"/>
                <w:szCs w:val="20"/>
                <w:lang w:eastAsia="pt-PT"/>
              </w:rPr>
              <w:drawing>
                <wp:inline distT="0" distB="0" distL="0" distR="0">
                  <wp:extent cx="1506931" cy="848944"/>
                  <wp:effectExtent l="19050" t="0" r="0" b="0"/>
                  <wp:docPr id="56"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print"/>
                          <a:srcRect b="43644"/>
                          <a:stretch>
                            <a:fillRect/>
                          </a:stretch>
                        </pic:blipFill>
                        <pic:spPr bwMode="auto">
                          <a:xfrm>
                            <a:off x="0" y="0"/>
                            <a:ext cx="1506931" cy="848944"/>
                          </a:xfrm>
                          <a:prstGeom prst="rect">
                            <a:avLst/>
                          </a:prstGeom>
                          <a:noFill/>
                          <a:ln w="9525">
                            <a:noFill/>
                            <a:miter lim="800000"/>
                            <a:headEnd/>
                            <a:tailEnd/>
                          </a:ln>
                        </pic:spPr>
                      </pic:pic>
                    </a:graphicData>
                  </a:graphic>
                </wp:inline>
              </w:drawing>
            </w:r>
          </w:p>
          <w:p w:rsidR="009C4412" w:rsidRDefault="009C4412" w:rsidP="00695153">
            <w:pPr>
              <w:spacing w:after="240"/>
              <w:jc w:val="center"/>
              <w:rPr>
                <w:rFonts w:ascii="Trebuchet MS" w:hAnsi="Trebuchet MS"/>
                <w:b/>
                <w:smallCaps/>
                <w:sz w:val="20"/>
              </w:rPr>
            </w:pPr>
          </w:p>
          <w:p w:rsidR="009C4412" w:rsidRPr="00695153" w:rsidRDefault="009C4412" w:rsidP="00695153">
            <w:pPr>
              <w:spacing w:after="240"/>
              <w:jc w:val="center"/>
              <w:rPr>
                <w:rFonts w:ascii="Trebuchet MS" w:hAnsi="Trebuchet MS"/>
                <w:sz w:val="20"/>
                <w:szCs w:val="20"/>
              </w:rPr>
            </w:pPr>
            <w:r>
              <w:rPr>
                <w:rFonts w:ascii="Trebuchet MS" w:hAnsi="Trebuchet MS"/>
                <w:b/>
                <w:smallCaps/>
                <w:sz w:val="20"/>
              </w:rPr>
              <w:t>DPCPX</w:t>
            </w:r>
          </w:p>
        </w:tc>
      </w:tr>
    </w:tbl>
    <w:p w:rsidR="001D5D6C" w:rsidRPr="00560D43" w:rsidRDefault="001D5D6C" w:rsidP="001D5D6C">
      <w:pPr>
        <w:pStyle w:val="Corpodetexto"/>
        <w:ind w:left="426" w:right="565"/>
        <w:jc w:val="center"/>
        <w:rPr>
          <w:rFonts w:ascii="Trebuchet MS" w:hAnsi="Trebuchet MS"/>
          <w:sz w:val="8"/>
          <w:szCs w:val="8"/>
        </w:rPr>
      </w:pPr>
    </w:p>
    <w:p w:rsidR="005440E0" w:rsidRPr="009E323D" w:rsidRDefault="002C12CA" w:rsidP="001D5D6C">
      <w:pPr>
        <w:pStyle w:val="Corpodetexto"/>
        <w:ind w:left="426" w:right="565"/>
        <w:jc w:val="center"/>
        <w:rPr>
          <w:rFonts w:ascii="Trebuchet MS" w:hAnsi="Trebuchet MS"/>
          <w:sz w:val="18"/>
          <w:szCs w:val="22"/>
        </w:rPr>
      </w:pPr>
      <w:r w:rsidRPr="009E323D">
        <w:rPr>
          <w:rFonts w:ascii="Trebuchet MS" w:hAnsi="Trebuchet MS"/>
          <w:sz w:val="18"/>
          <w:szCs w:val="22"/>
        </w:rPr>
        <w:t xml:space="preserve">Fig. </w:t>
      </w:r>
      <w:r w:rsidR="002441ED">
        <w:rPr>
          <w:rFonts w:ascii="Trebuchet MS" w:hAnsi="Trebuchet MS"/>
          <w:sz w:val="18"/>
          <w:szCs w:val="22"/>
        </w:rPr>
        <w:t>1</w:t>
      </w:r>
      <w:r w:rsidRPr="009E323D">
        <w:rPr>
          <w:rFonts w:ascii="Trebuchet MS" w:hAnsi="Trebuchet MS"/>
          <w:sz w:val="18"/>
          <w:szCs w:val="22"/>
        </w:rPr>
        <w:t>.</w:t>
      </w:r>
      <w:r w:rsidR="004149DC">
        <w:rPr>
          <w:rFonts w:ascii="Trebuchet MS" w:hAnsi="Trebuchet MS"/>
          <w:sz w:val="18"/>
          <w:szCs w:val="22"/>
        </w:rPr>
        <w:t>5</w:t>
      </w:r>
      <w:r w:rsidR="00FF1B70" w:rsidRPr="009E323D">
        <w:rPr>
          <w:rFonts w:ascii="Trebuchet MS" w:hAnsi="Trebuchet MS"/>
          <w:sz w:val="18"/>
          <w:szCs w:val="22"/>
        </w:rPr>
        <w:t xml:space="preserve">. </w:t>
      </w:r>
      <w:r w:rsidRPr="009E323D">
        <w:rPr>
          <w:rFonts w:ascii="Trebuchet MS" w:hAnsi="Trebuchet MS"/>
          <w:sz w:val="18"/>
          <w:szCs w:val="22"/>
        </w:rPr>
        <w:t>Estruturas moleculares da Aden</w:t>
      </w:r>
      <w:r w:rsidR="00252ADF">
        <w:rPr>
          <w:rFonts w:ascii="Trebuchet MS" w:hAnsi="Trebuchet MS"/>
          <w:sz w:val="18"/>
          <w:szCs w:val="22"/>
        </w:rPr>
        <w:t>osina, CPA e DPCPX (</w:t>
      </w:r>
      <w:r w:rsidR="00960DA5" w:rsidRPr="009E323D">
        <w:rPr>
          <w:rFonts w:ascii="Trebuchet MS" w:hAnsi="Trebuchet MS"/>
          <w:sz w:val="18"/>
          <w:szCs w:val="22"/>
        </w:rPr>
        <w:t xml:space="preserve">Adaptado de Eschke </w:t>
      </w:r>
      <w:r w:rsidR="00F96813" w:rsidRPr="009E323D">
        <w:rPr>
          <w:rFonts w:ascii="Trebuchet MS" w:hAnsi="Trebuchet MS"/>
          <w:i/>
          <w:sz w:val="18"/>
          <w:szCs w:val="22"/>
        </w:rPr>
        <w:t>et al.</w:t>
      </w:r>
      <w:r w:rsidR="00960DA5" w:rsidRPr="009E323D">
        <w:rPr>
          <w:rFonts w:ascii="Trebuchet MS" w:hAnsi="Trebuchet MS"/>
          <w:sz w:val="18"/>
          <w:szCs w:val="22"/>
        </w:rPr>
        <w:t xml:space="preserve">, 2001; </w:t>
      </w:r>
      <w:r w:rsidR="0008075A" w:rsidRPr="009E323D">
        <w:rPr>
          <w:rFonts w:ascii="Trebuchet MS" w:hAnsi="Trebuchet MS"/>
          <w:sz w:val="18"/>
          <w:szCs w:val="22"/>
        </w:rPr>
        <w:t xml:space="preserve">Feoktistov and Biaggioni, 1997; Jacobson </w:t>
      </w:r>
      <w:r w:rsidR="00F96813" w:rsidRPr="009E323D">
        <w:rPr>
          <w:rFonts w:ascii="Trebuchet MS" w:hAnsi="Trebuchet MS"/>
          <w:i/>
          <w:sz w:val="18"/>
          <w:szCs w:val="22"/>
        </w:rPr>
        <w:t>et al.</w:t>
      </w:r>
      <w:r w:rsidR="0008075A" w:rsidRPr="009E323D">
        <w:rPr>
          <w:rFonts w:ascii="Trebuchet MS" w:hAnsi="Trebuchet MS"/>
          <w:sz w:val="18"/>
          <w:szCs w:val="22"/>
        </w:rPr>
        <w:t>, 1999).</w:t>
      </w:r>
    </w:p>
    <w:p w:rsidR="001A3C7B" w:rsidRDefault="001A3C7B" w:rsidP="000A5E55">
      <w:pPr>
        <w:spacing w:line="360" w:lineRule="auto"/>
        <w:jc w:val="both"/>
        <w:rPr>
          <w:rFonts w:ascii="Trebuchet MS" w:hAnsi="Trebuchet MS"/>
          <w:b/>
          <w:shadow/>
          <w:color w:val="333399"/>
          <w:sz w:val="26"/>
          <w:szCs w:val="26"/>
        </w:rPr>
      </w:pPr>
    </w:p>
    <w:p w:rsidR="00C827EF" w:rsidRPr="00E8097D" w:rsidRDefault="00E8097D" w:rsidP="00E8097D">
      <w:pPr>
        <w:spacing w:line="480" w:lineRule="auto"/>
        <w:ind w:firstLine="284"/>
        <w:jc w:val="both"/>
        <w:rPr>
          <w:rFonts w:ascii="Trebuchet MS" w:hAnsi="Trebuchet MS"/>
          <w:b/>
          <w:smallCaps/>
          <w:shadow/>
          <w:color w:val="333399"/>
          <w:szCs w:val="28"/>
        </w:rPr>
      </w:pPr>
      <w:r w:rsidRPr="00E8097D">
        <w:rPr>
          <w:rFonts w:ascii="Trebuchet MS" w:hAnsi="Trebuchet MS"/>
          <w:b/>
          <w:shadow/>
          <w:color w:val="333399"/>
          <w:szCs w:val="28"/>
        </w:rPr>
        <w:t>1</w:t>
      </w:r>
      <w:r w:rsidR="00C827EF" w:rsidRPr="00E8097D">
        <w:rPr>
          <w:rFonts w:ascii="Trebuchet MS" w:hAnsi="Trebuchet MS"/>
          <w:b/>
          <w:shadow/>
          <w:color w:val="333399"/>
          <w:szCs w:val="28"/>
        </w:rPr>
        <w:t>.</w:t>
      </w:r>
      <w:r w:rsidRPr="00E8097D">
        <w:rPr>
          <w:rFonts w:ascii="Trebuchet MS" w:hAnsi="Trebuchet MS"/>
          <w:b/>
          <w:shadow/>
          <w:color w:val="333399"/>
          <w:szCs w:val="28"/>
        </w:rPr>
        <w:t>2.</w:t>
      </w:r>
      <w:r w:rsidR="00C827EF" w:rsidRPr="00E8097D">
        <w:rPr>
          <w:rFonts w:ascii="Trebuchet MS" w:hAnsi="Trebuchet MS"/>
          <w:b/>
          <w:shadow/>
          <w:color w:val="333399"/>
          <w:szCs w:val="28"/>
        </w:rPr>
        <w:t xml:space="preserve">3. </w:t>
      </w:r>
      <w:r w:rsidR="00C827EF" w:rsidRPr="00E8097D">
        <w:rPr>
          <w:rFonts w:ascii="Trebuchet MS" w:hAnsi="Trebuchet MS"/>
          <w:b/>
          <w:smallCaps/>
          <w:shadow/>
          <w:color w:val="333399"/>
          <w:szCs w:val="28"/>
        </w:rPr>
        <w:t xml:space="preserve">Relação entre IPC e </w:t>
      </w:r>
      <w:r>
        <w:rPr>
          <w:rFonts w:ascii="Trebuchet MS" w:hAnsi="Trebuchet MS"/>
          <w:b/>
          <w:smallCaps/>
          <w:shadow/>
          <w:color w:val="333399"/>
          <w:szCs w:val="28"/>
        </w:rPr>
        <w:t>A</w:t>
      </w:r>
      <w:r w:rsidR="00C827EF" w:rsidRPr="00E8097D">
        <w:rPr>
          <w:rFonts w:ascii="Trebuchet MS" w:hAnsi="Trebuchet MS"/>
          <w:b/>
          <w:smallCaps/>
          <w:shadow/>
          <w:color w:val="333399"/>
          <w:szCs w:val="28"/>
        </w:rPr>
        <w:t>ctivação dos A</w:t>
      </w:r>
      <w:r w:rsidR="00C827EF" w:rsidRPr="00E8097D">
        <w:rPr>
          <w:rFonts w:ascii="Trebuchet MS" w:hAnsi="Trebuchet MS"/>
          <w:b/>
          <w:smallCaps/>
          <w:shadow/>
          <w:color w:val="333399"/>
          <w:szCs w:val="28"/>
          <w:vertAlign w:val="subscript"/>
        </w:rPr>
        <w:t>1</w:t>
      </w:r>
      <w:r w:rsidR="00C827EF" w:rsidRPr="00E8097D">
        <w:rPr>
          <w:rFonts w:ascii="Trebuchet MS" w:hAnsi="Trebuchet MS"/>
          <w:b/>
          <w:smallCaps/>
          <w:shadow/>
          <w:color w:val="333399"/>
          <w:szCs w:val="28"/>
        </w:rPr>
        <w:t>R</w:t>
      </w:r>
      <w:r w:rsidR="00F2351B" w:rsidRPr="00E8097D">
        <w:rPr>
          <w:rFonts w:ascii="Trebuchet MS" w:hAnsi="Trebuchet MS"/>
          <w:b/>
          <w:smallCaps/>
          <w:shadow/>
          <w:color w:val="333399"/>
          <w:szCs w:val="28"/>
        </w:rPr>
        <w:t>s</w:t>
      </w:r>
    </w:p>
    <w:p w:rsidR="00C827EF" w:rsidRPr="003B7012" w:rsidRDefault="00C827EF" w:rsidP="00C827EF">
      <w:pPr>
        <w:autoSpaceDE w:val="0"/>
        <w:autoSpaceDN w:val="0"/>
        <w:adjustRightInd w:val="0"/>
        <w:spacing w:line="360" w:lineRule="auto"/>
        <w:ind w:firstLine="708"/>
        <w:jc w:val="both"/>
        <w:rPr>
          <w:rFonts w:ascii="Trebuchet MS" w:eastAsiaTheme="minorHAnsi" w:hAnsi="Trebuchet MS"/>
          <w:sz w:val="20"/>
          <w:szCs w:val="20"/>
        </w:rPr>
      </w:pPr>
      <w:r w:rsidRPr="003B7012">
        <w:rPr>
          <w:rFonts w:ascii="Trebuchet MS" w:eastAsiaTheme="minorHAnsi" w:hAnsi="Trebuchet MS"/>
          <w:sz w:val="20"/>
          <w:szCs w:val="20"/>
        </w:rPr>
        <w:t xml:space="preserve">Uma série de mecanismos e moléculas têm sido relacionadas com vários tipos de pré-condicionamento. Estes incluem: </w:t>
      </w:r>
      <w:r w:rsidRPr="003B7012">
        <w:rPr>
          <w:rFonts w:ascii="Trebuchet MS" w:eastAsiaTheme="minorHAnsi" w:hAnsi="Trebuchet MS"/>
          <w:sz w:val="20"/>
          <w:szCs w:val="20"/>
          <w:u w:val="single"/>
        </w:rPr>
        <w:t>receptores A1 de adenosina (A</w:t>
      </w:r>
      <w:r w:rsidRPr="00250558">
        <w:rPr>
          <w:rFonts w:ascii="Trebuchet MS" w:eastAsiaTheme="minorHAnsi" w:hAnsi="Trebuchet MS"/>
          <w:sz w:val="20"/>
          <w:szCs w:val="20"/>
          <w:u w:val="single"/>
          <w:vertAlign w:val="subscript"/>
        </w:rPr>
        <w:t>1</w:t>
      </w:r>
      <w:r w:rsidRPr="003B7012">
        <w:rPr>
          <w:rFonts w:ascii="Trebuchet MS" w:eastAsiaTheme="minorHAnsi" w:hAnsi="Trebuchet MS"/>
          <w:sz w:val="20"/>
          <w:szCs w:val="20"/>
          <w:u w:val="single"/>
        </w:rPr>
        <w:t>R</w:t>
      </w:r>
      <w:r w:rsidR="00250558">
        <w:rPr>
          <w:rFonts w:ascii="Trebuchet MS" w:eastAsiaTheme="minorHAnsi" w:hAnsi="Trebuchet MS"/>
          <w:sz w:val="20"/>
          <w:szCs w:val="20"/>
          <w:u w:val="single"/>
        </w:rPr>
        <w:t>s</w:t>
      </w:r>
      <w:r w:rsidRPr="003B7012">
        <w:rPr>
          <w:rFonts w:ascii="Trebuchet MS" w:eastAsiaTheme="minorHAnsi" w:hAnsi="Trebuchet MS"/>
          <w:sz w:val="20"/>
          <w:szCs w:val="20"/>
          <w:u w:val="single"/>
        </w:rPr>
        <w:t>)</w:t>
      </w:r>
      <w:r w:rsidRPr="003B7012">
        <w:rPr>
          <w:rFonts w:ascii="Trebuchet MS" w:eastAsiaTheme="minorHAnsi" w:hAnsi="Trebuchet MS"/>
          <w:sz w:val="20"/>
          <w:szCs w:val="20"/>
        </w:rPr>
        <w:t xml:space="preserve">, </w:t>
      </w:r>
      <w:r w:rsidRPr="003B7012">
        <w:rPr>
          <w:rFonts w:ascii="Trebuchet MS" w:eastAsiaTheme="minorHAnsi" w:hAnsi="Trebuchet MS"/>
          <w:bCs/>
          <w:sz w:val="20"/>
          <w:szCs w:val="20"/>
        </w:rPr>
        <w:t>canais de potássio dependentes de ATP</w:t>
      </w:r>
      <w:r w:rsidR="00A96654">
        <w:rPr>
          <w:rFonts w:ascii="Trebuchet MS" w:eastAsiaTheme="minorHAnsi" w:hAnsi="Trebuchet MS"/>
          <w:bCs/>
          <w:sz w:val="20"/>
          <w:szCs w:val="20"/>
        </w:rPr>
        <w:t xml:space="preserve"> (K</w:t>
      </w:r>
      <w:r w:rsidR="00A96654" w:rsidRPr="00A96654">
        <w:rPr>
          <w:rFonts w:ascii="Trebuchet MS" w:eastAsiaTheme="minorHAnsi" w:hAnsi="Trebuchet MS"/>
          <w:bCs/>
          <w:sz w:val="20"/>
          <w:szCs w:val="20"/>
          <w:vertAlign w:val="subscript"/>
        </w:rPr>
        <w:t>ATP</w:t>
      </w:r>
      <w:r w:rsidR="00A96654">
        <w:rPr>
          <w:rFonts w:ascii="Trebuchet MS" w:eastAsiaTheme="minorHAnsi" w:hAnsi="Trebuchet MS"/>
          <w:bCs/>
          <w:sz w:val="20"/>
          <w:szCs w:val="20"/>
        </w:rPr>
        <w:t>)</w:t>
      </w:r>
      <w:r w:rsidRPr="003B7012">
        <w:rPr>
          <w:rFonts w:ascii="Trebuchet MS" w:eastAsiaTheme="minorHAnsi" w:hAnsi="Trebuchet MS"/>
          <w:sz w:val="20"/>
          <w:szCs w:val="20"/>
        </w:rPr>
        <w:t xml:space="preserve">, factor nuclear </w:t>
      </w:r>
      <w:r w:rsidRPr="003B7012">
        <w:rPr>
          <w:rFonts w:ascii="Trebuchet MS" w:eastAsiaTheme="minorHAnsi" w:hAnsi="Trebuchet MS"/>
          <w:sz w:val="20"/>
          <w:szCs w:val="20"/>
        </w:rPr>
        <w:sym w:font="Symbol" w:char="F06B"/>
      </w:r>
      <w:r w:rsidRPr="003B7012">
        <w:rPr>
          <w:rFonts w:ascii="Trebuchet MS" w:eastAsiaTheme="minorHAnsi" w:hAnsi="Trebuchet MS"/>
          <w:sz w:val="20"/>
          <w:szCs w:val="20"/>
        </w:rPr>
        <w:t>B (NF</w:t>
      </w:r>
      <w:r w:rsidRPr="003B7012">
        <w:rPr>
          <w:rFonts w:ascii="Trebuchet MS" w:eastAsiaTheme="minorHAnsi" w:hAnsi="Trebuchet MS"/>
          <w:sz w:val="20"/>
          <w:szCs w:val="20"/>
        </w:rPr>
        <w:sym w:font="Symbol" w:char="F06B"/>
      </w:r>
      <w:r w:rsidRPr="003B7012">
        <w:rPr>
          <w:rFonts w:ascii="Trebuchet MS" w:eastAsiaTheme="minorHAnsi" w:hAnsi="Trebuchet MS"/>
          <w:sz w:val="20"/>
          <w:szCs w:val="20"/>
        </w:rPr>
        <w:t>B), factor de crescimento endotelial vasc</w:t>
      </w:r>
      <w:r w:rsidRPr="003B7012">
        <w:rPr>
          <w:rFonts w:ascii="Trebuchet MS" w:eastAsiaTheme="minorHAnsi" w:hAnsi="Trebuchet MS"/>
          <w:sz w:val="20"/>
          <w:szCs w:val="20"/>
        </w:rPr>
        <w:t>u</w:t>
      </w:r>
      <w:r w:rsidRPr="003B7012">
        <w:rPr>
          <w:rFonts w:ascii="Trebuchet MS" w:eastAsiaTheme="minorHAnsi" w:hAnsi="Trebuchet MS"/>
          <w:sz w:val="20"/>
          <w:szCs w:val="20"/>
        </w:rPr>
        <w:lastRenderedPageBreak/>
        <w:t xml:space="preserve">lar (VEGF), eritropoietina (EPO), NOS, factor indutor de hipóxia (HIF), N-metil-D-aspartato (NMDA), </w:t>
      </w:r>
      <w:r w:rsidRPr="00FC1610">
        <w:rPr>
          <w:rFonts w:ascii="Trebuchet MS" w:eastAsiaTheme="minorHAnsi" w:hAnsi="Trebuchet MS"/>
          <w:sz w:val="20"/>
          <w:szCs w:val="20"/>
        </w:rPr>
        <w:t>MnSOD</w:t>
      </w:r>
      <w:r w:rsidR="00C94AE6" w:rsidRPr="00FC1610">
        <w:rPr>
          <w:rFonts w:ascii="Trebuchet MS" w:eastAsiaTheme="minorHAnsi" w:hAnsi="Trebuchet MS"/>
          <w:sz w:val="20"/>
          <w:szCs w:val="20"/>
        </w:rPr>
        <w:t xml:space="preserve"> (</w:t>
      </w:r>
      <w:r w:rsidR="00E52928" w:rsidRPr="00FC1610">
        <w:rPr>
          <w:rFonts w:ascii="Trebuchet MS" w:eastAsiaTheme="minorHAnsi" w:hAnsi="Trebuchet MS"/>
          <w:sz w:val="20"/>
          <w:szCs w:val="20"/>
        </w:rPr>
        <w:t>D</w:t>
      </w:r>
      <w:r w:rsidR="00C94AE6" w:rsidRPr="00FC1610">
        <w:rPr>
          <w:rFonts w:ascii="Trebuchet MS" w:eastAsiaTheme="minorHAnsi" w:hAnsi="Trebuchet MS"/>
          <w:sz w:val="20"/>
          <w:szCs w:val="20"/>
        </w:rPr>
        <w:t xml:space="preserve">ismutase </w:t>
      </w:r>
      <w:r w:rsidR="00E52928" w:rsidRPr="00FC1610">
        <w:rPr>
          <w:rFonts w:ascii="Trebuchet MS" w:eastAsiaTheme="minorHAnsi" w:hAnsi="Trebuchet MS"/>
          <w:sz w:val="20"/>
          <w:szCs w:val="20"/>
        </w:rPr>
        <w:t xml:space="preserve">do superóxido </w:t>
      </w:r>
      <w:r w:rsidR="00C94AE6" w:rsidRPr="00FC1610">
        <w:rPr>
          <w:rFonts w:ascii="Trebuchet MS" w:eastAsiaTheme="minorHAnsi" w:hAnsi="Trebuchet MS"/>
          <w:sz w:val="20"/>
          <w:szCs w:val="20"/>
        </w:rPr>
        <w:t>dependente de manganês)</w:t>
      </w:r>
      <w:r w:rsidRPr="00FC1610">
        <w:rPr>
          <w:rFonts w:ascii="Trebuchet MS" w:eastAsiaTheme="minorHAnsi" w:hAnsi="Trebuchet MS"/>
          <w:sz w:val="20"/>
          <w:szCs w:val="20"/>
        </w:rPr>
        <w:t xml:space="preserve">, </w:t>
      </w:r>
      <w:r w:rsidRPr="003B7012">
        <w:rPr>
          <w:rFonts w:ascii="Trebuchet MS" w:eastAsiaTheme="minorHAnsi" w:hAnsi="Trebuchet MS"/>
          <w:sz w:val="20"/>
          <w:szCs w:val="20"/>
        </w:rPr>
        <w:t>TNF, glicogénio, lact</w:t>
      </w:r>
      <w:r w:rsidRPr="003B7012">
        <w:rPr>
          <w:rFonts w:ascii="Trebuchet MS" w:eastAsiaTheme="minorHAnsi" w:hAnsi="Trebuchet MS"/>
          <w:sz w:val="20"/>
          <w:szCs w:val="20"/>
        </w:rPr>
        <w:t>a</w:t>
      </w:r>
      <w:r w:rsidRPr="003B7012">
        <w:rPr>
          <w:rFonts w:ascii="Trebuchet MS" w:eastAsiaTheme="minorHAnsi" w:hAnsi="Trebuchet MS"/>
          <w:sz w:val="20"/>
          <w:szCs w:val="20"/>
        </w:rPr>
        <w:t>to, e outros (</w:t>
      </w:r>
      <w:r w:rsidR="004149DC">
        <w:rPr>
          <w:rFonts w:ascii="Trebuchet MS" w:eastAsiaTheme="minorHAnsi" w:hAnsi="Trebuchet MS"/>
          <w:sz w:val="20"/>
          <w:szCs w:val="20"/>
        </w:rPr>
        <w:t>Para revisão ver</w:t>
      </w:r>
      <w:r w:rsidRPr="003B7012">
        <w:rPr>
          <w:rFonts w:ascii="Trebuchet MS" w:eastAsiaTheme="minorHAnsi" w:hAnsi="Trebuchet MS"/>
          <w:sz w:val="20"/>
          <w:szCs w:val="20"/>
        </w:rPr>
        <w:t xml:space="preserve"> Sharp </w:t>
      </w:r>
      <w:r w:rsidR="00F96813" w:rsidRPr="003B7012">
        <w:rPr>
          <w:rFonts w:ascii="Trebuchet MS" w:eastAsiaTheme="minorHAnsi" w:hAnsi="Trebuchet MS"/>
          <w:i/>
          <w:sz w:val="20"/>
          <w:szCs w:val="20"/>
        </w:rPr>
        <w:t>et al.</w:t>
      </w:r>
      <w:r w:rsidRPr="003B7012">
        <w:rPr>
          <w:rFonts w:ascii="Trebuchet MS" w:eastAsiaTheme="minorHAnsi" w:hAnsi="Trebuchet MS"/>
          <w:sz w:val="20"/>
          <w:szCs w:val="20"/>
        </w:rPr>
        <w:t>, 2004).</w:t>
      </w:r>
    </w:p>
    <w:p w:rsidR="00D40BA8" w:rsidRPr="00D266A3" w:rsidRDefault="00D40BA8" w:rsidP="00EB2D72">
      <w:pPr>
        <w:autoSpaceDE w:val="0"/>
        <w:autoSpaceDN w:val="0"/>
        <w:adjustRightInd w:val="0"/>
        <w:spacing w:line="360" w:lineRule="auto"/>
        <w:ind w:firstLine="708"/>
        <w:jc w:val="both"/>
        <w:rPr>
          <w:rFonts w:ascii="Trebuchet MS" w:eastAsiaTheme="minorHAnsi" w:hAnsi="Trebuchet MS"/>
          <w:color w:val="FF0000"/>
          <w:sz w:val="20"/>
        </w:rPr>
      </w:pPr>
      <w:r w:rsidRPr="00FB1640">
        <w:rPr>
          <w:rFonts w:ascii="Trebuchet MS" w:eastAsiaTheme="minorHAnsi" w:hAnsi="Trebuchet MS"/>
          <w:sz w:val="20"/>
        </w:rPr>
        <w:t>Heurteaux et al. (1995) investigaram, em ratos adultos, se o mecanismo endógeno de protecção durante a isquémia cerebral repetitiva poderia ser desencadead</w:t>
      </w:r>
      <w:r w:rsidR="00D266A3" w:rsidRPr="00FB1640">
        <w:rPr>
          <w:rFonts w:ascii="Trebuchet MS" w:eastAsiaTheme="minorHAnsi" w:hAnsi="Trebuchet MS"/>
          <w:sz w:val="20"/>
        </w:rPr>
        <w:t>o</w:t>
      </w:r>
      <w:r w:rsidRPr="00FB1640">
        <w:rPr>
          <w:rFonts w:ascii="Trebuchet MS" w:eastAsiaTheme="minorHAnsi" w:hAnsi="Trebuchet MS"/>
          <w:sz w:val="20"/>
        </w:rPr>
        <w:t xml:space="preserve"> pela activação de A</w:t>
      </w:r>
      <w:r w:rsidRPr="00FB1640">
        <w:rPr>
          <w:rFonts w:ascii="Trebuchet MS" w:eastAsiaTheme="minorHAnsi" w:hAnsi="Trebuchet MS"/>
          <w:sz w:val="20"/>
          <w:vertAlign w:val="subscript"/>
        </w:rPr>
        <w:t>1</w:t>
      </w:r>
      <w:r w:rsidRPr="00FB1640">
        <w:rPr>
          <w:rFonts w:ascii="Trebuchet MS" w:eastAsiaTheme="minorHAnsi" w:hAnsi="Trebuchet MS"/>
          <w:sz w:val="20"/>
        </w:rPr>
        <w:t xml:space="preserve">Rs. Utilizaram um antagonista de elevada </w:t>
      </w:r>
      <w:r w:rsidR="00D266A3" w:rsidRPr="00FB1640">
        <w:rPr>
          <w:rFonts w:ascii="Trebuchet MS" w:eastAsiaTheme="minorHAnsi" w:hAnsi="Trebuchet MS"/>
          <w:sz w:val="20"/>
        </w:rPr>
        <w:t>afinidade</w:t>
      </w:r>
      <w:r w:rsidRPr="00FB1640">
        <w:rPr>
          <w:rFonts w:ascii="Trebuchet MS" w:eastAsiaTheme="minorHAnsi" w:hAnsi="Trebuchet MS"/>
          <w:sz w:val="20"/>
        </w:rPr>
        <w:t xml:space="preserve"> do receptor A</w:t>
      </w:r>
      <w:r w:rsidRPr="00FB1640">
        <w:rPr>
          <w:rFonts w:ascii="Trebuchet MS" w:eastAsiaTheme="minorHAnsi" w:hAnsi="Trebuchet MS"/>
          <w:sz w:val="20"/>
          <w:vertAlign w:val="subscript"/>
        </w:rPr>
        <w:t>1</w:t>
      </w:r>
      <w:r w:rsidR="00D266A3" w:rsidRPr="00FB1640">
        <w:rPr>
          <w:rFonts w:ascii="Trebuchet MS" w:eastAsiaTheme="minorHAnsi" w:hAnsi="Trebuchet MS"/>
          <w:sz w:val="20"/>
          <w:vertAlign w:val="subscript"/>
        </w:rPr>
        <w:t xml:space="preserve"> </w:t>
      </w:r>
      <w:r w:rsidR="00D266A3" w:rsidRPr="00FB1640">
        <w:rPr>
          <w:rFonts w:ascii="Trebuchet MS" w:eastAsiaTheme="minorHAnsi" w:hAnsi="Trebuchet MS"/>
          <w:sz w:val="20"/>
        </w:rPr>
        <w:t>(DPCPX</w:t>
      </w:r>
      <w:r w:rsidR="008B5498" w:rsidRPr="00FB1640">
        <w:rPr>
          <w:rFonts w:ascii="Trebuchet MS" w:eastAsiaTheme="minorHAnsi" w:hAnsi="Trebuchet MS"/>
          <w:sz w:val="20"/>
        </w:rPr>
        <w:t xml:space="preserve"> - </w:t>
      </w:r>
      <w:r w:rsidR="008B5498" w:rsidRPr="00FB1640">
        <w:rPr>
          <w:rFonts w:ascii="Trebuchet MS" w:hAnsi="Trebuchet MS"/>
          <w:sz w:val="20"/>
          <w:szCs w:val="20"/>
        </w:rPr>
        <w:t>8-ciclopentil-1,3-dipropilxantina</w:t>
      </w:r>
      <w:r w:rsidR="00D266A3" w:rsidRPr="00FB1640">
        <w:rPr>
          <w:rFonts w:ascii="Trebuchet MS" w:eastAsiaTheme="minorHAnsi" w:hAnsi="Trebuchet MS"/>
          <w:sz w:val="20"/>
        </w:rPr>
        <w:t>)</w:t>
      </w:r>
      <w:r w:rsidR="008B5498" w:rsidRPr="00FB1640">
        <w:rPr>
          <w:rFonts w:ascii="Trebuchet MS" w:eastAsiaTheme="minorHAnsi" w:hAnsi="Trebuchet MS"/>
          <w:sz w:val="20"/>
        </w:rPr>
        <w:t xml:space="preserve">, bem como, um agonista (CPA: </w:t>
      </w:r>
      <w:r w:rsidR="008B5498" w:rsidRPr="00FB1640">
        <w:rPr>
          <w:rFonts w:ascii="Trebuchet MS" w:eastAsia="Arial Unicode MS" w:hAnsi="Trebuchet MS" w:cs="Arial"/>
          <w:sz w:val="20"/>
          <w:szCs w:val="20"/>
        </w:rPr>
        <w:t>N</w:t>
      </w:r>
      <w:r w:rsidR="008B5498" w:rsidRPr="00FB1640">
        <w:rPr>
          <w:rFonts w:ascii="Trebuchet MS" w:eastAsia="Arial Unicode MS" w:hAnsi="Trebuchet MS" w:cs="Arial"/>
          <w:sz w:val="20"/>
          <w:szCs w:val="20"/>
          <w:vertAlign w:val="superscript"/>
        </w:rPr>
        <w:t>6</w:t>
      </w:r>
      <w:r w:rsidR="008B5498" w:rsidRPr="00FB1640">
        <w:rPr>
          <w:rFonts w:ascii="Trebuchet MS" w:eastAsia="Arial Unicode MS" w:hAnsi="Trebuchet MS" w:cs="Arial"/>
          <w:sz w:val="20"/>
          <w:szCs w:val="20"/>
        </w:rPr>
        <w:t xml:space="preserve"> – ciclopentiladenosina). Constataram que o DPCPX (1mg/kg) bloqueou os efeitos benéficos conferidos pelo IPC, enquanto</w:t>
      </w:r>
      <w:r w:rsidR="008B5498">
        <w:rPr>
          <w:rFonts w:ascii="Trebuchet MS" w:eastAsia="Arial Unicode MS" w:hAnsi="Trebuchet MS" w:cs="Arial"/>
          <w:sz w:val="20"/>
          <w:szCs w:val="20"/>
        </w:rPr>
        <w:t>, a CPA (1mg/kg) protegeu o cérebro, mas não tão bem como o obtido pelo IPC. A CPA conferiu ap</w:t>
      </w:r>
      <w:r w:rsidR="008B5498">
        <w:rPr>
          <w:rFonts w:ascii="Trebuchet MS" w:eastAsia="Arial Unicode MS" w:hAnsi="Trebuchet MS" w:cs="Arial"/>
          <w:sz w:val="20"/>
          <w:szCs w:val="20"/>
        </w:rPr>
        <w:t>e</w:t>
      </w:r>
      <w:r w:rsidR="008B5498">
        <w:rPr>
          <w:rFonts w:ascii="Trebuchet MS" w:eastAsia="Arial Unicode MS" w:hAnsi="Trebuchet MS" w:cs="Arial"/>
          <w:sz w:val="20"/>
          <w:szCs w:val="20"/>
        </w:rPr>
        <w:t xml:space="preserve">nas 70% da protecção neuronal, aplicada 15 minutos antes do primeiro insulto isquémico (não letal), após 3 dias de reperfusão. Assim sendo, os resultados obtidos por Heurteaux </w:t>
      </w:r>
      <w:r w:rsidR="008B5498" w:rsidRPr="008B5498">
        <w:rPr>
          <w:rFonts w:ascii="Trebuchet MS" w:eastAsia="Arial Unicode MS" w:hAnsi="Trebuchet MS" w:cs="Arial"/>
          <w:i/>
          <w:sz w:val="20"/>
          <w:szCs w:val="20"/>
        </w:rPr>
        <w:t>et al.</w:t>
      </w:r>
      <w:r w:rsidR="008B5498">
        <w:rPr>
          <w:rFonts w:ascii="Trebuchet MS" w:eastAsia="Arial Unicode MS" w:hAnsi="Trebuchet MS" w:cs="Arial"/>
          <w:sz w:val="20"/>
          <w:szCs w:val="20"/>
        </w:rPr>
        <w:t xml:space="preserve"> (1995)</w:t>
      </w:r>
      <w:r w:rsidR="00891A0F">
        <w:rPr>
          <w:rFonts w:ascii="Trebuchet MS" w:eastAsia="Arial Unicode MS" w:hAnsi="Trebuchet MS" w:cs="Arial"/>
          <w:sz w:val="20"/>
          <w:szCs w:val="20"/>
        </w:rPr>
        <w:t xml:space="preserve"> sugerem assim, que durante o insulto isquémico não letal (IPC) causou libertação de adenosina (através da proteína G) e que a activação resultante dos A</w:t>
      </w:r>
      <w:r w:rsidR="00891A0F" w:rsidRPr="00891A0F">
        <w:rPr>
          <w:rFonts w:ascii="Trebuchet MS" w:eastAsia="Arial Unicode MS" w:hAnsi="Trebuchet MS" w:cs="Arial"/>
          <w:sz w:val="20"/>
          <w:szCs w:val="20"/>
          <w:vertAlign w:val="subscript"/>
        </w:rPr>
        <w:t>1</w:t>
      </w:r>
      <w:r w:rsidR="00891A0F">
        <w:rPr>
          <w:rFonts w:ascii="Trebuchet MS" w:eastAsia="Arial Unicode MS" w:hAnsi="Trebuchet MS" w:cs="Arial"/>
          <w:sz w:val="20"/>
          <w:szCs w:val="20"/>
        </w:rPr>
        <w:t>Rs activa os canais de KATP, o que confere neuroprotecção contra o insulto isquémico letal (70% de neuroprote</w:t>
      </w:r>
      <w:r w:rsidR="00891A0F">
        <w:rPr>
          <w:rFonts w:ascii="Trebuchet MS" w:eastAsia="Arial Unicode MS" w:hAnsi="Trebuchet MS" w:cs="Arial"/>
          <w:sz w:val="20"/>
          <w:szCs w:val="20"/>
        </w:rPr>
        <w:t>c</w:t>
      </w:r>
      <w:r w:rsidR="00891A0F">
        <w:rPr>
          <w:rFonts w:ascii="Trebuchet MS" w:eastAsia="Arial Unicode MS" w:hAnsi="Trebuchet MS" w:cs="Arial"/>
          <w:sz w:val="20"/>
          <w:szCs w:val="20"/>
        </w:rPr>
        <w:t xml:space="preserve">ção). </w:t>
      </w:r>
      <w:r w:rsidR="00FB1640">
        <w:rPr>
          <w:rFonts w:ascii="Trebuchet MS" w:eastAsia="Arial Unicode MS" w:hAnsi="Trebuchet MS" w:cs="Arial"/>
          <w:sz w:val="20"/>
          <w:szCs w:val="20"/>
        </w:rPr>
        <w:t xml:space="preserve">Sugerem que o IPC também deve activar mecanismos adicionais de protecção para explicar a diferença de 30% obtida entre o IPC e o tratamento com CPA (CPC). Assim sendo, Heurteaux </w:t>
      </w:r>
      <w:r w:rsidR="00FB1640" w:rsidRPr="008B5498">
        <w:rPr>
          <w:rFonts w:ascii="Trebuchet MS" w:eastAsia="Arial Unicode MS" w:hAnsi="Trebuchet MS" w:cs="Arial"/>
          <w:i/>
          <w:sz w:val="20"/>
          <w:szCs w:val="20"/>
        </w:rPr>
        <w:t>et al.</w:t>
      </w:r>
      <w:r w:rsidR="00FB1640">
        <w:rPr>
          <w:rFonts w:ascii="Trebuchet MS" w:eastAsia="Arial Unicode MS" w:hAnsi="Trebuchet MS" w:cs="Arial"/>
          <w:sz w:val="20"/>
          <w:szCs w:val="20"/>
        </w:rPr>
        <w:t xml:space="preserve"> (1995) comprovou o papel da adenosina no IPC (rápido).</w:t>
      </w:r>
    </w:p>
    <w:p w:rsidR="00EB2D72" w:rsidRPr="003B7012" w:rsidRDefault="00EB2D72" w:rsidP="00EB2D72">
      <w:pPr>
        <w:autoSpaceDE w:val="0"/>
        <w:autoSpaceDN w:val="0"/>
        <w:adjustRightInd w:val="0"/>
        <w:spacing w:line="360" w:lineRule="auto"/>
        <w:ind w:firstLine="708"/>
        <w:jc w:val="both"/>
        <w:rPr>
          <w:rFonts w:ascii="Trebuchet MS" w:eastAsiaTheme="minorHAnsi" w:hAnsi="Trebuchet MS"/>
          <w:sz w:val="20"/>
          <w:szCs w:val="20"/>
        </w:rPr>
      </w:pPr>
      <w:r w:rsidRPr="003B7012">
        <w:rPr>
          <w:rFonts w:ascii="Trebuchet MS" w:eastAsiaTheme="minorHAnsi" w:hAnsi="Trebuchet MS"/>
          <w:sz w:val="20"/>
        </w:rPr>
        <w:t xml:space="preserve">Pérez-Pinzón </w:t>
      </w:r>
      <w:r w:rsidR="00194A32" w:rsidRPr="003B7012">
        <w:rPr>
          <w:rFonts w:ascii="Trebuchet MS" w:eastAsiaTheme="minorHAnsi" w:hAnsi="Trebuchet MS"/>
          <w:i/>
          <w:sz w:val="20"/>
        </w:rPr>
        <w:t xml:space="preserve">et al. </w:t>
      </w:r>
      <w:r w:rsidRPr="003B7012">
        <w:rPr>
          <w:rFonts w:ascii="Trebuchet MS" w:eastAsiaTheme="minorHAnsi" w:hAnsi="Trebuchet MS"/>
          <w:sz w:val="20"/>
        </w:rPr>
        <w:t>(1996) estud</w:t>
      </w:r>
      <w:r w:rsidR="00476CE2">
        <w:rPr>
          <w:rFonts w:ascii="Trebuchet MS" w:eastAsiaTheme="minorHAnsi" w:hAnsi="Trebuchet MS"/>
          <w:sz w:val="20"/>
        </w:rPr>
        <w:t>aram</w:t>
      </w:r>
      <w:r w:rsidRPr="003B7012">
        <w:rPr>
          <w:rFonts w:ascii="Trebuchet MS" w:eastAsiaTheme="minorHAnsi" w:hAnsi="Trebuchet MS"/>
          <w:sz w:val="20"/>
        </w:rPr>
        <w:t xml:space="preserve"> se o pré-condicionamento anóxico envolv</w:t>
      </w:r>
      <w:r w:rsidR="004C366D" w:rsidRPr="003B7012">
        <w:rPr>
          <w:rFonts w:ascii="Trebuchet MS" w:eastAsiaTheme="minorHAnsi" w:hAnsi="Trebuchet MS"/>
          <w:sz w:val="20"/>
        </w:rPr>
        <w:t>ia</w:t>
      </w:r>
      <w:r w:rsidRPr="003B7012">
        <w:rPr>
          <w:rFonts w:ascii="Trebuchet MS" w:eastAsiaTheme="minorHAnsi" w:hAnsi="Trebuchet MS"/>
          <w:sz w:val="20"/>
        </w:rPr>
        <w:t xml:space="preserve"> os A</w:t>
      </w:r>
      <w:r w:rsidRPr="003B7012">
        <w:rPr>
          <w:rFonts w:ascii="Trebuchet MS" w:eastAsiaTheme="minorHAnsi" w:hAnsi="Trebuchet MS"/>
          <w:sz w:val="20"/>
          <w:vertAlign w:val="subscript"/>
        </w:rPr>
        <w:t>1</w:t>
      </w:r>
      <w:r w:rsidRPr="003B7012">
        <w:rPr>
          <w:rFonts w:ascii="Trebuchet MS" w:eastAsiaTheme="minorHAnsi" w:hAnsi="Trebuchet MS"/>
          <w:sz w:val="20"/>
        </w:rPr>
        <w:t xml:space="preserve">R. </w:t>
      </w:r>
      <w:r w:rsidRPr="003B7012">
        <w:rPr>
          <w:rFonts w:ascii="Trebuchet MS" w:eastAsiaTheme="minorHAnsi" w:hAnsi="Trebuchet MS"/>
          <w:sz w:val="20"/>
          <w:szCs w:val="20"/>
        </w:rPr>
        <w:t xml:space="preserve">Diversas </w:t>
      </w:r>
      <w:r w:rsidR="0066552A">
        <w:rPr>
          <w:rFonts w:ascii="Trebuchet MS" w:eastAsiaTheme="minorHAnsi" w:hAnsi="Trebuchet MS"/>
          <w:sz w:val="20"/>
          <w:szCs w:val="20"/>
        </w:rPr>
        <w:t>moléculas sinalizadoras</w:t>
      </w:r>
      <w:r w:rsidRPr="003B7012">
        <w:rPr>
          <w:rFonts w:ascii="Trebuchet MS" w:eastAsiaTheme="minorHAnsi" w:hAnsi="Trebuchet MS"/>
          <w:sz w:val="20"/>
          <w:szCs w:val="20"/>
        </w:rPr>
        <w:t xml:space="preserve"> foram implicadas no IPC, incluindo a activação da pr</w:t>
      </w:r>
      <w:r w:rsidRPr="003B7012">
        <w:rPr>
          <w:rFonts w:ascii="Trebuchet MS" w:eastAsiaTheme="minorHAnsi" w:hAnsi="Trebuchet MS"/>
          <w:sz w:val="20"/>
          <w:szCs w:val="20"/>
        </w:rPr>
        <w:t>o</w:t>
      </w:r>
      <w:r w:rsidRPr="003B7012">
        <w:rPr>
          <w:rFonts w:ascii="Trebuchet MS" w:eastAsiaTheme="minorHAnsi" w:hAnsi="Trebuchet MS"/>
          <w:sz w:val="20"/>
          <w:szCs w:val="20"/>
        </w:rPr>
        <w:t xml:space="preserve">teína cinase C (PKC), </w:t>
      </w:r>
      <w:r w:rsidR="0066552A">
        <w:rPr>
          <w:rFonts w:ascii="Trebuchet MS" w:eastAsiaTheme="minorHAnsi" w:hAnsi="Trebuchet MS"/>
          <w:sz w:val="20"/>
          <w:szCs w:val="20"/>
        </w:rPr>
        <w:t xml:space="preserve">canais </w:t>
      </w:r>
      <w:r w:rsidRPr="003B7012">
        <w:rPr>
          <w:rFonts w:ascii="Trebuchet MS" w:eastAsiaTheme="minorHAnsi" w:hAnsi="Trebuchet MS"/>
          <w:sz w:val="20"/>
          <w:szCs w:val="20"/>
        </w:rPr>
        <w:t>K</w:t>
      </w:r>
      <w:r w:rsidRPr="003B7012">
        <w:rPr>
          <w:rFonts w:ascii="Trebuchet MS" w:eastAsiaTheme="minorHAnsi" w:hAnsi="Trebuchet MS"/>
          <w:sz w:val="20"/>
          <w:szCs w:val="20"/>
          <w:vertAlign w:val="subscript"/>
        </w:rPr>
        <w:t>ATP</w:t>
      </w:r>
      <w:r w:rsidRPr="003B7012">
        <w:rPr>
          <w:rFonts w:ascii="Trebuchet MS" w:eastAsiaTheme="minorHAnsi" w:hAnsi="Trebuchet MS"/>
          <w:sz w:val="20"/>
          <w:szCs w:val="20"/>
        </w:rPr>
        <w:t>, PI</w:t>
      </w:r>
      <w:r w:rsidR="0066552A">
        <w:rPr>
          <w:rFonts w:ascii="Trebuchet MS" w:eastAsiaTheme="minorHAnsi" w:hAnsi="Trebuchet MS"/>
          <w:sz w:val="20"/>
          <w:szCs w:val="20"/>
        </w:rPr>
        <w:t xml:space="preserve"> 3-ci</w:t>
      </w:r>
      <w:r w:rsidRPr="003B7012">
        <w:rPr>
          <w:rFonts w:ascii="Trebuchet MS" w:eastAsiaTheme="minorHAnsi" w:hAnsi="Trebuchet MS"/>
          <w:sz w:val="20"/>
          <w:szCs w:val="20"/>
        </w:rPr>
        <w:t>nase, receptores de adenosina e receptores de glut</w:t>
      </w:r>
      <w:r w:rsidRPr="003B7012">
        <w:rPr>
          <w:rFonts w:ascii="Trebuchet MS" w:eastAsiaTheme="minorHAnsi" w:hAnsi="Trebuchet MS"/>
          <w:sz w:val="20"/>
          <w:szCs w:val="20"/>
        </w:rPr>
        <w:t>a</w:t>
      </w:r>
      <w:r w:rsidRPr="003B7012">
        <w:rPr>
          <w:rFonts w:ascii="Trebuchet MS" w:eastAsiaTheme="minorHAnsi" w:hAnsi="Trebuchet MS"/>
          <w:sz w:val="20"/>
          <w:szCs w:val="20"/>
        </w:rPr>
        <w:t xml:space="preserve">mato (Dirnagl </w:t>
      </w:r>
      <w:r w:rsidRPr="00EE3A37">
        <w:rPr>
          <w:rFonts w:ascii="Trebuchet MS" w:eastAsiaTheme="minorHAnsi" w:hAnsi="Trebuchet MS"/>
          <w:i/>
          <w:sz w:val="20"/>
          <w:szCs w:val="20"/>
        </w:rPr>
        <w:t>et al</w:t>
      </w:r>
      <w:r w:rsidR="00EE3A37" w:rsidRPr="00EE3A37">
        <w:rPr>
          <w:rFonts w:ascii="Trebuchet MS" w:eastAsiaTheme="minorHAnsi" w:hAnsi="Trebuchet MS"/>
          <w:i/>
          <w:sz w:val="20"/>
          <w:szCs w:val="20"/>
        </w:rPr>
        <w:t>.</w:t>
      </w:r>
      <w:r w:rsidRPr="003B7012">
        <w:rPr>
          <w:rFonts w:ascii="Trebuchet MS" w:eastAsiaTheme="minorHAnsi" w:hAnsi="Trebuchet MS"/>
          <w:sz w:val="20"/>
          <w:szCs w:val="20"/>
        </w:rPr>
        <w:t>, 2003).</w:t>
      </w:r>
    </w:p>
    <w:p w:rsidR="00E27B7A" w:rsidRPr="003B7012" w:rsidRDefault="00E27B7A" w:rsidP="00E27B7A">
      <w:pPr>
        <w:autoSpaceDE w:val="0"/>
        <w:autoSpaceDN w:val="0"/>
        <w:adjustRightInd w:val="0"/>
        <w:spacing w:line="360" w:lineRule="auto"/>
        <w:ind w:firstLine="708"/>
        <w:jc w:val="both"/>
        <w:rPr>
          <w:rFonts w:ascii="Trebuchet MS" w:eastAsiaTheme="minorHAnsi" w:hAnsi="Trebuchet MS"/>
          <w:sz w:val="20"/>
          <w:szCs w:val="20"/>
        </w:rPr>
      </w:pPr>
      <w:proofErr w:type="gramStart"/>
      <w:r w:rsidRPr="003B7012">
        <w:rPr>
          <w:rFonts w:ascii="Trebuchet MS" w:eastAsiaTheme="minorHAnsi" w:hAnsi="Trebuchet MS"/>
          <w:sz w:val="20"/>
          <w:szCs w:val="20"/>
        </w:rPr>
        <w:t xml:space="preserve">Centeno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(1999) demonstraram</w:t>
      </w:r>
      <w:proofErr w:type="gramEnd"/>
      <w:r w:rsidRPr="003B7012">
        <w:rPr>
          <w:rFonts w:ascii="Trebuchet MS" w:eastAsiaTheme="minorHAnsi" w:hAnsi="Trebuchet MS"/>
          <w:sz w:val="20"/>
          <w:szCs w:val="20"/>
        </w:rPr>
        <w:t xml:space="preserve"> que a adenosina e canais de K</w:t>
      </w:r>
      <w:r w:rsidRPr="003B7012">
        <w:rPr>
          <w:rFonts w:ascii="Trebuchet MS" w:eastAsiaTheme="minorHAnsi" w:hAnsi="Trebuchet MS"/>
          <w:sz w:val="20"/>
          <w:szCs w:val="20"/>
          <w:vertAlign w:val="subscript"/>
        </w:rPr>
        <w:t>ATP</w:t>
      </w:r>
      <w:r w:rsidRPr="003B7012">
        <w:rPr>
          <w:rFonts w:ascii="Trebuchet MS" w:eastAsiaTheme="minorHAnsi" w:hAnsi="Trebuchet MS"/>
          <w:sz w:val="20"/>
          <w:szCs w:val="20"/>
        </w:rPr>
        <w:t xml:space="preserve"> estão envolvidos nos mecanismos de IPC de fase aguda em fatias de hipocampo de ratos. Demonstrar</w:t>
      </w:r>
      <w:r w:rsidR="00AE03EA">
        <w:rPr>
          <w:rFonts w:ascii="Trebuchet MS" w:eastAsiaTheme="minorHAnsi" w:hAnsi="Trebuchet MS"/>
          <w:sz w:val="20"/>
          <w:szCs w:val="20"/>
        </w:rPr>
        <w:t xml:space="preserve">am que activação dos </w:t>
      </w:r>
      <w:r w:rsidRPr="003B7012">
        <w:rPr>
          <w:rFonts w:ascii="Trebuchet MS" w:eastAsiaTheme="minorHAnsi" w:hAnsi="Trebuchet MS"/>
          <w:sz w:val="20"/>
          <w:szCs w:val="20"/>
        </w:rPr>
        <w:t>A</w:t>
      </w:r>
      <w:r w:rsidRPr="00AE03EA">
        <w:rPr>
          <w:rFonts w:ascii="Trebuchet MS" w:eastAsiaTheme="minorHAnsi" w:hAnsi="Trebuchet MS"/>
          <w:sz w:val="20"/>
          <w:szCs w:val="20"/>
          <w:vertAlign w:val="subscript"/>
        </w:rPr>
        <w:t>1</w:t>
      </w:r>
      <w:r w:rsidR="00AE03EA">
        <w:rPr>
          <w:rFonts w:ascii="Trebuchet MS" w:eastAsiaTheme="minorHAnsi" w:hAnsi="Trebuchet MS"/>
          <w:sz w:val="20"/>
          <w:szCs w:val="20"/>
        </w:rPr>
        <w:t xml:space="preserve">Rs </w:t>
      </w:r>
      <w:r w:rsidRPr="003B7012">
        <w:rPr>
          <w:rFonts w:ascii="Trebuchet MS" w:eastAsiaTheme="minorHAnsi" w:hAnsi="Trebuchet MS"/>
          <w:sz w:val="20"/>
          <w:szCs w:val="20"/>
        </w:rPr>
        <w:t>induz a abertura de canais de K</w:t>
      </w:r>
      <w:r w:rsidRPr="003B7012">
        <w:rPr>
          <w:rFonts w:ascii="Trebuchet MS" w:eastAsiaTheme="minorHAnsi" w:hAnsi="Trebuchet MS"/>
          <w:sz w:val="20"/>
          <w:szCs w:val="20"/>
          <w:vertAlign w:val="superscript"/>
        </w:rPr>
        <w:t xml:space="preserve">+ </w:t>
      </w:r>
      <w:r w:rsidRPr="003B7012">
        <w:rPr>
          <w:rFonts w:ascii="Trebuchet MS" w:eastAsiaTheme="minorHAnsi" w:hAnsi="Trebuchet MS"/>
          <w:sz w:val="20"/>
          <w:szCs w:val="20"/>
        </w:rPr>
        <w:t>para promover a protecção do ATP.</w:t>
      </w:r>
    </w:p>
    <w:p w:rsidR="00E27B7A" w:rsidRPr="003B7012" w:rsidRDefault="00E27B7A" w:rsidP="00E27B7A">
      <w:pPr>
        <w:autoSpaceDE w:val="0"/>
        <w:autoSpaceDN w:val="0"/>
        <w:adjustRightInd w:val="0"/>
        <w:spacing w:line="360" w:lineRule="auto"/>
        <w:ind w:firstLine="708"/>
        <w:jc w:val="both"/>
        <w:rPr>
          <w:rFonts w:ascii="Trebuchet MS" w:eastAsiaTheme="minorHAnsi" w:hAnsi="Trebuchet MS"/>
          <w:sz w:val="20"/>
          <w:szCs w:val="20"/>
        </w:rPr>
      </w:pPr>
      <w:r w:rsidRPr="003B7012">
        <w:rPr>
          <w:rFonts w:ascii="Trebuchet MS" w:eastAsiaTheme="minorHAnsi" w:hAnsi="Trebuchet MS"/>
          <w:sz w:val="20"/>
          <w:szCs w:val="20"/>
        </w:rPr>
        <w:t xml:space="preserve">Reshef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 xml:space="preserve">(2000) mostraram que </w:t>
      </w:r>
      <w:r w:rsidR="00F337E6" w:rsidRPr="003B7012">
        <w:rPr>
          <w:rFonts w:ascii="Trebuchet MS" w:eastAsiaTheme="minorHAnsi" w:hAnsi="Trebuchet MS"/>
          <w:sz w:val="20"/>
          <w:szCs w:val="20"/>
        </w:rPr>
        <w:t xml:space="preserve">a neuroprotecção conferida </w:t>
      </w:r>
      <w:r w:rsidR="004E59C9" w:rsidRPr="003B7012">
        <w:rPr>
          <w:rFonts w:ascii="Trebuchet MS" w:eastAsiaTheme="minorHAnsi" w:hAnsi="Trebuchet MS"/>
          <w:sz w:val="20"/>
          <w:szCs w:val="20"/>
        </w:rPr>
        <w:t>pelo pré-condicionamento</w:t>
      </w:r>
      <w:r w:rsidRPr="003B7012">
        <w:rPr>
          <w:rFonts w:ascii="Trebuchet MS" w:eastAsiaTheme="minorHAnsi" w:hAnsi="Trebuchet MS"/>
          <w:sz w:val="20"/>
          <w:szCs w:val="20"/>
        </w:rPr>
        <w:t xml:space="preserve"> </w:t>
      </w:r>
      <w:r w:rsidR="00F337E6" w:rsidRPr="003B7012">
        <w:rPr>
          <w:rFonts w:ascii="Trebuchet MS" w:eastAsiaTheme="minorHAnsi" w:hAnsi="Trebuchet MS"/>
          <w:sz w:val="20"/>
          <w:szCs w:val="20"/>
        </w:rPr>
        <w:t xml:space="preserve">é iniciada </w:t>
      </w:r>
      <w:r w:rsidR="00594658">
        <w:rPr>
          <w:rFonts w:ascii="Trebuchet MS" w:eastAsiaTheme="minorHAnsi" w:hAnsi="Trebuchet MS"/>
          <w:sz w:val="20"/>
          <w:szCs w:val="20"/>
        </w:rPr>
        <w:t xml:space="preserve">por activação dos </w:t>
      </w:r>
      <w:r w:rsidRPr="003B7012">
        <w:rPr>
          <w:rFonts w:ascii="Trebuchet MS" w:eastAsiaTheme="minorHAnsi" w:hAnsi="Trebuchet MS"/>
          <w:sz w:val="20"/>
          <w:szCs w:val="20"/>
        </w:rPr>
        <w:t>receptores de adenosina</w:t>
      </w:r>
      <w:r w:rsidR="004E59C9" w:rsidRPr="003B7012">
        <w:rPr>
          <w:rFonts w:ascii="Trebuchet MS" w:eastAsiaTheme="minorHAnsi" w:hAnsi="Trebuchet MS"/>
          <w:sz w:val="20"/>
          <w:szCs w:val="20"/>
        </w:rPr>
        <w:t>, sendo</w:t>
      </w:r>
      <w:r w:rsidRPr="003B7012">
        <w:rPr>
          <w:rFonts w:ascii="Trebuchet MS" w:eastAsiaTheme="minorHAnsi" w:hAnsi="Trebuchet MS"/>
          <w:sz w:val="20"/>
          <w:szCs w:val="20"/>
        </w:rPr>
        <w:t xml:space="preserve"> mediada atr</w:t>
      </w:r>
      <w:r w:rsidRPr="003B7012">
        <w:rPr>
          <w:rFonts w:ascii="Trebuchet MS" w:eastAsiaTheme="minorHAnsi" w:hAnsi="Trebuchet MS"/>
          <w:sz w:val="20"/>
          <w:szCs w:val="20"/>
        </w:rPr>
        <w:t>a</w:t>
      </w:r>
      <w:r w:rsidRPr="003B7012">
        <w:rPr>
          <w:rFonts w:ascii="Trebuchet MS" w:eastAsiaTheme="minorHAnsi" w:hAnsi="Trebuchet MS"/>
          <w:sz w:val="20"/>
          <w:szCs w:val="20"/>
        </w:rPr>
        <w:t xml:space="preserve">vés da </w:t>
      </w:r>
      <w:r w:rsidR="004E59C9" w:rsidRPr="003B7012">
        <w:rPr>
          <w:rFonts w:ascii="Trebuchet MS" w:eastAsiaTheme="minorHAnsi" w:hAnsi="Trebuchet MS"/>
          <w:sz w:val="20"/>
          <w:szCs w:val="20"/>
        </w:rPr>
        <w:t>activação</w:t>
      </w:r>
      <w:r w:rsidRPr="003B7012">
        <w:rPr>
          <w:rFonts w:ascii="Trebuchet MS" w:eastAsiaTheme="minorHAnsi" w:hAnsi="Trebuchet MS"/>
          <w:sz w:val="20"/>
          <w:szCs w:val="20"/>
        </w:rPr>
        <w:t xml:space="preserve"> de PKC em culturas primárias de </w:t>
      </w:r>
      <w:r w:rsidR="004E59C9" w:rsidRPr="003B7012">
        <w:rPr>
          <w:rFonts w:ascii="Trebuchet MS" w:eastAsiaTheme="minorHAnsi" w:hAnsi="Trebuchet MS"/>
          <w:sz w:val="20"/>
          <w:szCs w:val="20"/>
        </w:rPr>
        <w:t>neurónios</w:t>
      </w:r>
      <w:r w:rsidRPr="003B7012">
        <w:rPr>
          <w:rFonts w:ascii="Trebuchet MS" w:eastAsiaTheme="minorHAnsi" w:hAnsi="Trebuchet MS"/>
          <w:sz w:val="20"/>
          <w:szCs w:val="20"/>
        </w:rPr>
        <w:t xml:space="preserve"> de ratos.</w:t>
      </w:r>
    </w:p>
    <w:p w:rsidR="00D16B17" w:rsidRPr="003B7012" w:rsidRDefault="004E59C9" w:rsidP="004E59C9">
      <w:pPr>
        <w:autoSpaceDE w:val="0"/>
        <w:autoSpaceDN w:val="0"/>
        <w:adjustRightInd w:val="0"/>
        <w:spacing w:line="360" w:lineRule="auto"/>
        <w:ind w:firstLine="708"/>
        <w:jc w:val="both"/>
        <w:rPr>
          <w:rFonts w:ascii="Trebuchet MS" w:eastAsiaTheme="minorHAnsi" w:hAnsi="Trebuchet MS" w:cs="Times-Roman"/>
          <w:sz w:val="20"/>
          <w:szCs w:val="20"/>
        </w:rPr>
      </w:pPr>
      <w:r w:rsidRPr="003B7012">
        <w:rPr>
          <w:rFonts w:ascii="Trebuchet MS" w:eastAsiaTheme="minorHAnsi" w:hAnsi="Trebuchet MS"/>
          <w:sz w:val="20"/>
          <w:szCs w:val="20"/>
        </w:rPr>
        <w:t xml:space="preserve">A </w:t>
      </w:r>
      <w:r w:rsidRPr="003B7012">
        <w:rPr>
          <w:rFonts w:ascii="Trebuchet MS" w:eastAsiaTheme="minorHAnsi" w:hAnsi="Trebuchet MS" w:cs="Times-Roman"/>
          <w:sz w:val="20"/>
          <w:szCs w:val="20"/>
        </w:rPr>
        <w:t>activação dos</w:t>
      </w:r>
      <w:r w:rsidR="00D16B17" w:rsidRPr="003B7012">
        <w:rPr>
          <w:rFonts w:ascii="Trebuchet MS" w:eastAsiaTheme="minorHAnsi" w:hAnsi="Trebuchet MS" w:cs="Times-Roman"/>
          <w:sz w:val="20"/>
          <w:szCs w:val="20"/>
        </w:rPr>
        <w:t xml:space="preserve"> receptores NMDA estimula a </w:t>
      </w:r>
      <w:r w:rsidRPr="003B7012">
        <w:rPr>
          <w:rFonts w:ascii="Trebuchet MS" w:eastAsiaTheme="minorHAnsi" w:hAnsi="Trebuchet MS" w:cs="Times-Roman"/>
          <w:sz w:val="20"/>
          <w:szCs w:val="20"/>
        </w:rPr>
        <w:t>activação</w:t>
      </w:r>
      <w:r w:rsidR="00D16B17" w:rsidRPr="003B7012">
        <w:rPr>
          <w:rFonts w:ascii="Trebuchet MS" w:eastAsiaTheme="minorHAnsi" w:hAnsi="Trebuchet MS" w:cs="Times-Roman"/>
          <w:sz w:val="20"/>
          <w:szCs w:val="20"/>
        </w:rPr>
        <w:t xml:space="preserve"> da ecto-5’-nucleotidase,</w:t>
      </w:r>
      <w:r w:rsidR="004C366D" w:rsidRPr="003B7012">
        <w:rPr>
          <w:rFonts w:ascii="Trebuchet MS" w:eastAsiaTheme="minorHAnsi" w:hAnsi="Trebuchet MS" w:cs="Times-Roman"/>
          <w:sz w:val="20"/>
          <w:szCs w:val="20"/>
        </w:rPr>
        <w:t xml:space="preserve"> </w:t>
      </w:r>
      <w:r w:rsidR="00D16B17" w:rsidRPr="003B7012">
        <w:rPr>
          <w:rFonts w:ascii="Trebuchet MS" w:eastAsiaTheme="minorHAnsi" w:hAnsi="Trebuchet MS" w:cs="Times-Roman"/>
          <w:sz w:val="20"/>
          <w:szCs w:val="20"/>
        </w:rPr>
        <w:t>que por sua vez</w:t>
      </w:r>
      <w:r w:rsidRPr="003B7012">
        <w:rPr>
          <w:rFonts w:ascii="Trebuchet MS" w:eastAsiaTheme="minorHAnsi" w:hAnsi="Trebuchet MS" w:cs="Times-Roman"/>
          <w:sz w:val="20"/>
          <w:szCs w:val="20"/>
        </w:rPr>
        <w:t>,</w:t>
      </w:r>
      <w:r w:rsidR="00D16B17" w:rsidRPr="003B7012">
        <w:rPr>
          <w:rFonts w:ascii="Trebuchet MS" w:eastAsiaTheme="minorHAnsi" w:hAnsi="Trebuchet MS" w:cs="Times-Roman"/>
          <w:sz w:val="20"/>
          <w:szCs w:val="20"/>
        </w:rPr>
        <w:t xml:space="preserve"> degrada a adenosina-5´-monofosfato (AMP) a adenosina, aumentando os níveis intracelulares </w:t>
      </w:r>
      <w:r w:rsidRPr="003B7012">
        <w:rPr>
          <w:rFonts w:ascii="Trebuchet MS" w:eastAsiaTheme="minorHAnsi" w:hAnsi="Trebuchet MS" w:cs="Times-Roman"/>
          <w:sz w:val="20"/>
          <w:szCs w:val="20"/>
        </w:rPr>
        <w:t>de adenosina</w:t>
      </w:r>
      <w:r w:rsidR="00D16B17" w:rsidRPr="003B7012">
        <w:rPr>
          <w:rFonts w:ascii="Trebuchet MS" w:eastAsiaTheme="minorHAnsi" w:hAnsi="Trebuchet MS" w:cs="Times-Roman"/>
          <w:sz w:val="20"/>
          <w:szCs w:val="20"/>
        </w:rPr>
        <w:t>. A</w:t>
      </w:r>
      <w:r w:rsidRPr="003B7012">
        <w:rPr>
          <w:rFonts w:ascii="Trebuchet MS" w:eastAsiaTheme="minorHAnsi" w:hAnsi="Trebuchet MS" w:cs="Times-Roman"/>
          <w:sz w:val="20"/>
          <w:szCs w:val="20"/>
        </w:rPr>
        <w:t xml:space="preserve"> activação dos A</w:t>
      </w:r>
      <w:r w:rsidRPr="000A5E55">
        <w:rPr>
          <w:rFonts w:ascii="Trebuchet MS" w:eastAsiaTheme="minorHAnsi" w:hAnsi="Trebuchet MS" w:cs="Times-Roman"/>
          <w:sz w:val="20"/>
          <w:szCs w:val="20"/>
          <w:vertAlign w:val="subscript"/>
        </w:rPr>
        <w:t>1</w:t>
      </w:r>
      <w:r w:rsidRPr="003B7012">
        <w:rPr>
          <w:rFonts w:ascii="Trebuchet MS" w:eastAsiaTheme="minorHAnsi" w:hAnsi="Trebuchet MS" w:cs="Times-Roman"/>
          <w:sz w:val="20"/>
          <w:szCs w:val="20"/>
        </w:rPr>
        <w:t>R</w:t>
      </w:r>
      <w:r w:rsidR="000A5E55">
        <w:rPr>
          <w:rFonts w:ascii="Trebuchet MS" w:eastAsiaTheme="minorHAnsi" w:hAnsi="Trebuchet MS" w:cs="Times-Roman"/>
          <w:sz w:val="20"/>
          <w:szCs w:val="20"/>
        </w:rPr>
        <w:t>s</w:t>
      </w:r>
      <w:r w:rsidRPr="003B7012">
        <w:rPr>
          <w:rFonts w:ascii="Trebuchet MS" w:eastAsiaTheme="minorHAnsi" w:hAnsi="Trebuchet MS" w:cs="Times-Roman"/>
          <w:sz w:val="20"/>
          <w:szCs w:val="20"/>
        </w:rPr>
        <w:t xml:space="preserve"> pela adenosina </w:t>
      </w:r>
      <w:r w:rsidR="00D16B17" w:rsidRPr="003B7012">
        <w:rPr>
          <w:rFonts w:ascii="Trebuchet MS" w:eastAsiaTheme="minorHAnsi" w:hAnsi="Trebuchet MS" w:cs="Times-Roman"/>
          <w:sz w:val="20"/>
          <w:szCs w:val="20"/>
        </w:rPr>
        <w:t>inibe a excitabilidade ne</w:t>
      </w:r>
      <w:r w:rsidR="00D16B17" w:rsidRPr="003B7012">
        <w:rPr>
          <w:rFonts w:ascii="Trebuchet MS" w:eastAsiaTheme="minorHAnsi" w:hAnsi="Trebuchet MS" w:cs="Times-Roman"/>
          <w:sz w:val="20"/>
          <w:szCs w:val="20"/>
        </w:rPr>
        <w:t>u</w:t>
      </w:r>
      <w:r w:rsidR="00D16B17" w:rsidRPr="003B7012">
        <w:rPr>
          <w:rFonts w:ascii="Trebuchet MS" w:eastAsiaTheme="minorHAnsi" w:hAnsi="Trebuchet MS" w:cs="Times-Roman"/>
          <w:sz w:val="20"/>
          <w:szCs w:val="20"/>
        </w:rPr>
        <w:t>ronal, reduz o influxo</w:t>
      </w:r>
      <w:r w:rsidRPr="003B7012">
        <w:rPr>
          <w:rFonts w:ascii="Trebuchet MS" w:eastAsiaTheme="minorHAnsi" w:hAnsi="Trebuchet MS" w:cs="Times-Roman"/>
          <w:sz w:val="20"/>
          <w:szCs w:val="20"/>
        </w:rPr>
        <w:t xml:space="preserve"> </w:t>
      </w:r>
      <w:r w:rsidR="00D16B17" w:rsidRPr="003B7012">
        <w:rPr>
          <w:rFonts w:ascii="Trebuchet MS" w:eastAsiaTheme="minorHAnsi" w:hAnsi="Trebuchet MS" w:cs="Times-Roman"/>
          <w:sz w:val="20"/>
          <w:szCs w:val="20"/>
        </w:rPr>
        <w:t>de Ca</w:t>
      </w:r>
      <w:r w:rsidR="00D16B17" w:rsidRPr="003B7012">
        <w:rPr>
          <w:rFonts w:ascii="Trebuchet MS" w:eastAsiaTheme="minorHAnsi" w:hAnsi="Trebuchet MS" w:cs="Times-Roman"/>
          <w:sz w:val="20"/>
          <w:szCs w:val="20"/>
          <w:vertAlign w:val="superscript"/>
        </w:rPr>
        <w:t>2+</w:t>
      </w:r>
      <w:r w:rsidR="00D16B17" w:rsidRPr="003B7012">
        <w:rPr>
          <w:rFonts w:ascii="Trebuchet MS" w:eastAsiaTheme="minorHAnsi" w:hAnsi="Trebuchet MS" w:cs="Times-Roman"/>
          <w:sz w:val="20"/>
          <w:szCs w:val="20"/>
        </w:rPr>
        <w:t xml:space="preserve"> e inibe a liber</w:t>
      </w:r>
      <w:r w:rsidRPr="003B7012">
        <w:rPr>
          <w:rFonts w:ascii="Trebuchet MS" w:eastAsiaTheme="minorHAnsi" w:hAnsi="Trebuchet MS" w:cs="Times-Roman"/>
          <w:sz w:val="20"/>
          <w:szCs w:val="20"/>
        </w:rPr>
        <w:t>t</w:t>
      </w:r>
      <w:r w:rsidR="00D16B17" w:rsidRPr="003B7012">
        <w:rPr>
          <w:rFonts w:ascii="Trebuchet MS" w:eastAsiaTheme="minorHAnsi" w:hAnsi="Trebuchet MS" w:cs="Times-Roman"/>
          <w:sz w:val="20"/>
          <w:szCs w:val="20"/>
        </w:rPr>
        <w:t>ação de aminoácidos excitatórios como glutam</w:t>
      </w:r>
      <w:r w:rsidR="00D16B17" w:rsidRPr="003B7012">
        <w:rPr>
          <w:rFonts w:ascii="Trebuchet MS" w:eastAsiaTheme="minorHAnsi" w:hAnsi="Trebuchet MS" w:cs="Times-Roman"/>
          <w:sz w:val="20"/>
          <w:szCs w:val="20"/>
        </w:rPr>
        <w:t>a</w:t>
      </w:r>
      <w:r w:rsidR="00D16B17" w:rsidRPr="003B7012">
        <w:rPr>
          <w:rFonts w:ascii="Trebuchet MS" w:eastAsiaTheme="minorHAnsi" w:hAnsi="Trebuchet MS" w:cs="Times-Roman"/>
          <w:sz w:val="20"/>
          <w:szCs w:val="20"/>
        </w:rPr>
        <w:t>to e aspartato,</w:t>
      </w:r>
      <w:r w:rsidRPr="003B7012">
        <w:rPr>
          <w:rFonts w:ascii="Trebuchet MS" w:eastAsiaTheme="minorHAnsi" w:hAnsi="Trebuchet MS" w:cs="Times-Roman"/>
          <w:sz w:val="20"/>
          <w:szCs w:val="20"/>
        </w:rPr>
        <w:t xml:space="preserve"> </w:t>
      </w:r>
      <w:r w:rsidR="00D16B17" w:rsidRPr="003B7012">
        <w:rPr>
          <w:rFonts w:ascii="Trebuchet MS" w:eastAsiaTheme="minorHAnsi" w:hAnsi="Trebuchet MS" w:cs="Times-Roman"/>
          <w:sz w:val="20"/>
          <w:szCs w:val="20"/>
        </w:rPr>
        <w:t xml:space="preserve">contribuindo assim para a obtenção de um estado </w:t>
      </w:r>
      <w:r w:rsidRPr="003B7012">
        <w:rPr>
          <w:rFonts w:ascii="Trebuchet MS" w:eastAsiaTheme="minorHAnsi" w:hAnsi="Trebuchet MS" w:cs="Times-Roman"/>
          <w:sz w:val="20"/>
          <w:szCs w:val="20"/>
        </w:rPr>
        <w:t>neuroprotecção</w:t>
      </w:r>
      <w:r w:rsidR="00D16B17" w:rsidRPr="003B7012">
        <w:rPr>
          <w:rFonts w:ascii="Trebuchet MS" w:eastAsiaTheme="minorHAnsi" w:hAnsi="Trebuchet MS" w:cs="Times-Roman"/>
          <w:sz w:val="20"/>
          <w:szCs w:val="20"/>
        </w:rPr>
        <w:t xml:space="preserve"> (Boeck </w:t>
      </w:r>
      <w:r w:rsidR="00F96813" w:rsidRPr="003B7012">
        <w:rPr>
          <w:rFonts w:ascii="Trebuchet MS" w:eastAsiaTheme="minorHAnsi" w:hAnsi="Trebuchet MS" w:cs="Times-Roman"/>
          <w:i/>
          <w:sz w:val="20"/>
          <w:szCs w:val="20"/>
        </w:rPr>
        <w:t>et al.</w:t>
      </w:r>
      <w:r w:rsidR="00D16B17" w:rsidRPr="003B7012">
        <w:rPr>
          <w:rFonts w:ascii="Trebuchet MS" w:eastAsiaTheme="minorHAnsi" w:hAnsi="Trebuchet MS" w:cs="Times-Roman"/>
          <w:sz w:val="20"/>
          <w:szCs w:val="20"/>
        </w:rPr>
        <w:t>, 2007).</w:t>
      </w:r>
    </w:p>
    <w:p w:rsidR="00560D43" w:rsidRPr="00751D14" w:rsidRDefault="00560D43" w:rsidP="000C2125">
      <w:pPr>
        <w:pStyle w:val="Corpodetexto"/>
        <w:spacing w:line="360" w:lineRule="auto"/>
        <w:ind w:firstLine="720"/>
        <w:rPr>
          <w:rFonts w:ascii="Trebuchet MS" w:hAnsi="Trebuchet MS"/>
        </w:rPr>
      </w:pPr>
    </w:p>
    <w:p w:rsidR="00D16B17" w:rsidRPr="000A5E55" w:rsidRDefault="00D16B17" w:rsidP="00D16B17">
      <w:pPr>
        <w:autoSpaceDE w:val="0"/>
        <w:autoSpaceDN w:val="0"/>
        <w:adjustRightInd w:val="0"/>
        <w:rPr>
          <w:rFonts w:ascii="Trebuchet MS" w:eastAsiaTheme="minorHAnsi" w:hAnsi="Trebuchet MS"/>
          <w:b/>
          <w:smallCaps/>
          <w:shadow/>
          <w:color w:val="CC6600"/>
          <w:sz w:val="20"/>
          <w:szCs w:val="20"/>
          <w:u w:val="single"/>
        </w:rPr>
      </w:pPr>
      <w:r w:rsidRPr="000A5E55">
        <w:rPr>
          <w:rFonts w:ascii="Trebuchet MS" w:hAnsi="Trebuchet MS" w:cs="Arial"/>
          <w:sz w:val="20"/>
          <w:szCs w:val="20"/>
          <w:lang w:eastAsia="pt-PT"/>
        </w:rPr>
        <w:sym w:font="Wingdings" w:char="F0D6"/>
      </w:r>
      <w:r w:rsidRPr="000A5E55">
        <w:rPr>
          <w:rFonts w:ascii="Trebuchet MS" w:eastAsiaTheme="minorHAnsi" w:hAnsi="Trebuchet MS" w:cs="AdvTT5843c571"/>
          <w:b/>
          <w:smallCaps/>
          <w:shadow/>
          <w:sz w:val="20"/>
          <w:szCs w:val="20"/>
          <w:u w:val="single"/>
        </w:rPr>
        <w:t>Estudos desenvolvidos por outros investigadores sobre Adenosina e CPA</w:t>
      </w:r>
    </w:p>
    <w:p w:rsidR="00C827EF" w:rsidRPr="00751D14" w:rsidRDefault="00C827EF" w:rsidP="000A5E55">
      <w:pPr>
        <w:pStyle w:val="Corpodetexto"/>
        <w:ind w:firstLine="720"/>
        <w:rPr>
          <w:rFonts w:ascii="Trebuchet MS" w:hAnsi="Trebuchet MS"/>
        </w:rPr>
      </w:pPr>
    </w:p>
    <w:p w:rsidR="00262ABC" w:rsidRPr="003B7012" w:rsidRDefault="00262ABC" w:rsidP="00262ABC">
      <w:pPr>
        <w:autoSpaceDE w:val="0"/>
        <w:autoSpaceDN w:val="0"/>
        <w:adjustRightInd w:val="0"/>
        <w:spacing w:line="360" w:lineRule="auto"/>
        <w:ind w:firstLine="708"/>
        <w:jc w:val="both"/>
        <w:rPr>
          <w:rFonts w:ascii="Trebuchet MS" w:eastAsiaTheme="minorHAnsi" w:hAnsi="Trebuchet MS"/>
          <w:sz w:val="20"/>
          <w:szCs w:val="20"/>
        </w:rPr>
      </w:pPr>
      <w:r w:rsidRPr="003B7012">
        <w:rPr>
          <w:rFonts w:ascii="Trebuchet MS" w:eastAsiaTheme="minorHAnsi" w:hAnsi="Trebuchet MS"/>
          <w:sz w:val="20"/>
          <w:szCs w:val="20"/>
        </w:rPr>
        <w:t xml:space="preserve">Cunha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(1995) observou que em ratos adultos (24 meses de idade) ocorre dim</w:t>
      </w:r>
      <w:r w:rsidRPr="003B7012">
        <w:rPr>
          <w:rFonts w:ascii="Trebuchet MS" w:eastAsiaTheme="minorHAnsi" w:hAnsi="Trebuchet MS"/>
          <w:sz w:val="20"/>
          <w:szCs w:val="20"/>
        </w:rPr>
        <w:t>i</w:t>
      </w:r>
      <w:r w:rsidRPr="003B7012">
        <w:rPr>
          <w:rFonts w:ascii="Trebuchet MS" w:eastAsiaTheme="minorHAnsi" w:hAnsi="Trebuchet MS"/>
          <w:sz w:val="20"/>
          <w:szCs w:val="20"/>
        </w:rPr>
        <w:t xml:space="preserve">nuição </w:t>
      </w:r>
      <w:r w:rsidR="000A5E55">
        <w:rPr>
          <w:rFonts w:ascii="Trebuchet MS" w:eastAsiaTheme="minorHAnsi" w:hAnsi="Trebuchet MS"/>
          <w:sz w:val="20"/>
          <w:szCs w:val="20"/>
        </w:rPr>
        <w:t>A</w:t>
      </w:r>
      <w:r w:rsidR="000A5E55" w:rsidRPr="000A5E55">
        <w:rPr>
          <w:rFonts w:ascii="Trebuchet MS" w:eastAsiaTheme="minorHAnsi" w:hAnsi="Trebuchet MS"/>
          <w:sz w:val="20"/>
          <w:szCs w:val="20"/>
          <w:vertAlign w:val="subscript"/>
        </w:rPr>
        <w:t>1</w:t>
      </w:r>
      <w:r w:rsidR="000A5E55">
        <w:rPr>
          <w:rFonts w:ascii="Trebuchet MS" w:eastAsiaTheme="minorHAnsi" w:hAnsi="Trebuchet MS"/>
          <w:sz w:val="20"/>
          <w:szCs w:val="20"/>
        </w:rPr>
        <w:t>Rs</w:t>
      </w:r>
      <w:r w:rsidRPr="003B7012">
        <w:rPr>
          <w:rFonts w:ascii="Trebuchet MS" w:eastAsiaTheme="minorHAnsi" w:hAnsi="Trebuchet MS"/>
          <w:sz w:val="20"/>
          <w:szCs w:val="20"/>
        </w:rPr>
        <w:t xml:space="preserve"> (33%) nas membranas do hipocampo, o que sugere uma menor capacidade da adenosina em modular a transmissão sináptica no hipocampo de ratos adultos. No entanto, o </w:t>
      </w:r>
      <w:r w:rsidRPr="003B7012">
        <w:rPr>
          <w:rFonts w:ascii="Trebuchet MS" w:eastAsiaTheme="minorHAnsi" w:hAnsi="Trebuchet MS"/>
          <w:sz w:val="20"/>
          <w:szCs w:val="20"/>
        </w:rPr>
        <w:lastRenderedPageBreak/>
        <w:t>número de receptores é apenas um dos parâmetros que controlam a resposta a uma substâ</w:t>
      </w:r>
      <w:r w:rsidRPr="003B7012">
        <w:rPr>
          <w:rFonts w:ascii="Trebuchet MS" w:eastAsiaTheme="minorHAnsi" w:hAnsi="Trebuchet MS"/>
          <w:sz w:val="20"/>
          <w:szCs w:val="20"/>
        </w:rPr>
        <w:t>n</w:t>
      </w:r>
      <w:r w:rsidRPr="003B7012">
        <w:rPr>
          <w:rFonts w:ascii="Trebuchet MS" w:eastAsiaTheme="minorHAnsi" w:hAnsi="Trebuchet MS"/>
          <w:sz w:val="20"/>
          <w:szCs w:val="20"/>
        </w:rPr>
        <w:t xml:space="preserve">cia (Sebastião </w:t>
      </w:r>
      <w:r w:rsidR="00F96813" w:rsidRPr="003B7012">
        <w:rPr>
          <w:rFonts w:ascii="Trebuchet MS" w:eastAsiaTheme="minorHAnsi" w:hAnsi="Trebuchet MS"/>
          <w:i/>
          <w:sz w:val="20"/>
          <w:szCs w:val="20"/>
        </w:rPr>
        <w:t>et al.</w:t>
      </w:r>
      <w:r w:rsidRPr="003B7012">
        <w:rPr>
          <w:rFonts w:ascii="Trebuchet MS" w:eastAsiaTheme="minorHAnsi" w:hAnsi="Trebuchet MS"/>
          <w:sz w:val="20"/>
          <w:szCs w:val="20"/>
        </w:rPr>
        <w:t xml:space="preserve">, 2000). </w:t>
      </w:r>
    </w:p>
    <w:p w:rsidR="004E59C9" w:rsidRPr="003B7012" w:rsidRDefault="0020527F" w:rsidP="004E59C9">
      <w:pPr>
        <w:autoSpaceDE w:val="0"/>
        <w:autoSpaceDN w:val="0"/>
        <w:adjustRightInd w:val="0"/>
        <w:spacing w:line="360" w:lineRule="auto"/>
        <w:ind w:firstLine="708"/>
        <w:jc w:val="both"/>
        <w:rPr>
          <w:rFonts w:ascii="Trebuchet MS" w:eastAsiaTheme="minorHAnsi" w:hAnsi="Trebuchet MS"/>
          <w:sz w:val="20"/>
          <w:szCs w:val="20"/>
        </w:rPr>
      </w:pPr>
      <w:r w:rsidRPr="003B7012">
        <w:rPr>
          <w:rFonts w:ascii="Trebuchet MS" w:eastAsiaTheme="minorHAnsi" w:hAnsi="Trebuchet MS"/>
          <w:sz w:val="20"/>
          <w:szCs w:val="20"/>
        </w:rPr>
        <w:t xml:space="preserve">Em 1996, Pérez-Pinzón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descobriram que os receptores de adenosina podem mediar o pré-condicionamento anóxico</w:t>
      </w:r>
      <w:r w:rsidR="004E59C9" w:rsidRPr="003B7012">
        <w:rPr>
          <w:rFonts w:ascii="Trebuchet MS" w:eastAsiaTheme="minorHAnsi" w:hAnsi="Trebuchet MS"/>
          <w:sz w:val="20"/>
          <w:szCs w:val="20"/>
        </w:rPr>
        <w:t xml:space="preserve"> (APC)</w:t>
      </w:r>
      <w:r w:rsidRPr="003B7012">
        <w:rPr>
          <w:rFonts w:ascii="Trebuchet MS" w:eastAsiaTheme="minorHAnsi" w:hAnsi="Trebuchet MS"/>
          <w:sz w:val="20"/>
          <w:szCs w:val="20"/>
        </w:rPr>
        <w:t xml:space="preserve"> em fatias de hipocampo. Comprovaram que o DPCPX</w:t>
      </w:r>
      <w:r w:rsidR="004E59C9" w:rsidRPr="003B7012">
        <w:rPr>
          <w:rFonts w:ascii="Trebuchet MS" w:eastAsiaTheme="minorHAnsi" w:hAnsi="Trebuchet MS"/>
          <w:sz w:val="20"/>
          <w:szCs w:val="20"/>
        </w:rPr>
        <w:t xml:space="preserve"> </w:t>
      </w:r>
      <w:r w:rsidR="004C5447">
        <w:rPr>
          <w:rFonts w:ascii="Trebuchet MS" w:eastAsiaTheme="minorHAnsi" w:hAnsi="Trebuchet MS"/>
          <w:sz w:val="20"/>
          <w:szCs w:val="20"/>
        </w:rPr>
        <w:t>(antagonista do</w:t>
      </w:r>
      <w:r w:rsidRPr="003B7012">
        <w:rPr>
          <w:rFonts w:ascii="Trebuchet MS" w:eastAsiaTheme="minorHAnsi" w:hAnsi="Trebuchet MS"/>
          <w:sz w:val="20"/>
          <w:szCs w:val="20"/>
        </w:rPr>
        <w:t xml:space="preserve"> A</w:t>
      </w:r>
      <w:r w:rsidRPr="003B7012">
        <w:rPr>
          <w:rFonts w:ascii="Trebuchet MS" w:eastAsiaTheme="minorHAnsi" w:hAnsi="Trebuchet MS"/>
          <w:sz w:val="20"/>
          <w:szCs w:val="20"/>
          <w:vertAlign w:val="subscript"/>
        </w:rPr>
        <w:t>1</w:t>
      </w:r>
      <w:r w:rsidR="004C5447">
        <w:rPr>
          <w:rFonts w:ascii="Trebuchet MS" w:eastAsiaTheme="minorHAnsi" w:hAnsi="Trebuchet MS"/>
          <w:sz w:val="20"/>
          <w:szCs w:val="20"/>
        </w:rPr>
        <w:t>R)</w:t>
      </w:r>
      <w:r w:rsidR="00594658">
        <w:rPr>
          <w:rFonts w:ascii="Trebuchet MS" w:eastAsiaTheme="minorHAnsi" w:hAnsi="Trebuchet MS"/>
          <w:sz w:val="20"/>
          <w:szCs w:val="20"/>
        </w:rPr>
        <w:t xml:space="preserve"> bloqueia o APC. Por outro lado, a a</w:t>
      </w:r>
      <w:r w:rsidRPr="003B7012">
        <w:rPr>
          <w:rFonts w:ascii="Trebuchet MS" w:eastAsiaTheme="minorHAnsi" w:hAnsi="Trebuchet MS"/>
          <w:sz w:val="20"/>
          <w:szCs w:val="20"/>
        </w:rPr>
        <w:t xml:space="preserve">denosina e </w:t>
      </w:r>
      <w:r w:rsidR="00594658">
        <w:rPr>
          <w:rFonts w:ascii="Trebuchet MS" w:eastAsiaTheme="minorHAnsi" w:hAnsi="Trebuchet MS"/>
          <w:sz w:val="20"/>
          <w:szCs w:val="20"/>
        </w:rPr>
        <w:t xml:space="preserve">a </w:t>
      </w:r>
      <w:r w:rsidRPr="003B7012">
        <w:rPr>
          <w:rFonts w:ascii="Trebuchet MS" w:eastAsiaTheme="minorHAnsi" w:hAnsi="Trebuchet MS"/>
          <w:sz w:val="20"/>
          <w:szCs w:val="20"/>
        </w:rPr>
        <w:t>2-Cado</w:t>
      </w:r>
      <w:r w:rsidR="004E59C9" w:rsidRPr="003B7012">
        <w:rPr>
          <w:rFonts w:ascii="Trebuchet MS" w:eastAsiaTheme="minorHAnsi" w:hAnsi="Trebuchet MS"/>
          <w:sz w:val="20"/>
          <w:szCs w:val="20"/>
        </w:rPr>
        <w:t xml:space="preserve"> </w:t>
      </w:r>
      <w:r w:rsidRPr="003B7012">
        <w:rPr>
          <w:rFonts w:ascii="Trebuchet MS" w:eastAsiaTheme="minorHAnsi" w:hAnsi="Trebuchet MS"/>
          <w:sz w:val="20"/>
          <w:szCs w:val="20"/>
        </w:rPr>
        <w:t>(</w:t>
      </w:r>
      <w:r w:rsidR="00BE3EFC" w:rsidRPr="00572B61">
        <w:rPr>
          <w:rFonts w:ascii="Trebuchet MS" w:hAnsi="Trebuchet MS"/>
          <w:sz w:val="20"/>
          <w:szCs w:val="20"/>
        </w:rPr>
        <w:t>2- Cl</w:t>
      </w:r>
      <w:r w:rsidR="00BE3EFC" w:rsidRPr="00572B61">
        <w:rPr>
          <w:rFonts w:ascii="Trebuchet MS" w:hAnsi="Trebuchet MS"/>
          <w:sz w:val="20"/>
          <w:szCs w:val="20"/>
        </w:rPr>
        <w:t>o</w:t>
      </w:r>
      <w:r w:rsidR="00BE3EFC" w:rsidRPr="00572B61">
        <w:rPr>
          <w:rFonts w:ascii="Trebuchet MS" w:hAnsi="Trebuchet MS"/>
          <w:sz w:val="20"/>
          <w:szCs w:val="20"/>
        </w:rPr>
        <w:t>roadenosina</w:t>
      </w:r>
      <w:r w:rsidR="00007E21">
        <w:rPr>
          <w:rFonts w:ascii="Trebuchet MS" w:eastAsiaTheme="minorHAnsi" w:hAnsi="Trebuchet MS"/>
          <w:sz w:val="20"/>
          <w:szCs w:val="20"/>
        </w:rPr>
        <w:t>,</w:t>
      </w:r>
      <w:r w:rsidR="00BE3EFC">
        <w:rPr>
          <w:rFonts w:ascii="Trebuchet MS" w:eastAsiaTheme="minorHAnsi" w:hAnsi="Trebuchet MS"/>
          <w:sz w:val="20"/>
          <w:szCs w:val="20"/>
        </w:rPr>
        <w:t xml:space="preserve"> </w:t>
      </w:r>
      <w:r w:rsidRPr="003B7012">
        <w:rPr>
          <w:rFonts w:ascii="Trebuchet MS" w:eastAsiaTheme="minorHAnsi" w:hAnsi="Trebuchet MS"/>
          <w:sz w:val="20"/>
          <w:szCs w:val="20"/>
        </w:rPr>
        <w:t xml:space="preserve">agonista do </w:t>
      </w:r>
      <w:r w:rsidR="001448E3" w:rsidRPr="003B7012">
        <w:rPr>
          <w:rFonts w:ascii="Trebuchet MS" w:eastAsiaTheme="minorHAnsi" w:hAnsi="Trebuchet MS"/>
          <w:sz w:val="20"/>
          <w:szCs w:val="20"/>
        </w:rPr>
        <w:t>A</w:t>
      </w:r>
      <w:r w:rsidR="001448E3" w:rsidRPr="003B7012">
        <w:rPr>
          <w:rFonts w:ascii="Trebuchet MS" w:eastAsiaTheme="minorHAnsi" w:hAnsi="Trebuchet MS"/>
          <w:sz w:val="20"/>
          <w:szCs w:val="20"/>
          <w:vertAlign w:val="subscript"/>
        </w:rPr>
        <w:t>1</w:t>
      </w:r>
      <w:r w:rsidR="001448E3">
        <w:rPr>
          <w:rFonts w:ascii="Trebuchet MS" w:eastAsiaTheme="minorHAnsi" w:hAnsi="Trebuchet MS"/>
          <w:sz w:val="20"/>
          <w:szCs w:val="20"/>
        </w:rPr>
        <w:t>R</w:t>
      </w:r>
      <w:r w:rsidRPr="003B7012">
        <w:rPr>
          <w:rFonts w:ascii="Trebuchet MS" w:eastAsiaTheme="minorHAnsi" w:hAnsi="Trebuchet MS"/>
          <w:sz w:val="20"/>
          <w:szCs w:val="20"/>
        </w:rPr>
        <w:t xml:space="preserve">) fornecem protecção semelhante </w:t>
      </w:r>
      <w:r w:rsidR="00594658">
        <w:rPr>
          <w:rFonts w:ascii="Trebuchet MS" w:eastAsiaTheme="minorHAnsi" w:hAnsi="Trebuchet MS"/>
          <w:sz w:val="20"/>
          <w:szCs w:val="20"/>
        </w:rPr>
        <w:t>à produzida</w:t>
      </w:r>
      <w:r w:rsidRPr="003B7012">
        <w:rPr>
          <w:rFonts w:ascii="Trebuchet MS" w:eastAsiaTheme="minorHAnsi" w:hAnsi="Trebuchet MS"/>
          <w:sz w:val="20"/>
          <w:szCs w:val="20"/>
        </w:rPr>
        <w:t xml:space="preserve"> pelo APC. </w:t>
      </w:r>
      <w:r w:rsidR="004E59C9" w:rsidRPr="003B7012">
        <w:rPr>
          <w:rFonts w:ascii="Trebuchet MS" w:eastAsiaTheme="minorHAnsi" w:hAnsi="Trebuchet MS"/>
          <w:sz w:val="20"/>
          <w:szCs w:val="20"/>
        </w:rPr>
        <w:t xml:space="preserve">Apesar </w:t>
      </w:r>
      <w:proofErr w:type="gramStart"/>
      <w:r w:rsidR="004E59C9" w:rsidRPr="003B7012">
        <w:rPr>
          <w:rFonts w:ascii="Trebuchet MS" w:eastAsiaTheme="minorHAnsi" w:hAnsi="Trebuchet MS"/>
          <w:sz w:val="20"/>
          <w:szCs w:val="20"/>
        </w:rPr>
        <w:t>d</w:t>
      </w:r>
      <w:r w:rsidR="00594658">
        <w:rPr>
          <w:rFonts w:ascii="Trebuchet MS" w:eastAsiaTheme="minorHAnsi" w:hAnsi="Trebuchet MS"/>
          <w:sz w:val="20"/>
          <w:szCs w:val="20"/>
        </w:rPr>
        <w:t>a</w:t>
      </w:r>
      <w:proofErr w:type="gramEnd"/>
      <w:r w:rsidR="004E59C9" w:rsidRPr="003B7012">
        <w:rPr>
          <w:rFonts w:ascii="Trebuchet MS" w:eastAsiaTheme="minorHAnsi" w:hAnsi="Trebuchet MS"/>
          <w:sz w:val="20"/>
          <w:szCs w:val="20"/>
        </w:rPr>
        <w:t xml:space="preserve"> 2-CADO apresentar maior selectividade para o subtipo de receptores A</w:t>
      </w:r>
      <w:r w:rsidR="004E59C9" w:rsidRPr="001448E3">
        <w:rPr>
          <w:rFonts w:ascii="Trebuchet MS" w:eastAsiaTheme="minorHAnsi" w:hAnsi="Trebuchet MS"/>
          <w:sz w:val="20"/>
          <w:szCs w:val="20"/>
          <w:vertAlign w:val="subscript"/>
        </w:rPr>
        <w:t>1</w:t>
      </w:r>
      <w:r w:rsidR="004E59C9" w:rsidRPr="003B7012">
        <w:rPr>
          <w:rFonts w:ascii="Trebuchet MS" w:eastAsiaTheme="minorHAnsi" w:hAnsi="Trebuchet MS"/>
          <w:sz w:val="20"/>
          <w:szCs w:val="20"/>
        </w:rPr>
        <w:t xml:space="preserve"> que os A</w:t>
      </w:r>
      <w:r w:rsidR="004E59C9" w:rsidRPr="001448E3">
        <w:rPr>
          <w:rFonts w:ascii="Trebuchet MS" w:eastAsiaTheme="minorHAnsi" w:hAnsi="Trebuchet MS"/>
          <w:sz w:val="20"/>
          <w:szCs w:val="20"/>
          <w:vertAlign w:val="subscript"/>
        </w:rPr>
        <w:t>2</w:t>
      </w:r>
      <w:r w:rsidR="004E59C9" w:rsidRPr="003B7012">
        <w:rPr>
          <w:rFonts w:ascii="Trebuchet MS" w:eastAsiaTheme="minorHAnsi" w:hAnsi="Trebuchet MS"/>
          <w:sz w:val="20"/>
          <w:szCs w:val="20"/>
        </w:rPr>
        <w:t>, a co</w:t>
      </w:r>
      <w:r w:rsidR="004E59C9" w:rsidRPr="003B7012">
        <w:rPr>
          <w:rFonts w:ascii="Trebuchet MS" w:eastAsiaTheme="minorHAnsi" w:hAnsi="Trebuchet MS"/>
          <w:sz w:val="20"/>
          <w:szCs w:val="20"/>
        </w:rPr>
        <w:t>n</w:t>
      </w:r>
      <w:r w:rsidR="004E59C9" w:rsidRPr="003B7012">
        <w:rPr>
          <w:rFonts w:ascii="Trebuchet MS" w:eastAsiaTheme="minorHAnsi" w:hAnsi="Trebuchet MS"/>
          <w:sz w:val="20"/>
          <w:szCs w:val="20"/>
        </w:rPr>
        <w:t>centração utilizada (10</w:t>
      </w:r>
      <w:r w:rsidR="004E59C9" w:rsidRPr="003B7012">
        <w:rPr>
          <w:rFonts w:ascii="Trebuchet MS" w:eastAsiaTheme="minorHAnsi" w:hAnsi="Trebuchet MS"/>
          <w:sz w:val="20"/>
          <w:szCs w:val="20"/>
        </w:rPr>
        <w:sym w:font="Symbol" w:char="F06D"/>
      </w:r>
      <w:r w:rsidR="004E59C9" w:rsidRPr="003B7012">
        <w:rPr>
          <w:rFonts w:ascii="Trebuchet MS" w:eastAsiaTheme="minorHAnsi" w:hAnsi="Trebuchet MS"/>
          <w:sz w:val="20"/>
          <w:szCs w:val="20"/>
        </w:rPr>
        <w:t xml:space="preserve">M) provavelmente activou ambos </w:t>
      </w:r>
      <w:r w:rsidR="004C7286">
        <w:rPr>
          <w:rFonts w:ascii="Trebuchet MS" w:eastAsiaTheme="minorHAnsi" w:hAnsi="Trebuchet MS"/>
          <w:sz w:val="20"/>
          <w:szCs w:val="20"/>
        </w:rPr>
        <w:t xml:space="preserve">os </w:t>
      </w:r>
      <w:r w:rsidR="004E59C9" w:rsidRPr="003B7012">
        <w:rPr>
          <w:rFonts w:ascii="Trebuchet MS" w:eastAsiaTheme="minorHAnsi" w:hAnsi="Trebuchet MS"/>
          <w:sz w:val="20"/>
          <w:szCs w:val="20"/>
        </w:rPr>
        <w:t>receptores. Além disso, o bl</w:t>
      </w:r>
      <w:r w:rsidR="004E59C9" w:rsidRPr="003B7012">
        <w:rPr>
          <w:rFonts w:ascii="Trebuchet MS" w:eastAsiaTheme="minorHAnsi" w:hAnsi="Trebuchet MS"/>
          <w:sz w:val="20"/>
          <w:szCs w:val="20"/>
        </w:rPr>
        <w:t>o</w:t>
      </w:r>
      <w:r w:rsidR="004E59C9" w:rsidRPr="003B7012">
        <w:rPr>
          <w:rFonts w:ascii="Trebuchet MS" w:eastAsiaTheme="minorHAnsi" w:hAnsi="Trebuchet MS"/>
          <w:sz w:val="20"/>
          <w:szCs w:val="20"/>
        </w:rPr>
        <w:t>queio do pré-condicionamento anóxico pela DPCPX 5</w:t>
      </w:r>
      <w:r w:rsidR="004E59C9" w:rsidRPr="003B7012">
        <w:rPr>
          <w:rFonts w:ascii="Trebuchet MS" w:eastAsiaTheme="minorHAnsi" w:hAnsi="Trebuchet MS"/>
          <w:sz w:val="20"/>
          <w:szCs w:val="20"/>
        </w:rPr>
        <w:sym w:font="Symbol" w:char="F06D"/>
      </w:r>
      <w:r w:rsidR="004E59C9" w:rsidRPr="003B7012">
        <w:rPr>
          <w:rFonts w:ascii="Trebuchet MS" w:eastAsiaTheme="minorHAnsi" w:hAnsi="Trebuchet MS"/>
          <w:sz w:val="20"/>
          <w:szCs w:val="20"/>
        </w:rPr>
        <w:t>M sugere que a neuroprotecção envolve os receptores de adenosina do tipo A</w:t>
      </w:r>
      <w:r w:rsidR="004E59C9" w:rsidRPr="00AF5B03">
        <w:rPr>
          <w:rFonts w:ascii="Trebuchet MS" w:eastAsiaTheme="minorHAnsi" w:hAnsi="Trebuchet MS"/>
          <w:sz w:val="20"/>
          <w:szCs w:val="20"/>
          <w:vertAlign w:val="subscript"/>
        </w:rPr>
        <w:t>1</w:t>
      </w:r>
      <w:r w:rsidR="004E59C9" w:rsidRPr="003B7012">
        <w:rPr>
          <w:rFonts w:ascii="Trebuchet MS" w:eastAsiaTheme="minorHAnsi" w:hAnsi="Trebuchet MS"/>
          <w:sz w:val="20"/>
          <w:szCs w:val="20"/>
        </w:rPr>
        <w:t xml:space="preserve"> mas não rejeita o papel de outros factores, tais como, a activação </w:t>
      </w:r>
      <w:r w:rsidR="00AF5B03">
        <w:rPr>
          <w:rFonts w:ascii="Trebuchet MS" w:eastAsiaTheme="minorHAnsi" w:hAnsi="Trebuchet MS"/>
          <w:sz w:val="20"/>
          <w:szCs w:val="20"/>
        </w:rPr>
        <w:t xml:space="preserve">dos </w:t>
      </w:r>
      <w:r w:rsidR="004E59C9" w:rsidRPr="003B7012">
        <w:rPr>
          <w:rFonts w:ascii="Trebuchet MS" w:eastAsiaTheme="minorHAnsi" w:hAnsi="Trebuchet MS"/>
          <w:sz w:val="20"/>
          <w:szCs w:val="20"/>
        </w:rPr>
        <w:t>A</w:t>
      </w:r>
      <w:r w:rsidR="004E59C9" w:rsidRPr="0068460E">
        <w:rPr>
          <w:rFonts w:ascii="Trebuchet MS" w:eastAsiaTheme="minorHAnsi" w:hAnsi="Trebuchet MS"/>
          <w:sz w:val="20"/>
          <w:szCs w:val="20"/>
          <w:vertAlign w:val="subscript"/>
        </w:rPr>
        <w:t>2</w:t>
      </w:r>
      <w:r w:rsidR="00AF5B03">
        <w:rPr>
          <w:rFonts w:ascii="Trebuchet MS" w:eastAsiaTheme="minorHAnsi" w:hAnsi="Trebuchet MS"/>
          <w:sz w:val="20"/>
          <w:szCs w:val="20"/>
        </w:rPr>
        <w:t xml:space="preserve">Rs </w:t>
      </w:r>
      <w:r w:rsidR="004E59C9" w:rsidRPr="003B7012">
        <w:rPr>
          <w:rFonts w:ascii="Trebuchet MS" w:eastAsiaTheme="minorHAnsi" w:hAnsi="Trebuchet MS"/>
          <w:sz w:val="20"/>
          <w:szCs w:val="20"/>
        </w:rPr>
        <w:t>e A</w:t>
      </w:r>
      <w:r w:rsidR="004E59C9" w:rsidRPr="0068460E">
        <w:rPr>
          <w:rFonts w:ascii="Trebuchet MS" w:eastAsiaTheme="minorHAnsi" w:hAnsi="Trebuchet MS"/>
          <w:sz w:val="20"/>
          <w:szCs w:val="20"/>
          <w:vertAlign w:val="subscript"/>
        </w:rPr>
        <w:t>3</w:t>
      </w:r>
      <w:r w:rsidR="00AF5B03">
        <w:rPr>
          <w:rFonts w:ascii="Trebuchet MS" w:eastAsiaTheme="minorHAnsi" w:hAnsi="Trebuchet MS"/>
          <w:sz w:val="20"/>
          <w:szCs w:val="20"/>
        </w:rPr>
        <w:t>Rs.</w:t>
      </w:r>
      <w:r w:rsidR="004E59C9" w:rsidRPr="003B7012">
        <w:rPr>
          <w:rFonts w:ascii="Trebuchet MS" w:eastAsiaTheme="minorHAnsi" w:hAnsi="Trebuchet MS"/>
          <w:sz w:val="20"/>
          <w:szCs w:val="20"/>
        </w:rPr>
        <w:t xml:space="preserve"> Assim, tais resultados proporcionam suporte a pesquisas anteriores, que sugerem o envolvimento de receptores de adenosina no IPC </w:t>
      </w:r>
      <w:r w:rsidR="004C7286">
        <w:rPr>
          <w:rFonts w:ascii="Trebuchet MS" w:eastAsiaTheme="minorHAnsi" w:hAnsi="Trebuchet MS"/>
          <w:sz w:val="20"/>
          <w:szCs w:val="20"/>
        </w:rPr>
        <w:t>n</w:t>
      </w:r>
      <w:r w:rsidR="004E59C9" w:rsidRPr="003B7012">
        <w:rPr>
          <w:rFonts w:ascii="Trebuchet MS" w:eastAsiaTheme="minorHAnsi" w:hAnsi="Trebuchet MS"/>
          <w:sz w:val="20"/>
          <w:szCs w:val="20"/>
        </w:rPr>
        <w:t>o coração e cérebro.</w:t>
      </w:r>
    </w:p>
    <w:p w:rsidR="00262ABC" w:rsidRPr="003B7012" w:rsidRDefault="00262ABC" w:rsidP="00262ABC">
      <w:pPr>
        <w:autoSpaceDE w:val="0"/>
        <w:autoSpaceDN w:val="0"/>
        <w:adjustRightInd w:val="0"/>
        <w:spacing w:line="360" w:lineRule="auto"/>
        <w:ind w:firstLine="708"/>
        <w:jc w:val="both"/>
        <w:rPr>
          <w:rFonts w:ascii="Trebuchet MS" w:eastAsiaTheme="minorHAnsi" w:hAnsi="Trebuchet MS"/>
          <w:sz w:val="20"/>
          <w:szCs w:val="20"/>
        </w:rPr>
      </w:pPr>
      <w:proofErr w:type="gramStart"/>
      <w:r w:rsidRPr="003B7012">
        <w:rPr>
          <w:rFonts w:ascii="Trebuchet MS" w:eastAsiaTheme="minorHAnsi" w:hAnsi="Trebuchet MS"/>
          <w:sz w:val="20"/>
          <w:szCs w:val="20"/>
        </w:rPr>
        <w:t xml:space="preserve">Sebastião </w:t>
      </w:r>
      <w:r w:rsidR="00194A32" w:rsidRPr="003B7012">
        <w:rPr>
          <w:rFonts w:ascii="Trebuchet MS" w:eastAsiaTheme="minorHAnsi" w:hAnsi="Trebuchet MS"/>
          <w:i/>
          <w:sz w:val="20"/>
          <w:szCs w:val="20"/>
        </w:rPr>
        <w:t xml:space="preserve">et al. </w:t>
      </w:r>
      <w:r w:rsidR="00D40BA8">
        <w:rPr>
          <w:rFonts w:ascii="Trebuchet MS" w:eastAsiaTheme="minorHAnsi" w:hAnsi="Trebuchet MS"/>
          <w:sz w:val="20"/>
          <w:szCs w:val="20"/>
        </w:rPr>
        <w:t xml:space="preserve">(2000) </w:t>
      </w:r>
      <w:r w:rsidRPr="003B7012">
        <w:rPr>
          <w:rFonts w:ascii="Trebuchet MS" w:eastAsiaTheme="minorHAnsi" w:hAnsi="Trebuchet MS"/>
          <w:sz w:val="20"/>
          <w:szCs w:val="20"/>
        </w:rPr>
        <w:t>investigaram</w:t>
      </w:r>
      <w:proofErr w:type="gramEnd"/>
      <w:r w:rsidRPr="003B7012">
        <w:rPr>
          <w:rFonts w:ascii="Trebuchet MS" w:eastAsiaTheme="minorHAnsi" w:hAnsi="Trebuchet MS"/>
          <w:sz w:val="20"/>
          <w:szCs w:val="20"/>
        </w:rPr>
        <w:t xml:space="preserve"> especificamente se o papel neuromodulador dos A</w:t>
      </w:r>
      <w:r w:rsidRPr="0068460E">
        <w:rPr>
          <w:rFonts w:ascii="Trebuchet MS" w:eastAsiaTheme="minorHAnsi" w:hAnsi="Trebuchet MS"/>
          <w:sz w:val="20"/>
          <w:szCs w:val="20"/>
          <w:vertAlign w:val="subscript"/>
        </w:rPr>
        <w:t>1</w:t>
      </w:r>
      <w:r w:rsidRPr="003B7012">
        <w:rPr>
          <w:rFonts w:ascii="Trebuchet MS" w:eastAsiaTheme="minorHAnsi" w:hAnsi="Trebuchet MS"/>
          <w:sz w:val="20"/>
          <w:szCs w:val="20"/>
        </w:rPr>
        <w:t>R</w:t>
      </w:r>
      <w:r w:rsidR="0068460E">
        <w:rPr>
          <w:rFonts w:ascii="Trebuchet MS" w:eastAsiaTheme="minorHAnsi" w:hAnsi="Trebuchet MS"/>
          <w:sz w:val="20"/>
          <w:szCs w:val="20"/>
        </w:rPr>
        <w:t>s</w:t>
      </w:r>
      <w:r w:rsidRPr="003B7012">
        <w:rPr>
          <w:rFonts w:ascii="Trebuchet MS" w:eastAsiaTheme="minorHAnsi" w:hAnsi="Trebuchet MS"/>
          <w:sz w:val="20"/>
          <w:szCs w:val="20"/>
        </w:rPr>
        <w:t xml:space="preserve"> </w:t>
      </w:r>
      <w:r w:rsidR="004C7286">
        <w:rPr>
          <w:rFonts w:ascii="Trebuchet MS" w:eastAsiaTheme="minorHAnsi" w:hAnsi="Trebuchet MS"/>
          <w:sz w:val="20"/>
          <w:szCs w:val="20"/>
        </w:rPr>
        <w:t>está</w:t>
      </w:r>
      <w:r w:rsidRPr="003B7012">
        <w:rPr>
          <w:rFonts w:ascii="Trebuchet MS" w:eastAsiaTheme="minorHAnsi" w:hAnsi="Trebuchet MS"/>
          <w:sz w:val="20"/>
          <w:szCs w:val="20"/>
        </w:rPr>
        <w:t xml:space="preserve"> modificado na transmissão sináptica no hipocampo de ratos adultos (24 meses) </w:t>
      </w:r>
      <w:r w:rsidR="004C7286">
        <w:rPr>
          <w:rFonts w:ascii="Trebuchet MS" w:eastAsiaTheme="minorHAnsi" w:hAnsi="Trebuchet MS"/>
          <w:sz w:val="20"/>
          <w:szCs w:val="20"/>
        </w:rPr>
        <w:t>compartivamente a</w:t>
      </w:r>
      <w:r w:rsidRPr="003B7012">
        <w:rPr>
          <w:rFonts w:ascii="Trebuchet MS" w:eastAsiaTheme="minorHAnsi" w:hAnsi="Trebuchet MS"/>
          <w:sz w:val="20"/>
          <w:szCs w:val="20"/>
        </w:rPr>
        <w:t xml:space="preserve"> ratos jovens (6 semanas). Devido ao papel predominante dos A</w:t>
      </w:r>
      <w:r w:rsidRPr="0068460E">
        <w:rPr>
          <w:rFonts w:ascii="Trebuchet MS" w:eastAsiaTheme="minorHAnsi" w:hAnsi="Trebuchet MS"/>
          <w:sz w:val="20"/>
          <w:szCs w:val="20"/>
          <w:vertAlign w:val="subscript"/>
        </w:rPr>
        <w:t>1</w:t>
      </w:r>
      <w:r w:rsidRPr="003B7012">
        <w:rPr>
          <w:rFonts w:ascii="Trebuchet MS" w:eastAsiaTheme="minorHAnsi" w:hAnsi="Trebuchet MS"/>
          <w:sz w:val="20"/>
          <w:szCs w:val="20"/>
        </w:rPr>
        <w:t>R</w:t>
      </w:r>
      <w:r w:rsidR="0068460E">
        <w:rPr>
          <w:rFonts w:ascii="Trebuchet MS" w:eastAsiaTheme="minorHAnsi" w:hAnsi="Trebuchet MS"/>
          <w:sz w:val="20"/>
          <w:szCs w:val="20"/>
        </w:rPr>
        <w:t>s</w:t>
      </w:r>
      <w:r w:rsidRPr="003B7012">
        <w:rPr>
          <w:rFonts w:ascii="Trebuchet MS" w:eastAsiaTheme="minorHAnsi" w:hAnsi="Trebuchet MS"/>
          <w:sz w:val="20"/>
          <w:szCs w:val="20"/>
        </w:rPr>
        <w:t xml:space="preserve"> na re</w:t>
      </w:r>
      <w:r w:rsidRPr="003B7012">
        <w:rPr>
          <w:rFonts w:ascii="Trebuchet MS" w:eastAsiaTheme="minorHAnsi" w:hAnsi="Trebuchet MS"/>
          <w:sz w:val="20"/>
          <w:szCs w:val="20"/>
        </w:rPr>
        <w:t>s</w:t>
      </w:r>
      <w:r w:rsidRPr="003B7012">
        <w:rPr>
          <w:rFonts w:ascii="Trebuchet MS" w:eastAsiaTheme="minorHAnsi" w:hAnsi="Trebuchet MS"/>
          <w:sz w:val="20"/>
          <w:szCs w:val="20"/>
        </w:rPr>
        <w:t xml:space="preserve">posta sináptica à hipóxia, Sebastião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(2000) também compararam a capacidade da ad</w:t>
      </w:r>
      <w:r w:rsidRPr="003B7012">
        <w:rPr>
          <w:rFonts w:ascii="Trebuchet MS" w:eastAsiaTheme="minorHAnsi" w:hAnsi="Trebuchet MS"/>
          <w:sz w:val="20"/>
          <w:szCs w:val="20"/>
        </w:rPr>
        <w:t>e</w:t>
      </w:r>
      <w:r w:rsidRPr="003B7012">
        <w:rPr>
          <w:rFonts w:ascii="Trebuchet MS" w:eastAsiaTheme="minorHAnsi" w:hAnsi="Trebuchet MS"/>
          <w:sz w:val="20"/>
          <w:szCs w:val="20"/>
        </w:rPr>
        <w:t>nosina endógena para mediar a diminuição da transmissão sináptica, durante a hipóxia, de ratos jovens e adultos. Com base nos resultados obtidos, concluíram que, em fatias de hip</w:t>
      </w:r>
      <w:r w:rsidRPr="003B7012">
        <w:rPr>
          <w:rFonts w:ascii="Trebuchet MS" w:eastAsiaTheme="minorHAnsi" w:hAnsi="Trebuchet MS"/>
          <w:sz w:val="20"/>
          <w:szCs w:val="20"/>
        </w:rPr>
        <w:t>o</w:t>
      </w:r>
      <w:r w:rsidRPr="003B7012">
        <w:rPr>
          <w:rFonts w:ascii="Trebuchet MS" w:eastAsiaTheme="minorHAnsi" w:hAnsi="Trebuchet MS"/>
          <w:sz w:val="20"/>
          <w:szCs w:val="20"/>
        </w:rPr>
        <w:t>campo de ratos adultos, a eficiência dos A</w:t>
      </w:r>
      <w:r w:rsidRPr="0068460E">
        <w:rPr>
          <w:rFonts w:ascii="Trebuchet MS" w:eastAsiaTheme="minorHAnsi" w:hAnsi="Trebuchet MS"/>
          <w:sz w:val="20"/>
          <w:szCs w:val="20"/>
          <w:vertAlign w:val="subscript"/>
        </w:rPr>
        <w:t>1</w:t>
      </w:r>
      <w:r w:rsidRPr="003B7012">
        <w:rPr>
          <w:rFonts w:ascii="Trebuchet MS" w:eastAsiaTheme="minorHAnsi" w:hAnsi="Trebuchet MS"/>
          <w:sz w:val="20"/>
          <w:szCs w:val="20"/>
        </w:rPr>
        <w:t>R</w:t>
      </w:r>
      <w:r w:rsidR="0068460E">
        <w:rPr>
          <w:rFonts w:ascii="Trebuchet MS" w:eastAsiaTheme="minorHAnsi" w:hAnsi="Trebuchet MS"/>
          <w:sz w:val="20"/>
          <w:szCs w:val="20"/>
        </w:rPr>
        <w:t>s</w:t>
      </w:r>
      <w:r w:rsidRPr="003B7012">
        <w:rPr>
          <w:rFonts w:ascii="Trebuchet MS" w:eastAsiaTheme="minorHAnsi" w:hAnsi="Trebuchet MS"/>
          <w:sz w:val="20"/>
          <w:szCs w:val="20"/>
        </w:rPr>
        <w:t xml:space="preserve"> em modular a transmissão sináptica </w:t>
      </w:r>
      <w:r w:rsidR="004C7286">
        <w:rPr>
          <w:rFonts w:ascii="Trebuchet MS" w:eastAsiaTheme="minorHAnsi" w:hAnsi="Trebuchet MS"/>
          <w:sz w:val="20"/>
          <w:szCs w:val="20"/>
        </w:rPr>
        <w:t>está</w:t>
      </w:r>
      <w:r w:rsidRPr="003B7012">
        <w:rPr>
          <w:rFonts w:ascii="Trebuchet MS" w:eastAsiaTheme="minorHAnsi" w:hAnsi="Trebuchet MS"/>
          <w:sz w:val="20"/>
          <w:szCs w:val="20"/>
        </w:rPr>
        <w:t xml:space="preserve"> red</w:t>
      </w:r>
      <w:r w:rsidRPr="003B7012">
        <w:rPr>
          <w:rFonts w:ascii="Trebuchet MS" w:eastAsiaTheme="minorHAnsi" w:hAnsi="Trebuchet MS"/>
          <w:sz w:val="20"/>
          <w:szCs w:val="20"/>
        </w:rPr>
        <w:t>u</w:t>
      </w:r>
      <w:r w:rsidRPr="003B7012">
        <w:rPr>
          <w:rFonts w:ascii="Trebuchet MS" w:eastAsiaTheme="minorHAnsi" w:hAnsi="Trebuchet MS"/>
          <w:sz w:val="20"/>
          <w:szCs w:val="20"/>
        </w:rPr>
        <w:t>zida, mas tal facto pode ser compensado devido ao aumento inibitório provocado pela aden</w:t>
      </w:r>
      <w:r w:rsidRPr="003B7012">
        <w:rPr>
          <w:rFonts w:ascii="Trebuchet MS" w:eastAsiaTheme="minorHAnsi" w:hAnsi="Trebuchet MS"/>
          <w:sz w:val="20"/>
          <w:szCs w:val="20"/>
        </w:rPr>
        <w:t>o</w:t>
      </w:r>
      <w:r w:rsidRPr="003B7012">
        <w:rPr>
          <w:rFonts w:ascii="Trebuchet MS" w:eastAsiaTheme="minorHAnsi" w:hAnsi="Trebuchet MS"/>
          <w:sz w:val="20"/>
          <w:szCs w:val="20"/>
        </w:rPr>
        <w:t xml:space="preserve">sina endógena (aumento da quantidade de adenosina endógena ao nível sináptico). </w:t>
      </w:r>
      <w:r w:rsidR="004C7286">
        <w:rPr>
          <w:rFonts w:ascii="Trebuchet MS" w:eastAsiaTheme="minorHAnsi" w:hAnsi="Trebuchet MS"/>
          <w:sz w:val="20"/>
          <w:szCs w:val="20"/>
        </w:rPr>
        <w:t>Observ</w:t>
      </w:r>
      <w:r w:rsidR="004C7286">
        <w:rPr>
          <w:rFonts w:ascii="Trebuchet MS" w:eastAsiaTheme="minorHAnsi" w:hAnsi="Trebuchet MS"/>
          <w:sz w:val="20"/>
          <w:szCs w:val="20"/>
        </w:rPr>
        <w:t>a</w:t>
      </w:r>
      <w:r w:rsidR="004C7286">
        <w:rPr>
          <w:rFonts w:ascii="Trebuchet MS" w:eastAsiaTheme="minorHAnsi" w:hAnsi="Trebuchet MS"/>
          <w:sz w:val="20"/>
          <w:szCs w:val="20"/>
        </w:rPr>
        <w:t>ram</w:t>
      </w:r>
      <w:r w:rsidRPr="003B7012">
        <w:rPr>
          <w:rFonts w:ascii="Trebuchet MS" w:eastAsiaTheme="minorHAnsi" w:hAnsi="Trebuchet MS"/>
          <w:sz w:val="20"/>
          <w:szCs w:val="20"/>
        </w:rPr>
        <w:t xml:space="preserve"> que o agonista dos A</w:t>
      </w:r>
      <w:r w:rsidRPr="0068460E">
        <w:rPr>
          <w:rFonts w:ascii="Trebuchet MS" w:eastAsiaTheme="minorHAnsi" w:hAnsi="Trebuchet MS"/>
          <w:sz w:val="20"/>
          <w:szCs w:val="20"/>
          <w:vertAlign w:val="subscript"/>
        </w:rPr>
        <w:t>1</w:t>
      </w:r>
      <w:r w:rsidRPr="003B7012">
        <w:rPr>
          <w:rFonts w:ascii="Trebuchet MS" w:eastAsiaTheme="minorHAnsi" w:hAnsi="Trebuchet MS"/>
          <w:sz w:val="20"/>
          <w:szCs w:val="20"/>
        </w:rPr>
        <w:t>R</w:t>
      </w:r>
      <w:r w:rsidR="0068460E">
        <w:rPr>
          <w:rFonts w:ascii="Trebuchet MS" w:eastAsiaTheme="minorHAnsi" w:hAnsi="Trebuchet MS"/>
          <w:sz w:val="20"/>
          <w:szCs w:val="20"/>
        </w:rPr>
        <w:t>s</w:t>
      </w:r>
      <w:r w:rsidRPr="003B7012">
        <w:rPr>
          <w:rFonts w:ascii="Trebuchet MS" w:eastAsiaTheme="minorHAnsi" w:hAnsi="Trebuchet MS"/>
          <w:sz w:val="20"/>
          <w:szCs w:val="20"/>
        </w:rPr>
        <w:t>, CPA, foi menos potente para inibir a transmissão sináptica em ratos adultos do que em ratos jovens, sendo esta inibição prevenida pela adição do antagoni</w:t>
      </w:r>
      <w:r w:rsidRPr="003B7012">
        <w:rPr>
          <w:rFonts w:ascii="Trebuchet MS" w:eastAsiaTheme="minorHAnsi" w:hAnsi="Trebuchet MS"/>
          <w:sz w:val="20"/>
          <w:szCs w:val="20"/>
        </w:rPr>
        <w:t>s</w:t>
      </w:r>
      <w:r w:rsidRPr="003B7012">
        <w:rPr>
          <w:rFonts w:ascii="Trebuchet MS" w:eastAsiaTheme="minorHAnsi" w:hAnsi="Trebuchet MS"/>
          <w:sz w:val="20"/>
          <w:szCs w:val="20"/>
        </w:rPr>
        <w:t>ta do A</w:t>
      </w:r>
      <w:r w:rsidRPr="00AF5B03">
        <w:rPr>
          <w:rFonts w:ascii="Trebuchet MS" w:eastAsiaTheme="minorHAnsi" w:hAnsi="Trebuchet MS"/>
          <w:sz w:val="20"/>
          <w:szCs w:val="20"/>
          <w:vertAlign w:val="subscript"/>
        </w:rPr>
        <w:t>1</w:t>
      </w:r>
      <w:r w:rsidRPr="003B7012">
        <w:rPr>
          <w:rFonts w:ascii="Trebuchet MS" w:eastAsiaTheme="minorHAnsi" w:hAnsi="Trebuchet MS"/>
          <w:sz w:val="20"/>
          <w:szCs w:val="20"/>
        </w:rPr>
        <w:t>R (DPCPX). Em contraste com o baixo efeito do agonista dos A</w:t>
      </w:r>
      <w:r w:rsidRPr="001E7A51">
        <w:rPr>
          <w:rFonts w:ascii="Trebuchet MS" w:eastAsiaTheme="minorHAnsi" w:hAnsi="Trebuchet MS"/>
          <w:sz w:val="20"/>
          <w:szCs w:val="20"/>
          <w:vertAlign w:val="subscript"/>
        </w:rPr>
        <w:t>1</w:t>
      </w:r>
      <w:r w:rsidRPr="003B7012">
        <w:rPr>
          <w:rFonts w:ascii="Trebuchet MS" w:eastAsiaTheme="minorHAnsi" w:hAnsi="Trebuchet MS"/>
          <w:sz w:val="20"/>
          <w:szCs w:val="20"/>
        </w:rPr>
        <w:t>R</w:t>
      </w:r>
      <w:r w:rsidR="001E7A51">
        <w:rPr>
          <w:rFonts w:ascii="Trebuchet MS" w:eastAsiaTheme="minorHAnsi" w:hAnsi="Trebuchet MS"/>
          <w:sz w:val="20"/>
          <w:szCs w:val="20"/>
        </w:rPr>
        <w:t>s</w:t>
      </w:r>
      <w:r w:rsidRPr="003B7012">
        <w:rPr>
          <w:rFonts w:ascii="Trebuchet MS" w:eastAsiaTheme="minorHAnsi" w:hAnsi="Trebuchet MS"/>
          <w:sz w:val="20"/>
          <w:szCs w:val="20"/>
        </w:rPr>
        <w:t>, observaram que o bloqueio dos A</w:t>
      </w:r>
      <w:r w:rsidRPr="0068460E">
        <w:rPr>
          <w:rFonts w:ascii="Trebuchet MS" w:eastAsiaTheme="minorHAnsi" w:hAnsi="Trebuchet MS"/>
          <w:sz w:val="20"/>
          <w:szCs w:val="20"/>
          <w:vertAlign w:val="subscript"/>
        </w:rPr>
        <w:t>1</w:t>
      </w:r>
      <w:r w:rsidRPr="003B7012">
        <w:rPr>
          <w:rFonts w:ascii="Trebuchet MS" w:eastAsiaTheme="minorHAnsi" w:hAnsi="Trebuchet MS"/>
          <w:sz w:val="20"/>
          <w:szCs w:val="20"/>
        </w:rPr>
        <w:t>R</w:t>
      </w:r>
      <w:r w:rsidR="0068460E">
        <w:rPr>
          <w:rFonts w:ascii="Trebuchet MS" w:eastAsiaTheme="minorHAnsi" w:hAnsi="Trebuchet MS"/>
          <w:sz w:val="20"/>
          <w:szCs w:val="20"/>
        </w:rPr>
        <w:t>s</w:t>
      </w:r>
      <w:r w:rsidRPr="003B7012">
        <w:rPr>
          <w:rFonts w:ascii="Trebuchet MS" w:eastAsiaTheme="minorHAnsi" w:hAnsi="Trebuchet MS"/>
          <w:sz w:val="20"/>
          <w:szCs w:val="20"/>
        </w:rPr>
        <w:t xml:space="preserve"> com DPCPX, ou a remoção da adenosina endógena extracelular por adição de adenosina desaminase (que converte adenosina em iosina - metabolito inactivo), provoca uma desinibição mais pronunciada da transmissão sináptica em ratos adultos. Também con</w:t>
      </w:r>
      <w:r w:rsidRPr="003B7012">
        <w:rPr>
          <w:rFonts w:ascii="Trebuchet MS" w:eastAsiaTheme="minorHAnsi" w:hAnsi="Trebuchet MS"/>
          <w:sz w:val="20"/>
          <w:szCs w:val="20"/>
        </w:rPr>
        <w:t>s</w:t>
      </w:r>
      <w:r w:rsidRPr="003B7012">
        <w:rPr>
          <w:rFonts w:ascii="Trebuchet MS" w:eastAsiaTheme="minorHAnsi" w:hAnsi="Trebuchet MS"/>
          <w:sz w:val="20"/>
          <w:szCs w:val="20"/>
        </w:rPr>
        <w:t>tataram que, em ratos adultos, foi necessária a adição de uma concentração de DPCPX sup</w:t>
      </w:r>
      <w:r w:rsidRPr="003B7012">
        <w:rPr>
          <w:rFonts w:ascii="Trebuchet MS" w:eastAsiaTheme="minorHAnsi" w:hAnsi="Trebuchet MS"/>
          <w:sz w:val="20"/>
          <w:szCs w:val="20"/>
        </w:rPr>
        <w:t>e</w:t>
      </w:r>
      <w:r w:rsidRPr="003B7012">
        <w:rPr>
          <w:rFonts w:ascii="Trebuchet MS" w:eastAsiaTheme="minorHAnsi" w:hAnsi="Trebuchet MS"/>
          <w:sz w:val="20"/>
          <w:szCs w:val="20"/>
        </w:rPr>
        <w:t>rior (100 nM) à utilizada em ratos jovens (50 nM), para prevenir totalmente a diminuição da transmissão sináptica induzida por 3 minutos de hipóxia. Tal facto</w:t>
      </w:r>
      <w:proofErr w:type="gramStart"/>
      <w:r w:rsidRPr="003B7012">
        <w:rPr>
          <w:rFonts w:ascii="Trebuchet MS" w:eastAsiaTheme="minorHAnsi" w:hAnsi="Trebuchet MS"/>
          <w:sz w:val="20"/>
          <w:szCs w:val="20"/>
        </w:rPr>
        <w:t>,</w:t>
      </w:r>
      <w:proofErr w:type="gramEnd"/>
      <w:r w:rsidRPr="003B7012">
        <w:rPr>
          <w:rFonts w:ascii="Trebuchet MS" w:eastAsiaTheme="minorHAnsi" w:hAnsi="Trebuchet MS"/>
          <w:sz w:val="20"/>
          <w:szCs w:val="20"/>
        </w:rPr>
        <w:t xml:space="preserve"> é consistente com a ideia de que a inibição dos A</w:t>
      </w:r>
      <w:r w:rsidRPr="001E7A51">
        <w:rPr>
          <w:rFonts w:ascii="Trebuchet MS" w:eastAsiaTheme="minorHAnsi" w:hAnsi="Trebuchet MS"/>
          <w:sz w:val="20"/>
          <w:szCs w:val="20"/>
          <w:vertAlign w:val="subscript"/>
        </w:rPr>
        <w:t>1</w:t>
      </w:r>
      <w:r w:rsidRPr="003B7012">
        <w:rPr>
          <w:rFonts w:ascii="Trebuchet MS" w:eastAsiaTheme="minorHAnsi" w:hAnsi="Trebuchet MS"/>
          <w:sz w:val="20"/>
          <w:szCs w:val="20"/>
        </w:rPr>
        <w:t>R</w:t>
      </w:r>
      <w:r w:rsidR="001E7A51">
        <w:rPr>
          <w:rFonts w:ascii="Trebuchet MS" w:eastAsiaTheme="minorHAnsi" w:hAnsi="Trebuchet MS"/>
          <w:sz w:val="20"/>
          <w:szCs w:val="20"/>
        </w:rPr>
        <w:t>s</w:t>
      </w:r>
      <w:r w:rsidRPr="003B7012">
        <w:rPr>
          <w:rFonts w:ascii="Trebuchet MS" w:eastAsiaTheme="minorHAnsi" w:hAnsi="Trebuchet MS"/>
          <w:sz w:val="20"/>
          <w:szCs w:val="20"/>
        </w:rPr>
        <w:t>, em ratos adultos, é mediada pela adenosina endógena, uma vez que, em fatias de hipocampo de ratos adultos, a hipóxia induz a libertação de grandes qua</w:t>
      </w:r>
      <w:r w:rsidRPr="003B7012">
        <w:rPr>
          <w:rFonts w:ascii="Trebuchet MS" w:eastAsiaTheme="minorHAnsi" w:hAnsi="Trebuchet MS"/>
          <w:sz w:val="20"/>
          <w:szCs w:val="20"/>
        </w:rPr>
        <w:t>n</w:t>
      </w:r>
      <w:r w:rsidRPr="003B7012">
        <w:rPr>
          <w:rFonts w:ascii="Trebuchet MS" w:eastAsiaTheme="minorHAnsi" w:hAnsi="Trebuchet MS"/>
          <w:sz w:val="20"/>
          <w:szCs w:val="20"/>
        </w:rPr>
        <w:t xml:space="preserve">tidades de adenosina ao nível sináptico. Desta forma, o aumento dos níveis de adenosina extracelular, em conjunto com uma menor eficiência </w:t>
      </w:r>
      <w:r w:rsidR="001E7A51" w:rsidRPr="003B7012">
        <w:rPr>
          <w:rFonts w:ascii="Trebuchet MS" w:eastAsiaTheme="minorHAnsi" w:hAnsi="Trebuchet MS"/>
          <w:sz w:val="20"/>
          <w:szCs w:val="20"/>
        </w:rPr>
        <w:t>A</w:t>
      </w:r>
      <w:r w:rsidR="001E7A51" w:rsidRPr="001E7A51">
        <w:rPr>
          <w:rFonts w:ascii="Trebuchet MS" w:eastAsiaTheme="minorHAnsi" w:hAnsi="Trebuchet MS"/>
          <w:sz w:val="20"/>
          <w:szCs w:val="20"/>
          <w:vertAlign w:val="subscript"/>
        </w:rPr>
        <w:t>1</w:t>
      </w:r>
      <w:r w:rsidR="001E7A51" w:rsidRPr="003B7012">
        <w:rPr>
          <w:rFonts w:ascii="Trebuchet MS" w:eastAsiaTheme="minorHAnsi" w:hAnsi="Trebuchet MS"/>
          <w:sz w:val="20"/>
          <w:szCs w:val="20"/>
        </w:rPr>
        <w:t>R</w:t>
      </w:r>
      <w:r w:rsidR="001E7A51">
        <w:rPr>
          <w:rFonts w:ascii="Trebuchet MS" w:eastAsiaTheme="minorHAnsi" w:hAnsi="Trebuchet MS"/>
          <w:sz w:val="20"/>
          <w:szCs w:val="20"/>
        </w:rPr>
        <w:t>s</w:t>
      </w:r>
      <w:r w:rsidR="001E7A51" w:rsidRPr="003B7012">
        <w:rPr>
          <w:rFonts w:ascii="Trebuchet MS" w:eastAsiaTheme="minorHAnsi" w:hAnsi="Trebuchet MS"/>
          <w:sz w:val="20"/>
          <w:szCs w:val="20"/>
        </w:rPr>
        <w:t xml:space="preserve"> </w:t>
      </w:r>
      <w:r w:rsidRPr="003B7012">
        <w:rPr>
          <w:rFonts w:ascii="Trebuchet MS" w:eastAsiaTheme="minorHAnsi" w:hAnsi="Trebuchet MS"/>
          <w:sz w:val="20"/>
          <w:szCs w:val="20"/>
        </w:rPr>
        <w:t xml:space="preserve">em ratos adultos, </w:t>
      </w:r>
      <w:r w:rsidR="001E7A51">
        <w:rPr>
          <w:rFonts w:ascii="Trebuchet MS" w:eastAsiaTheme="minorHAnsi" w:hAnsi="Trebuchet MS"/>
          <w:sz w:val="20"/>
          <w:szCs w:val="20"/>
        </w:rPr>
        <w:t>permite a man</w:t>
      </w:r>
      <w:r w:rsidR="001E7A51">
        <w:rPr>
          <w:rFonts w:ascii="Trebuchet MS" w:eastAsiaTheme="minorHAnsi" w:hAnsi="Trebuchet MS"/>
          <w:sz w:val="20"/>
          <w:szCs w:val="20"/>
        </w:rPr>
        <w:t>u</w:t>
      </w:r>
      <w:r w:rsidR="001E7A51">
        <w:rPr>
          <w:rFonts w:ascii="Trebuchet MS" w:eastAsiaTheme="minorHAnsi" w:hAnsi="Trebuchet MS"/>
          <w:sz w:val="20"/>
          <w:szCs w:val="20"/>
        </w:rPr>
        <w:t xml:space="preserve">tenção do papel dos </w:t>
      </w:r>
      <w:r w:rsidR="001E7A51" w:rsidRPr="003B7012">
        <w:rPr>
          <w:rFonts w:ascii="Trebuchet MS" w:eastAsiaTheme="minorHAnsi" w:hAnsi="Trebuchet MS"/>
          <w:sz w:val="20"/>
          <w:szCs w:val="20"/>
        </w:rPr>
        <w:t>A</w:t>
      </w:r>
      <w:r w:rsidR="001E7A51" w:rsidRPr="001E7A51">
        <w:rPr>
          <w:rFonts w:ascii="Trebuchet MS" w:eastAsiaTheme="minorHAnsi" w:hAnsi="Trebuchet MS"/>
          <w:sz w:val="20"/>
          <w:szCs w:val="20"/>
          <w:vertAlign w:val="subscript"/>
        </w:rPr>
        <w:t>1</w:t>
      </w:r>
      <w:r w:rsidR="001E7A51" w:rsidRPr="003B7012">
        <w:rPr>
          <w:rFonts w:ascii="Trebuchet MS" w:eastAsiaTheme="minorHAnsi" w:hAnsi="Trebuchet MS"/>
          <w:sz w:val="20"/>
          <w:szCs w:val="20"/>
        </w:rPr>
        <w:t>R</w:t>
      </w:r>
      <w:r w:rsidR="001E7A51">
        <w:rPr>
          <w:rFonts w:ascii="Trebuchet MS" w:eastAsiaTheme="minorHAnsi" w:hAnsi="Trebuchet MS"/>
          <w:sz w:val="20"/>
          <w:szCs w:val="20"/>
        </w:rPr>
        <w:t>s</w:t>
      </w:r>
      <w:r w:rsidRPr="003B7012">
        <w:rPr>
          <w:rFonts w:ascii="Trebuchet MS" w:eastAsiaTheme="minorHAnsi" w:hAnsi="Trebuchet MS"/>
          <w:sz w:val="20"/>
          <w:szCs w:val="20"/>
        </w:rPr>
        <w:t xml:space="preserve"> durante a hipóxia em ratos adultos como em jovens (Sebastião </w:t>
      </w:r>
      <w:r w:rsidR="00F96813" w:rsidRPr="003B7012">
        <w:rPr>
          <w:rFonts w:ascii="Trebuchet MS" w:eastAsiaTheme="minorHAnsi" w:hAnsi="Trebuchet MS"/>
          <w:i/>
          <w:sz w:val="20"/>
          <w:szCs w:val="20"/>
        </w:rPr>
        <w:t>et al.</w:t>
      </w:r>
      <w:r w:rsidRPr="003B7012">
        <w:rPr>
          <w:rFonts w:ascii="Trebuchet MS" w:eastAsiaTheme="minorHAnsi" w:hAnsi="Trebuchet MS"/>
          <w:sz w:val="20"/>
          <w:szCs w:val="20"/>
        </w:rPr>
        <w:t>, 2000).</w:t>
      </w:r>
    </w:p>
    <w:p w:rsidR="00C938AB" w:rsidRPr="003B7012" w:rsidRDefault="00C938AB" w:rsidP="00C938AB">
      <w:pPr>
        <w:autoSpaceDE w:val="0"/>
        <w:autoSpaceDN w:val="0"/>
        <w:adjustRightInd w:val="0"/>
        <w:spacing w:line="360" w:lineRule="auto"/>
        <w:ind w:firstLine="708"/>
        <w:jc w:val="both"/>
        <w:rPr>
          <w:rFonts w:ascii="Trebuchet MS" w:eastAsiaTheme="minorHAnsi" w:hAnsi="Trebuchet MS" w:cs="AdvTimes"/>
          <w:sz w:val="20"/>
          <w:szCs w:val="20"/>
        </w:rPr>
      </w:pPr>
      <w:r w:rsidRPr="003B7012">
        <w:rPr>
          <w:rFonts w:ascii="Trebuchet MS" w:eastAsiaTheme="minorHAnsi" w:hAnsi="Trebuchet MS"/>
          <w:sz w:val="20"/>
          <w:szCs w:val="20"/>
        </w:rPr>
        <w:t xml:space="preserve">Eschke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(2001)</w:t>
      </w:r>
      <w:r w:rsidRPr="003B7012">
        <w:rPr>
          <w:rFonts w:ascii="Trebuchet MS" w:eastAsiaTheme="minorHAnsi" w:hAnsi="Trebuchet MS" w:cs="AdvTimes"/>
          <w:sz w:val="20"/>
          <w:szCs w:val="20"/>
        </w:rPr>
        <w:t xml:space="preserve"> demonstraram que, em neurónios corticais provenientes de fatias de córtex, a despolarização induzida pela hipóxia é reduzida por adição de CPA (100 </w:t>
      </w:r>
      <w:r w:rsidRPr="003B7012">
        <w:rPr>
          <w:rFonts w:ascii="Trebuchet MS" w:eastAsiaTheme="minorHAnsi" w:hAnsi="Trebuchet MS" w:cs="AdvTimes"/>
          <w:sz w:val="20"/>
          <w:szCs w:val="20"/>
        </w:rPr>
        <w:sym w:font="Symbol" w:char="F06D"/>
      </w:r>
      <w:r w:rsidRPr="003B7012">
        <w:rPr>
          <w:rFonts w:ascii="Trebuchet MS" w:eastAsiaTheme="minorHAnsi" w:hAnsi="Trebuchet MS" w:cs="AdvTimes"/>
          <w:sz w:val="20"/>
          <w:szCs w:val="20"/>
        </w:rPr>
        <w:t>M). O que sugere que a inibição da despolarização é mediada via activação dos A</w:t>
      </w:r>
      <w:r w:rsidRPr="001E7A51">
        <w:rPr>
          <w:rFonts w:ascii="Trebuchet MS" w:eastAsiaTheme="minorHAnsi" w:hAnsi="Trebuchet MS" w:cs="AdvTimes"/>
          <w:sz w:val="20"/>
          <w:szCs w:val="20"/>
          <w:vertAlign w:val="subscript"/>
        </w:rPr>
        <w:t>1</w:t>
      </w:r>
      <w:r w:rsidRPr="003B7012">
        <w:rPr>
          <w:rFonts w:ascii="Trebuchet MS" w:eastAsiaTheme="minorHAnsi" w:hAnsi="Trebuchet MS" w:cs="AdvTimes"/>
          <w:sz w:val="20"/>
          <w:szCs w:val="20"/>
        </w:rPr>
        <w:t>R</w:t>
      </w:r>
      <w:r w:rsidR="002D5FF0">
        <w:rPr>
          <w:rFonts w:ascii="Trebuchet MS" w:eastAsiaTheme="minorHAnsi" w:hAnsi="Trebuchet MS" w:cs="AdvTimes"/>
          <w:sz w:val="20"/>
          <w:szCs w:val="20"/>
        </w:rPr>
        <w:t>s</w:t>
      </w:r>
      <w:r w:rsidRPr="003B7012">
        <w:rPr>
          <w:rFonts w:ascii="Trebuchet MS" w:eastAsiaTheme="minorHAnsi" w:hAnsi="Trebuchet MS" w:cs="AdvTimes"/>
          <w:sz w:val="20"/>
          <w:szCs w:val="20"/>
        </w:rPr>
        <w:t xml:space="preserve">. Também, demonstraram que, em fatias de hipocampo, a adição de CPA (100 </w:t>
      </w:r>
      <w:r w:rsidRPr="003B7012">
        <w:rPr>
          <w:rFonts w:ascii="Trebuchet MS" w:eastAsiaTheme="minorHAnsi" w:hAnsi="Trebuchet MS" w:cs="AdvTimes"/>
          <w:sz w:val="20"/>
          <w:szCs w:val="20"/>
        </w:rPr>
        <w:sym w:font="Symbol" w:char="F06D"/>
      </w:r>
      <w:r w:rsidRPr="003B7012">
        <w:rPr>
          <w:rFonts w:ascii="Trebuchet MS" w:eastAsiaTheme="minorHAnsi" w:hAnsi="Trebuchet MS" w:cs="AdvTimes"/>
          <w:sz w:val="20"/>
          <w:szCs w:val="20"/>
        </w:rPr>
        <w:t>M) inibe a libertação ev</w:t>
      </w:r>
      <w:r w:rsidRPr="003B7012">
        <w:rPr>
          <w:rFonts w:ascii="Trebuchet MS" w:eastAsiaTheme="minorHAnsi" w:hAnsi="Trebuchet MS" w:cs="AdvTimes"/>
          <w:sz w:val="20"/>
          <w:szCs w:val="20"/>
        </w:rPr>
        <w:t>o</w:t>
      </w:r>
      <w:r w:rsidRPr="003B7012">
        <w:rPr>
          <w:rFonts w:ascii="Trebuchet MS" w:eastAsiaTheme="minorHAnsi" w:hAnsi="Trebuchet MS" w:cs="AdvTimes"/>
          <w:sz w:val="20"/>
          <w:szCs w:val="20"/>
        </w:rPr>
        <w:lastRenderedPageBreak/>
        <w:t xml:space="preserve">cada de neurotransmissores, sugerindo que a libertação de neurotransmissores é modulada pré-sinapticamente via </w:t>
      </w:r>
      <w:r w:rsidRPr="00E717FE">
        <w:rPr>
          <w:rFonts w:ascii="Trebuchet MS" w:eastAsiaTheme="minorHAnsi" w:hAnsi="Trebuchet MS" w:cs="AdvTimes"/>
          <w:sz w:val="20"/>
          <w:szCs w:val="20"/>
        </w:rPr>
        <w:t>A</w:t>
      </w:r>
      <w:r w:rsidRPr="00E717FE">
        <w:rPr>
          <w:rFonts w:ascii="Trebuchet MS" w:eastAsiaTheme="minorHAnsi" w:hAnsi="Trebuchet MS" w:cs="AdvTimes"/>
          <w:sz w:val="20"/>
          <w:szCs w:val="20"/>
          <w:vertAlign w:val="subscript"/>
        </w:rPr>
        <w:t>1</w:t>
      </w:r>
      <w:r w:rsidRPr="00E717FE">
        <w:rPr>
          <w:rFonts w:ascii="Trebuchet MS" w:eastAsiaTheme="minorHAnsi" w:hAnsi="Trebuchet MS" w:cs="AdvTimes"/>
          <w:sz w:val="20"/>
          <w:szCs w:val="20"/>
        </w:rPr>
        <w:t>R</w:t>
      </w:r>
      <w:r w:rsidRPr="003B7012">
        <w:rPr>
          <w:rFonts w:ascii="Trebuchet MS" w:eastAsiaTheme="minorHAnsi" w:hAnsi="Trebuchet MS" w:cs="AdvTimes"/>
          <w:sz w:val="20"/>
          <w:szCs w:val="20"/>
        </w:rPr>
        <w:t xml:space="preserve">. Ambos processos são bloqueados pela adição de DPCPX (0,1 </w:t>
      </w:r>
      <w:r w:rsidRPr="003B7012">
        <w:rPr>
          <w:rFonts w:ascii="Trebuchet MS" w:eastAsiaTheme="minorHAnsi" w:hAnsi="Trebuchet MS" w:cs="AdvTimes"/>
          <w:sz w:val="20"/>
          <w:szCs w:val="20"/>
        </w:rPr>
        <w:sym w:font="Symbol" w:char="F06D"/>
      </w:r>
      <w:r w:rsidRPr="003B7012">
        <w:rPr>
          <w:rFonts w:ascii="Trebuchet MS" w:eastAsiaTheme="minorHAnsi" w:hAnsi="Trebuchet MS" w:cs="AdvTimes"/>
          <w:sz w:val="20"/>
          <w:szCs w:val="20"/>
        </w:rPr>
        <w:t>M), que suprime o efeito conferido pela CPA (</w:t>
      </w:r>
      <w:r w:rsidRPr="003B7012">
        <w:rPr>
          <w:rFonts w:ascii="Trebuchet MS" w:eastAsiaTheme="minorHAnsi" w:hAnsi="Trebuchet MS"/>
          <w:sz w:val="20"/>
          <w:szCs w:val="20"/>
        </w:rPr>
        <w:t xml:space="preserve">Eschke </w:t>
      </w:r>
      <w:r w:rsidR="00F96813" w:rsidRPr="003B7012">
        <w:rPr>
          <w:rFonts w:ascii="Trebuchet MS" w:eastAsiaTheme="minorHAnsi" w:hAnsi="Trebuchet MS"/>
          <w:i/>
          <w:sz w:val="20"/>
          <w:szCs w:val="20"/>
        </w:rPr>
        <w:t>et al.</w:t>
      </w:r>
      <w:r w:rsidRPr="003B7012">
        <w:rPr>
          <w:rFonts w:ascii="Trebuchet MS" w:eastAsiaTheme="minorHAnsi" w:hAnsi="Trebuchet MS"/>
          <w:i/>
          <w:sz w:val="20"/>
          <w:szCs w:val="20"/>
        </w:rPr>
        <w:t>,</w:t>
      </w:r>
      <w:r w:rsidRPr="003B7012">
        <w:rPr>
          <w:rFonts w:ascii="Trebuchet MS" w:eastAsiaTheme="minorHAnsi" w:hAnsi="Trebuchet MS"/>
          <w:sz w:val="20"/>
          <w:szCs w:val="20"/>
        </w:rPr>
        <w:t xml:space="preserve"> 2001)</w:t>
      </w:r>
      <w:r w:rsidRPr="003B7012">
        <w:rPr>
          <w:rFonts w:ascii="Trebuchet MS" w:eastAsiaTheme="minorHAnsi" w:hAnsi="Trebuchet MS" w:cs="AdvTimes"/>
          <w:sz w:val="20"/>
          <w:szCs w:val="20"/>
        </w:rPr>
        <w:t>.</w:t>
      </w:r>
    </w:p>
    <w:p w:rsidR="006E4A27" w:rsidRDefault="00931C03" w:rsidP="00C3702E">
      <w:pPr>
        <w:spacing w:line="360" w:lineRule="auto"/>
        <w:ind w:firstLine="708"/>
        <w:jc w:val="both"/>
        <w:rPr>
          <w:rFonts w:ascii="Trebuchet MS" w:eastAsiaTheme="minorHAnsi" w:hAnsi="Trebuchet MS" w:cstheme="minorBidi"/>
          <w:sz w:val="20"/>
          <w:szCs w:val="20"/>
        </w:rPr>
      </w:pPr>
      <w:r w:rsidRPr="003B7012">
        <w:rPr>
          <w:rFonts w:ascii="Trebuchet MS" w:eastAsiaTheme="minorHAnsi" w:hAnsi="Trebuchet MS" w:cstheme="minorBidi"/>
          <w:sz w:val="20"/>
          <w:szCs w:val="20"/>
        </w:rPr>
        <w:t xml:space="preserve">Lange-Assehenfeldt </w:t>
      </w:r>
      <w:r w:rsidR="00F96813" w:rsidRPr="003B7012">
        <w:rPr>
          <w:rFonts w:ascii="Trebuchet MS" w:eastAsiaTheme="minorHAnsi" w:hAnsi="Trebuchet MS" w:cstheme="minorBidi"/>
          <w:i/>
          <w:sz w:val="20"/>
          <w:szCs w:val="20"/>
        </w:rPr>
        <w:t>et al.</w:t>
      </w:r>
      <w:r w:rsidRPr="003B7012">
        <w:rPr>
          <w:rFonts w:ascii="Trebuchet MS" w:eastAsiaTheme="minorHAnsi" w:hAnsi="Trebuchet MS" w:cstheme="minorBidi"/>
          <w:sz w:val="20"/>
          <w:szCs w:val="20"/>
        </w:rPr>
        <w:t>, (2004) testaram se o IPC em fatias organotípicas de hip</w:t>
      </w:r>
      <w:r w:rsidRPr="003B7012">
        <w:rPr>
          <w:rFonts w:ascii="Trebuchet MS" w:eastAsiaTheme="minorHAnsi" w:hAnsi="Trebuchet MS" w:cstheme="minorBidi"/>
          <w:sz w:val="20"/>
          <w:szCs w:val="20"/>
        </w:rPr>
        <w:t>o</w:t>
      </w:r>
      <w:r w:rsidRPr="003B7012">
        <w:rPr>
          <w:rFonts w:ascii="Trebuchet MS" w:eastAsiaTheme="minorHAnsi" w:hAnsi="Trebuchet MS" w:cstheme="minorBidi"/>
          <w:sz w:val="20"/>
          <w:szCs w:val="20"/>
        </w:rPr>
        <w:t>campo era medidado por A</w:t>
      </w:r>
      <w:r w:rsidRPr="001E7A51">
        <w:rPr>
          <w:rFonts w:ascii="Trebuchet MS" w:eastAsiaTheme="minorHAnsi" w:hAnsi="Trebuchet MS" w:cstheme="minorBidi"/>
          <w:sz w:val="20"/>
          <w:szCs w:val="20"/>
          <w:vertAlign w:val="subscript"/>
        </w:rPr>
        <w:t>1</w:t>
      </w:r>
      <w:r w:rsidRPr="003B7012">
        <w:rPr>
          <w:rFonts w:ascii="Trebuchet MS" w:eastAsiaTheme="minorHAnsi" w:hAnsi="Trebuchet MS" w:cstheme="minorBidi"/>
          <w:sz w:val="20"/>
          <w:szCs w:val="20"/>
        </w:rPr>
        <w:t>R. As fatias foram perfundidas com um antagonista selectivo dos A</w:t>
      </w:r>
      <w:r w:rsidRPr="001E7A51">
        <w:rPr>
          <w:rFonts w:ascii="Trebuchet MS" w:eastAsiaTheme="minorHAnsi" w:hAnsi="Trebuchet MS" w:cstheme="minorBidi"/>
          <w:sz w:val="20"/>
          <w:szCs w:val="20"/>
          <w:vertAlign w:val="subscript"/>
        </w:rPr>
        <w:t>1</w:t>
      </w:r>
      <w:r w:rsidRPr="003B7012">
        <w:rPr>
          <w:rFonts w:ascii="Trebuchet MS" w:eastAsiaTheme="minorHAnsi" w:hAnsi="Trebuchet MS" w:cstheme="minorBidi"/>
          <w:sz w:val="20"/>
          <w:szCs w:val="20"/>
        </w:rPr>
        <w:t>R</w:t>
      </w:r>
      <w:r w:rsidR="001E7A51">
        <w:rPr>
          <w:rFonts w:ascii="Trebuchet MS" w:eastAsiaTheme="minorHAnsi" w:hAnsi="Trebuchet MS" w:cstheme="minorBidi"/>
          <w:sz w:val="20"/>
          <w:szCs w:val="20"/>
        </w:rPr>
        <w:t>s</w:t>
      </w:r>
      <w:r w:rsidRPr="003B7012">
        <w:rPr>
          <w:rFonts w:ascii="Trebuchet MS" w:eastAsiaTheme="minorHAnsi" w:hAnsi="Trebuchet MS" w:cstheme="minorBidi"/>
          <w:sz w:val="20"/>
          <w:szCs w:val="20"/>
        </w:rPr>
        <w:t xml:space="preserve"> (DPCPX 10 </w:t>
      </w:r>
      <w:r w:rsidRPr="003B7012">
        <w:rPr>
          <w:rFonts w:ascii="Trebuchet MS" w:eastAsiaTheme="minorHAnsi" w:hAnsi="Trebuchet MS" w:cstheme="minorBidi"/>
          <w:sz w:val="20"/>
          <w:szCs w:val="20"/>
        </w:rPr>
        <w:sym w:font="Symbol" w:char="F06D"/>
      </w:r>
      <w:r w:rsidRPr="003B7012">
        <w:rPr>
          <w:rFonts w:ascii="Trebuchet MS" w:eastAsiaTheme="minorHAnsi" w:hAnsi="Trebuchet MS" w:cstheme="minorBidi"/>
          <w:sz w:val="20"/>
          <w:szCs w:val="20"/>
        </w:rPr>
        <w:t>M) durante a duração do IPC (15</w:t>
      </w:r>
      <w:r w:rsidR="0044406C" w:rsidRPr="003B7012">
        <w:rPr>
          <w:rFonts w:ascii="Trebuchet MS" w:eastAsiaTheme="minorHAnsi" w:hAnsi="Trebuchet MS" w:cstheme="minorBidi"/>
          <w:sz w:val="20"/>
          <w:szCs w:val="20"/>
        </w:rPr>
        <w:t xml:space="preserve"> </w:t>
      </w:r>
      <w:r w:rsidR="003B17A7" w:rsidRPr="003B7012">
        <w:rPr>
          <w:rFonts w:ascii="Trebuchet MS" w:eastAsiaTheme="minorHAnsi" w:hAnsi="Trebuchet MS" w:cstheme="minorBidi"/>
          <w:sz w:val="20"/>
          <w:szCs w:val="20"/>
        </w:rPr>
        <w:t>minutos</w:t>
      </w:r>
      <w:r w:rsidRPr="003B7012">
        <w:rPr>
          <w:rFonts w:ascii="Trebuchet MS" w:eastAsiaTheme="minorHAnsi" w:hAnsi="Trebuchet MS" w:cstheme="minorBidi"/>
          <w:sz w:val="20"/>
          <w:szCs w:val="20"/>
        </w:rPr>
        <w:t>). Para o ensaio do I</w:t>
      </w:r>
      <w:r w:rsidR="000910F0">
        <w:rPr>
          <w:rFonts w:ascii="Trebuchet MS" w:eastAsiaTheme="minorHAnsi" w:hAnsi="Trebuchet MS" w:cstheme="minorBidi"/>
          <w:sz w:val="20"/>
          <w:szCs w:val="20"/>
        </w:rPr>
        <w:t>PC, as fatias foram perfundidas</w:t>
      </w:r>
      <w:r w:rsidRPr="003B7012">
        <w:rPr>
          <w:rFonts w:ascii="Trebuchet MS" w:eastAsiaTheme="minorHAnsi" w:hAnsi="Trebuchet MS" w:cstheme="minorBidi"/>
          <w:sz w:val="20"/>
          <w:szCs w:val="20"/>
        </w:rPr>
        <w:t xml:space="preserve"> durante 15</w:t>
      </w:r>
      <w:r w:rsidR="003B17A7" w:rsidRPr="003B7012">
        <w:rPr>
          <w:rFonts w:ascii="Trebuchet MS" w:eastAsiaTheme="minorHAnsi" w:hAnsi="Trebuchet MS" w:cstheme="minorBidi"/>
          <w:sz w:val="20"/>
          <w:szCs w:val="20"/>
        </w:rPr>
        <w:t xml:space="preserve"> minutos </w:t>
      </w:r>
      <w:r w:rsidRPr="003B7012">
        <w:rPr>
          <w:rFonts w:ascii="Trebuchet MS" w:eastAsiaTheme="minorHAnsi" w:hAnsi="Trebuchet MS" w:cstheme="minorBidi"/>
          <w:sz w:val="20"/>
          <w:szCs w:val="20"/>
        </w:rPr>
        <w:t>de POG</w:t>
      </w:r>
      <w:r w:rsidR="000910F0">
        <w:rPr>
          <w:rFonts w:ascii="Trebuchet MS" w:eastAsiaTheme="minorHAnsi" w:hAnsi="Trebuchet MS" w:cstheme="minorBidi"/>
          <w:sz w:val="20"/>
          <w:szCs w:val="20"/>
        </w:rPr>
        <w:t xml:space="preserve"> (IPC)</w:t>
      </w:r>
      <w:r w:rsidRPr="003B7012">
        <w:rPr>
          <w:rFonts w:ascii="Trebuchet MS" w:eastAsiaTheme="minorHAnsi" w:hAnsi="Trebuchet MS" w:cstheme="minorBidi"/>
          <w:sz w:val="20"/>
          <w:szCs w:val="20"/>
        </w:rPr>
        <w:t xml:space="preserve"> e 48</w:t>
      </w:r>
      <w:r w:rsidR="0044406C" w:rsidRPr="003B7012">
        <w:rPr>
          <w:rFonts w:ascii="Trebuchet MS" w:eastAsiaTheme="minorHAnsi" w:hAnsi="Trebuchet MS" w:cstheme="minorBidi"/>
          <w:sz w:val="20"/>
          <w:szCs w:val="20"/>
        </w:rPr>
        <w:t xml:space="preserve"> horas</w:t>
      </w:r>
      <w:r w:rsidRPr="003B7012">
        <w:rPr>
          <w:rFonts w:ascii="Trebuchet MS" w:eastAsiaTheme="minorHAnsi" w:hAnsi="Trebuchet MS" w:cstheme="minorBidi"/>
          <w:sz w:val="20"/>
          <w:szCs w:val="20"/>
        </w:rPr>
        <w:t xml:space="preserve"> depois, induzido</w:t>
      </w:r>
      <w:r w:rsidR="00071E5A" w:rsidRPr="003B7012">
        <w:rPr>
          <w:rFonts w:ascii="Trebuchet MS" w:eastAsiaTheme="minorHAnsi" w:hAnsi="Trebuchet MS" w:cstheme="minorBidi"/>
          <w:sz w:val="20"/>
          <w:szCs w:val="20"/>
        </w:rPr>
        <w:t xml:space="preserve"> o insulto isquémico durante 40 minutos </w:t>
      </w:r>
      <w:r w:rsidRPr="003B7012">
        <w:rPr>
          <w:rFonts w:ascii="Trebuchet MS" w:eastAsiaTheme="minorHAnsi" w:hAnsi="Trebuchet MS" w:cstheme="minorBidi"/>
          <w:sz w:val="20"/>
          <w:szCs w:val="20"/>
        </w:rPr>
        <w:t>de POG. Verificaram que o tratamento com DPCPX diminuía a protecção conferida pelo IPC. Para confirmar o papel dos A1R durante o IPC, examinaram se o IPC poderia ser imitado por um agonista selectivo dos A</w:t>
      </w:r>
      <w:r w:rsidRPr="00BE3EFC">
        <w:rPr>
          <w:rFonts w:ascii="Trebuchet MS" w:eastAsiaTheme="minorHAnsi" w:hAnsi="Trebuchet MS" w:cstheme="minorBidi"/>
          <w:sz w:val="20"/>
          <w:szCs w:val="20"/>
          <w:vertAlign w:val="subscript"/>
        </w:rPr>
        <w:t>1</w:t>
      </w:r>
      <w:r w:rsidRPr="003B7012">
        <w:rPr>
          <w:rFonts w:ascii="Trebuchet MS" w:eastAsiaTheme="minorHAnsi" w:hAnsi="Trebuchet MS" w:cstheme="minorBidi"/>
          <w:sz w:val="20"/>
          <w:szCs w:val="20"/>
        </w:rPr>
        <w:t>R</w:t>
      </w:r>
      <w:r w:rsidR="00BE3EFC">
        <w:rPr>
          <w:rFonts w:ascii="Trebuchet MS" w:eastAsiaTheme="minorHAnsi" w:hAnsi="Trebuchet MS" w:cstheme="minorBidi"/>
          <w:sz w:val="20"/>
          <w:szCs w:val="20"/>
        </w:rPr>
        <w:t>s</w:t>
      </w:r>
      <w:r w:rsidRPr="003B7012">
        <w:rPr>
          <w:rFonts w:ascii="Trebuchet MS" w:eastAsiaTheme="minorHAnsi" w:hAnsi="Trebuchet MS" w:cstheme="minorBidi"/>
          <w:sz w:val="20"/>
          <w:szCs w:val="20"/>
        </w:rPr>
        <w:t xml:space="preserve"> (R-PIA</w:t>
      </w:r>
      <w:r w:rsidR="00BE3EFC">
        <w:rPr>
          <w:rFonts w:ascii="Trebuchet MS" w:eastAsiaTheme="minorHAnsi" w:hAnsi="Trebuchet MS" w:cstheme="minorBidi"/>
          <w:sz w:val="20"/>
          <w:szCs w:val="20"/>
        </w:rPr>
        <w:t xml:space="preserve">: </w:t>
      </w:r>
      <w:r w:rsidR="00BE3EFC" w:rsidRPr="00572B61">
        <w:rPr>
          <w:rFonts w:ascii="Trebuchet MS" w:hAnsi="Trebuchet MS"/>
          <w:sz w:val="20"/>
          <w:szCs w:val="20"/>
        </w:rPr>
        <w:t>N</w:t>
      </w:r>
      <w:r w:rsidR="00BE3EFC" w:rsidRPr="00572B61">
        <w:rPr>
          <w:rFonts w:ascii="Trebuchet MS" w:hAnsi="Trebuchet MS"/>
          <w:sz w:val="20"/>
          <w:szCs w:val="20"/>
          <w:vertAlign w:val="superscript"/>
        </w:rPr>
        <w:t>6</w:t>
      </w:r>
      <w:r w:rsidR="00BE3EFC" w:rsidRPr="00572B61">
        <w:rPr>
          <w:rFonts w:ascii="Trebuchet MS" w:hAnsi="Trebuchet MS"/>
          <w:sz w:val="20"/>
          <w:szCs w:val="20"/>
        </w:rPr>
        <w:t>- (R) - Fenilisopropilad</w:t>
      </w:r>
      <w:r w:rsidR="00BE3EFC" w:rsidRPr="00572B61">
        <w:rPr>
          <w:rFonts w:ascii="Trebuchet MS" w:hAnsi="Trebuchet MS"/>
          <w:sz w:val="20"/>
          <w:szCs w:val="20"/>
        </w:rPr>
        <w:t>e</w:t>
      </w:r>
      <w:r w:rsidR="00BE3EFC" w:rsidRPr="00572B61">
        <w:rPr>
          <w:rFonts w:ascii="Trebuchet MS" w:hAnsi="Trebuchet MS"/>
          <w:sz w:val="20"/>
          <w:szCs w:val="20"/>
        </w:rPr>
        <w:t>nosina</w:t>
      </w:r>
      <w:r w:rsidRPr="003B7012">
        <w:rPr>
          <w:rFonts w:ascii="Trebuchet MS" w:eastAsiaTheme="minorHAnsi" w:hAnsi="Trebuchet MS" w:cstheme="minorBidi"/>
          <w:sz w:val="20"/>
          <w:szCs w:val="20"/>
        </w:rPr>
        <w:t xml:space="preserve">). As fatias foram perfundidas com R-PIA (50 nM e 100 </w:t>
      </w:r>
      <w:r w:rsidRPr="003B7012">
        <w:rPr>
          <w:rFonts w:ascii="Trebuchet MS" w:eastAsiaTheme="minorHAnsi" w:hAnsi="Trebuchet MS" w:cstheme="minorBidi"/>
          <w:sz w:val="20"/>
          <w:szCs w:val="20"/>
        </w:rPr>
        <w:sym w:font="Symbol" w:char="F06D"/>
      </w:r>
      <w:r w:rsidRPr="003B7012">
        <w:rPr>
          <w:rFonts w:ascii="Trebuchet MS" w:eastAsiaTheme="minorHAnsi" w:hAnsi="Trebuchet MS" w:cstheme="minorBidi"/>
          <w:sz w:val="20"/>
          <w:szCs w:val="20"/>
        </w:rPr>
        <w:t>M) durante 15</w:t>
      </w:r>
      <w:r w:rsidR="0044406C" w:rsidRPr="003B7012">
        <w:rPr>
          <w:rFonts w:ascii="Trebuchet MS" w:eastAsiaTheme="minorHAnsi" w:hAnsi="Trebuchet MS" w:cstheme="minorBidi"/>
          <w:sz w:val="20"/>
          <w:szCs w:val="20"/>
        </w:rPr>
        <w:t xml:space="preserve"> </w:t>
      </w:r>
      <w:r w:rsidR="003B17A7" w:rsidRPr="003B7012">
        <w:rPr>
          <w:rFonts w:ascii="Trebuchet MS" w:eastAsiaTheme="minorHAnsi" w:hAnsi="Trebuchet MS" w:cstheme="minorBidi"/>
          <w:sz w:val="20"/>
          <w:szCs w:val="20"/>
        </w:rPr>
        <w:t>minutos</w:t>
      </w:r>
      <w:r w:rsidRPr="003B7012">
        <w:rPr>
          <w:rFonts w:ascii="Trebuchet MS" w:eastAsiaTheme="minorHAnsi" w:hAnsi="Trebuchet MS" w:cstheme="minorBidi"/>
          <w:sz w:val="20"/>
          <w:szCs w:val="20"/>
        </w:rPr>
        <w:t>, e 48</w:t>
      </w:r>
      <w:r w:rsidR="0044406C" w:rsidRPr="003B7012">
        <w:rPr>
          <w:rFonts w:ascii="Trebuchet MS" w:eastAsiaTheme="minorHAnsi" w:hAnsi="Trebuchet MS" w:cstheme="minorBidi"/>
          <w:sz w:val="20"/>
          <w:szCs w:val="20"/>
        </w:rPr>
        <w:t xml:space="preserve"> horas</w:t>
      </w:r>
      <w:r w:rsidRPr="003B7012">
        <w:rPr>
          <w:rFonts w:ascii="Trebuchet MS" w:eastAsiaTheme="minorHAnsi" w:hAnsi="Trebuchet MS" w:cstheme="minorBidi"/>
          <w:sz w:val="20"/>
          <w:szCs w:val="20"/>
        </w:rPr>
        <w:t xml:space="preserve"> depois foi induzido o insulto isquémico (40</w:t>
      </w:r>
      <w:r w:rsidR="0044406C" w:rsidRPr="003B7012">
        <w:rPr>
          <w:rFonts w:ascii="Trebuchet MS" w:eastAsiaTheme="minorHAnsi" w:hAnsi="Trebuchet MS" w:cstheme="minorBidi"/>
          <w:sz w:val="20"/>
          <w:szCs w:val="20"/>
        </w:rPr>
        <w:t xml:space="preserve"> </w:t>
      </w:r>
      <w:r w:rsidR="003B17A7" w:rsidRPr="003B7012">
        <w:rPr>
          <w:rFonts w:ascii="Trebuchet MS" w:eastAsiaTheme="minorHAnsi" w:hAnsi="Trebuchet MS" w:cstheme="minorBidi"/>
          <w:sz w:val="20"/>
          <w:szCs w:val="20"/>
        </w:rPr>
        <w:t>minutos</w:t>
      </w:r>
      <w:r w:rsidRPr="003B7012">
        <w:rPr>
          <w:rFonts w:ascii="Trebuchet MS" w:eastAsiaTheme="minorHAnsi" w:hAnsi="Trebuchet MS" w:cstheme="minorBidi"/>
          <w:sz w:val="20"/>
          <w:szCs w:val="20"/>
        </w:rPr>
        <w:t xml:space="preserve">). Embora, tenham utilizado duas concentrações distintas de R-PIA, apenas o tratamento com 100 </w:t>
      </w:r>
      <w:r w:rsidRPr="003B7012">
        <w:rPr>
          <w:rFonts w:ascii="Trebuchet MS" w:eastAsiaTheme="minorHAnsi" w:hAnsi="Trebuchet MS" w:cstheme="minorBidi"/>
          <w:sz w:val="20"/>
          <w:szCs w:val="20"/>
        </w:rPr>
        <w:sym w:font="Symbol" w:char="F06D"/>
      </w:r>
      <w:r w:rsidRPr="003B7012">
        <w:rPr>
          <w:rFonts w:ascii="Trebuchet MS" w:eastAsiaTheme="minorHAnsi" w:hAnsi="Trebuchet MS" w:cstheme="minorBidi"/>
          <w:sz w:val="20"/>
          <w:szCs w:val="20"/>
        </w:rPr>
        <w:t>M foi eficaz, isto é, neur</w:t>
      </w:r>
      <w:r w:rsidRPr="003B7012">
        <w:rPr>
          <w:rFonts w:ascii="Trebuchet MS" w:eastAsiaTheme="minorHAnsi" w:hAnsi="Trebuchet MS" w:cstheme="minorBidi"/>
          <w:sz w:val="20"/>
          <w:szCs w:val="20"/>
        </w:rPr>
        <w:t>o</w:t>
      </w:r>
      <w:r w:rsidRPr="003B7012">
        <w:rPr>
          <w:rFonts w:ascii="Trebuchet MS" w:eastAsiaTheme="minorHAnsi" w:hAnsi="Trebuchet MS" w:cstheme="minorBidi"/>
          <w:sz w:val="20"/>
          <w:szCs w:val="20"/>
        </w:rPr>
        <w:t xml:space="preserve">protector contra o insulto isquémico aplicado, já com 50 nM não observaram nenhum efeito. Uma vez que 100 </w:t>
      </w:r>
      <w:r w:rsidRPr="003B7012">
        <w:rPr>
          <w:rFonts w:ascii="Trebuchet MS" w:eastAsiaTheme="minorHAnsi" w:hAnsi="Trebuchet MS" w:cstheme="minorBidi"/>
          <w:sz w:val="20"/>
          <w:szCs w:val="20"/>
        </w:rPr>
        <w:sym w:font="Symbol" w:char="F06D"/>
      </w:r>
      <w:r w:rsidRPr="003B7012">
        <w:rPr>
          <w:rFonts w:ascii="Trebuchet MS" w:eastAsiaTheme="minorHAnsi" w:hAnsi="Trebuchet MS" w:cstheme="minorBidi"/>
          <w:sz w:val="20"/>
          <w:szCs w:val="20"/>
        </w:rPr>
        <w:t xml:space="preserve">M também pode ter activado os A2R, Lange-Assehenfeldt </w:t>
      </w:r>
      <w:r w:rsidR="00F96813" w:rsidRPr="003B7012">
        <w:rPr>
          <w:rFonts w:ascii="Trebuchet MS" w:eastAsiaTheme="minorHAnsi" w:hAnsi="Trebuchet MS" w:cstheme="minorBidi"/>
          <w:i/>
          <w:sz w:val="20"/>
          <w:szCs w:val="20"/>
        </w:rPr>
        <w:t>et al.</w:t>
      </w:r>
      <w:r w:rsidRPr="003B7012">
        <w:rPr>
          <w:rFonts w:ascii="Trebuchet MS" w:eastAsiaTheme="minorHAnsi" w:hAnsi="Trebuchet MS" w:cstheme="minorBidi"/>
          <w:sz w:val="20"/>
          <w:szCs w:val="20"/>
        </w:rPr>
        <w:t>, (2004) re</w:t>
      </w:r>
      <w:r w:rsidRPr="003B7012">
        <w:rPr>
          <w:rFonts w:ascii="Trebuchet MS" w:eastAsiaTheme="minorHAnsi" w:hAnsi="Trebuchet MS" w:cstheme="minorBidi"/>
          <w:sz w:val="20"/>
          <w:szCs w:val="20"/>
        </w:rPr>
        <w:t>a</w:t>
      </w:r>
      <w:r w:rsidRPr="003B7012">
        <w:rPr>
          <w:rFonts w:ascii="Trebuchet MS" w:eastAsiaTheme="minorHAnsi" w:hAnsi="Trebuchet MS" w:cstheme="minorBidi"/>
          <w:sz w:val="20"/>
          <w:szCs w:val="20"/>
        </w:rPr>
        <w:t>lizaram um conjunto de experiências para determinar se este receptor está envolvido no pré-condicionamento induzido pela R-PIA. Desta forma, as fatias foram submetidas a um pré-condicionamento farmacológico com 100</w:t>
      </w:r>
      <w:r w:rsidRPr="003B7012">
        <w:rPr>
          <w:rFonts w:ascii="Trebuchet MS" w:eastAsiaTheme="minorHAnsi" w:hAnsi="Trebuchet MS" w:cstheme="minorBidi"/>
          <w:sz w:val="20"/>
          <w:szCs w:val="20"/>
        </w:rPr>
        <w:sym w:font="Symbol" w:char="F06D"/>
      </w:r>
      <w:r w:rsidRPr="003B7012">
        <w:rPr>
          <w:rFonts w:ascii="Trebuchet MS" w:eastAsiaTheme="minorHAnsi" w:hAnsi="Trebuchet MS" w:cstheme="minorBidi"/>
          <w:sz w:val="20"/>
          <w:szCs w:val="20"/>
        </w:rPr>
        <w:t>M de R-PIA em presença de um inibidor selectivo dos A</w:t>
      </w:r>
      <w:r w:rsidRPr="0053654F">
        <w:rPr>
          <w:rFonts w:ascii="Trebuchet MS" w:eastAsiaTheme="minorHAnsi" w:hAnsi="Trebuchet MS" w:cstheme="minorBidi"/>
          <w:sz w:val="20"/>
          <w:szCs w:val="20"/>
          <w:vertAlign w:val="subscript"/>
        </w:rPr>
        <w:t>2</w:t>
      </w:r>
      <w:r w:rsidRPr="003B7012">
        <w:rPr>
          <w:rFonts w:ascii="Trebuchet MS" w:eastAsiaTheme="minorHAnsi" w:hAnsi="Trebuchet MS" w:cstheme="minorBidi"/>
          <w:sz w:val="20"/>
          <w:szCs w:val="20"/>
        </w:rPr>
        <w:t xml:space="preserve">R (DMPX 10 </w:t>
      </w:r>
      <w:r w:rsidRPr="003B7012">
        <w:rPr>
          <w:rFonts w:ascii="Trebuchet MS" w:eastAsiaTheme="minorHAnsi" w:hAnsi="Trebuchet MS" w:cstheme="minorBidi"/>
          <w:sz w:val="20"/>
          <w:szCs w:val="20"/>
        </w:rPr>
        <w:sym w:font="Symbol" w:char="F06D"/>
      </w:r>
      <w:r w:rsidRPr="003B7012">
        <w:rPr>
          <w:rFonts w:ascii="Trebuchet MS" w:eastAsiaTheme="minorHAnsi" w:hAnsi="Trebuchet MS" w:cstheme="minorBidi"/>
          <w:sz w:val="20"/>
          <w:szCs w:val="20"/>
        </w:rPr>
        <w:t>M) durante 15</w:t>
      </w:r>
      <w:r w:rsidR="0044406C" w:rsidRPr="003B7012">
        <w:rPr>
          <w:rFonts w:ascii="Trebuchet MS" w:eastAsiaTheme="minorHAnsi" w:hAnsi="Trebuchet MS" w:cstheme="minorBidi"/>
          <w:sz w:val="20"/>
          <w:szCs w:val="20"/>
        </w:rPr>
        <w:t xml:space="preserve"> minutos</w:t>
      </w:r>
      <w:r w:rsidRPr="003B7012">
        <w:rPr>
          <w:rFonts w:ascii="Trebuchet MS" w:eastAsiaTheme="minorHAnsi" w:hAnsi="Trebuchet MS" w:cstheme="minorBidi"/>
          <w:sz w:val="20"/>
          <w:szCs w:val="20"/>
        </w:rPr>
        <w:t xml:space="preserve"> e 48</w:t>
      </w:r>
      <w:r w:rsidR="0044406C" w:rsidRPr="003B7012">
        <w:rPr>
          <w:rFonts w:ascii="Trebuchet MS" w:eastAsiaTheme="minorHAnsi" w:hAnsi="Trebuchet MS" w:cstheme="minorBidi"/>
          <w:sz w:val="20"/>
          <w:szCs w:val="20"/>
        </w:rPr>
        <w:t xml:space="preserve"> horas</w:t>
      </w:r>
      <w:r w:rsidRPr="003B7012">
        <w:rPr>
          <w:rFonts w:ascii="Trebuchet MS" w:eastAsiaTheme="minorHAnsi" w:hAnsi="Trebuchet MS" w:cstheme="minorBidi"/>
          <w:sz w:val="20"/>
          <w:szCs w:val="20"/>
        </w:rPr>
        <w:t xml:space="preserve"> após insulto isquémico foi aplicado. Comparando, os resultados verificaram que não havia diferença significante entre o pré-condicionamento com R-PIA e R-PIA+DMPX. Assim sendo, os resultados sugerem que o pré-condicionamento isquémico em fatias organotípicas apenas requer activação dos A</w:t>
      </w:r>
      <w:r w:rsidRPr="004C0F27">
        <w:rPr>
          <w:rFonts w:ascii="Trebuchet MS" w:eastAsiaTheme="minorHAnsi" w:hAnsi="Trebuchet MS" w:cstheme="minorBidi"/>
          <w:sz w:val="20"/>
          <w:szCs w:val="20"/>
          <w:vertAlign w:val="subscript"/>
        </w:rPr>
        <w:t>1</w:t>
      </w:r>
      <w:r w:rsidRPr="003B7012">
        <w:rPr>
          <w:rFonts w:ascii="Trebuchet MS" w:eastAsiaTheme="minorHAnsi" w:hAnsi="Trebuchet MS" w:cstheme="minorBidi"/>
          <w:sz w:val="20"/>
          <w:szCs w:val="20"/>
        </w:rPr>
        <w:t>R</w:t>
      </w:r>
      <w:r w:rsidR="004C0F27">
        <w:rPr>
          <w:rFonts w:ascii="Trebuchet MS" w:eastAsiaTheme="minorHAnsi" w:hAnsi="Trebuchet MS" w:cstheme="minorBidi"/>
          <w:sz w:val="20"/>
          <w:szCs w:val="20"/>
        </w:rPr>
        <w:t>s</w:t>
      </w:r>
      <w:r w:rsidRPr="003B7012">
        <w:rPr>
          <w:rFonts w:ascii="Trebuchet MS" w:eastAsiaTheme="minorHAnsi" w:hAnsi="Trebuchet MS" w:cstheme="minorBidi"/>
          <w:sz w:val="20"/>
          <w:szCs w:val="20"/>
        </w:rPr>
        <w:t xml:space="preserve">. Lange-Assehenfeldt </w:t>
      </w:r>
      <w:r w:rsidR="00F96813" w:rsidRPr="003B7012">
        <w:rPr>
          <w:rFonts w:ascii="Trebuchet MS" w:eastAsiaTheme="minorHAnsi" w:hAnsi="Trebuchet MS" w:cstheme="minorBidi"/>
          <w:i/>
          <w:sz w:val="20"/>
          <w:szCs w:val="20"/>
        </w:rPr>
        <w:t>et al.</w:t>
      </w:r>
      <w:r w:rsidRPr="003B7012">
        <w:rPr>
          <w:rFonts w:ascii="Trebuchet MS" w:eastAsiaTheme="minorHAnsi" w:hAnsi="Trebuchet MS" w:cstheme="minorBidi"/>
          <w:sz w:val="20"/>
          <w:szCs w:val="20"/>
        </w:rPr>
        <w:t xml:space="preserve">, (2004) provaram </w:t>
      </w:r>
      <w:r w:rsidR="003E31A9">
        <w:rPr>
          <w:rFonts w:ascii="Trebuchet MS" w:eastAsiaTheme="minorHAnsi" w:hAnsi="Trebuchet MS" w:cstheme="minorBidi"/>
          <w:sz w:val="20"/>
          <w:szCs w:val="20"/>
        </w:rPr>
        <w:t>também</w:t>
      </w:r>
      <w:r w:rsidRPr="003B7012">
        <w:rPr>
          <w:rFonts w:ascii="Trebuchet MS" w:eastAsiaTheme="minorHAnsi" w:hAnsi="Trebuchet MS" w:cstheme="minorBidi"/>
          <w:sz w:val="20"/>
          <w:szCs w:val="20"/>
        </w:rPr>
        <w:t xml:space="preserve"> através deste estudo que os receptores de NMDA e A</w:t>
      </w:r>
      <w:r w:rsidRPr="004C0F27">
        <w:rPr>
          <w:rFonts w:ascii="Trebuchet MS" w:eastAsiaTheme="minorHAnsi" w:hAnsi="Trebuchet MS" w:cstheme="minorBidi"/>
          <w:sz w:val="20"/>
          <w:szCs w:val="20"/>
          <w:vertAlign w:val="subscript"/>
        </w:rPr>
        <w:t>1</w:t>
      </w:r>
      <w:r w:rsidRPr="003B7012">
        <w:rPr>
          <w:rFonts w:ascii="Trebuchet MS" w:eastAsiaTheme="minorHAnsi" w:hAnsi="Trebuchet MS" w:cstheme="minorBidi"/>
          <w:sz w:val="20"/>
          <w:szCs w:val="20"/>
        </w:rPr>
        <w:t>R</w:t>
      </w:r>
      <w:r w:rsidR="004C0F27">
        <w:rPr>
          <w:rFonts w:ascii="Trebuchet MS" w:eastAsiaTheme="minorHAnsi" w:hAnsi="Trebuchet MS" w:cstheme="minorBidi"/>
          <w:sz w:val="20"/>
          <w:szCs w:val="20"/>
        </w:rPr>
        <w:t>s</w:t>
      </w:r>
      <w:r w:rsidRPr="003B7012">
        <w:rPr>
          <w:rFonts w:ascii="Trebuchet MS" w:eastAsiaTheme="minorHAnsi" w:hAnsi="Trebuchet MS" w:cstheme="minorBidi"/>
          <w:sz w:val="20"/>
          <w:szCs w:val="20"/>
        </w:rPr>
        <w:t xml:space="preserve"> promovem neuroprotecção por IPC na região CA1 do hipocampo através de uma via de transdução de sinal semelhante. </w:t>
      </w:r>
    </w:p>
    <w:p w:rsidR="00C3702E" w:rsidRPr="004C0F27" w:rsidRDefault="00C3702E" w:rsidP="00AF5B03">
      <w:pPr>
        <w:ind w:firstLine="708"/>
        <w:jc w:val="both"/>
        <w:rPr>
          <w:rFonts w:ascii="Trebuchet MS" w:eastAsiaTheme="minorHAnsi" w:hAnsi="Trebuchet MS" w:cstheme="minorBidi"/>
          <w:sz w:val="20"/>
          <w:szCs w:val="20"/>
        </w:rPr>
      </w:pPr>
    </w:p>
    <w:p w:rsidR="00621317" w:rsidRDefault="00E8097D" w:rsidP="00AF5B03">
      <w:pPr>
        <w:pStyle w:val="Corpodetexto"/>
        <w:spacing w:after="120" w:line="360" w:lineRule="auto"/>
        <w:ind w:firstLine="720"/>
        <w:rPr>
          <w:rFonts w:ascii="Trebuchet MS" w:hAnsi="Trebuchet MS"/>
          <w:b/>
          <w:smallCaps/>
          <w:shadow/>
          <w:color w:val="333399"/>
        </w:rPr>
      </w:pPr>
      <w:r>
        <w:rPr>
          <w:rFonts w:ascii="Trebuchet MS" w:hAnsi="Trebuchet MS"/>
          <w:b/>
          <w:shadow/>
          <w:color w:val="333399"/>
        </w:rPr>
        <w:t>1</w:t>
      </w:r>
      <w:r w:rsidR="00621317" w:rsidRPr="00547EC2">
        <w:rPr>
          <w:rFonts w:ascii="Trebuchet MS" w:hAnsi="Trebuchet MS"/>
          <w:b/>
          <w:shadow/>
          <w:color w:val="333399"/>
        </w:rPr>
        <w:t>.2.</w:t>
      </w:r>
      <w:r>
        <w:rPr>
          <w:rFonts w:ascii="Trebuchet MS" w:hAnsi="Trebuchet MS"/>
          <w:b/>
          <w:shadow/>
          <w:color w:val="333399"/>
        </w:rPr>
        <w:t>4</w:t>
      </w:r>
      <w:r w:rsidR="00621317" w:rsidRPr="00547EC2">
        <w:rPr>
          <w:rFonts w:ascii="Trebuchet MS" w:hAnsi="Trebuchet MS"/>
          <w:b/>
          <w:shadow/>
          <w:color w:val="333399"/>
        </w:rPr>
        <w:t xml:space="preserve">. </w:t>
      </w:r>
      <w:r w:rsidR="00621317">
        <w:rPr>
          <w:rFonts w:ascii="Trebuchet MS" w:hAnsi="Trebuchet MS"/>
          <w:b/>
          <w:smallCaps/>
          <w:shadow/>
          <w:color w:val="333399"/>
        </w:rPr>
        <w:t>Outros Tipos de P</w:t>
      </w:r>
      <w:r w:rsidR="00621317" w:rsidRPr="00547EC2">
        <w:rPr>
          <w:rFonts w:ascii="Trebuchet MS" w:hAnsi="Trebuchet MS"/>
          <w:b/>
          <w:smallCaps/>
          <w:shadow/>
          <w:color w:val="333399"/>
        </w:rPr>
        <w:t>ré-condicionamento</w:t>
      </w:r>
    </w:p>
    <w:p w:rsidR="00D1310E" w:rsidRDefault="00D1310E" w:rsidP="00C3702E">
      <w:pPr>
        <w:spacing w:line="360" w:lineRule="auto"/>
        <w:jc w:val="both"/>
        <w:rPr>
          <w:rFonts w:ascii="Trebuchet MS" w:eastAsiaTheme="minorHAnsi" w:hAnsi="Trebuchet MS" w:cs="Arial"/>
          <w:sz w:val="20"/>
          <w:szCs w:val="22"/>
          <w:lang w:eastAsia="pt-PT"/>
        </w:rPr>
      </w:pPr>
      <w:r>
        <w:rPr>
          <w:rFonts w:ascii="Trebuchet MS" w:eastAsiaTheme="minorHAnsi" w:hAnsi="Trebuchet MS" w:cs="Arial"/>
          <w:sz w:val="20"/>
          <w:szCs w:val="22"/>
          <w:lang w:eastAsia="pt-PT"/>
        </w:rPr>
        <w:tab/>
      </w:r>
      <w:r w:rsidRPr="00D1310E">
        <w:rPr>
          <w:rFonts w:ascii="Trebuchet MS" w:eastAsiaTheme="minorHAnsi" w:hAnsi="Trebuchet MS" w:cs="Arial"/>
          <w:sz w:val="20"/>
          <w:szCs w:val="22"/>
          <w:lang w:eastAsia="pt-PT"/>
        </w:rPr>
        <w:t xml:space="preserve">Outros tipos de pré-condicionamento foram descritos </w:t>
      </w:r>
      <w:r w:rsidRPr="00D1310E">
        <w:rPr>
          <w:rFonts w:ascii="Trebuchet MS" w:eastAsiaTheme="minorHAnsi" w:hAnsi="Trebuchet MS" w:cs="Arial"/>
          <w:i/>
          <w:sz w:val="20"/>
          <w:szCs w:val="22"/>
          <w:lang w:eastAsia="pt-PT"/>
        </w:rPr>
        <w:t>in vivo</w:t>
      </w:r>
      <w:r w:rsidRPr="00D1310E">
        <w:rPr>
          <w:rFonts w:ascii="Trebuchet MS" w:eastAsiaTheme="minorHAnsi" w:hAnsi="Trebuchet MS" w:cs="Arial"/>
          <w:sz w:val="20"/>
          <w:szCs w:val="22"/>
          <w:lang w:eastAsia="pt-PT"/>
        </w:rPr>
        <w:t xml:space="preserve"> e </w:t>
      </w:r>
      <w:proofErr w:type="gramStart"/>
      <w:r w:rsidRPr="00D1310E">
        <w:rPr>
          <w:rFonts w:ascii="Trebuchet MS" w:eastAsiaTheme="minorHAnsi" w:hAnsi="Trebuchet MS" w:cs="Arial"/>
          <w:i/>
          <w:sz w:val="20"/>
          <w:szCs w:val="22"/>
          <w:lang w:eastAsia="pt-PT"/>
        </w:rPr>
        <w:t>in vitro</w:t>
      </w:r>
      <w:proofErr w:type="gramEnd"/>
      <w:r w:rsidRPr="00D1310E">
        <w:rPr>
          <w:rFonts w:ascii="Trebuchet MS" w:eastAsiaTheme="minorHAnsi" w:hAnsi="Trebuchet MS" w:cs="Arial"/>
          <w:sz w:val="20"/>
          <w:szCs w:val="22"/>
          <w:lang w:eastAsia="pt-PT"/>
        </w:rPr>
        <w:t xml:space="preserve">, incluindo hipertemia, </w:t>
      </w:r>
      <w:r w:rsidRPr="00D1310E">
        <w:rPr>
          <w:rFonts w:ascii="Trebuchet MS" w:eastAsiaTheme="minorHAnsi" w:hAnsi="Trebuchet MS" w:cs="Arial"/>
          <w:b/>
          <w:sz w:val="20"/>
          <w:szCs w:val="22"/>
          <w:lang w:eastAsia="pt-PT"/>
        </w:rPr>
        <w:t>hipotermia</w:t>
      </w:r>
      <w:r w:rsidRPr="00D1310E">
        <w:rPr>
          <w:rFonts w:ascii="Trebuchet MS" w:eastAsiaTheme="minorHAnsi" w:hAnsi="Trebuchet MS" w:cs="Arial"/>
          <w:sz w:val="20"/>
          <w:szCs w:val="22"/>
          <w:lang w:eastAsia="pt-PT"/>
        </w:rPr>
        <w:t>, pré-condicionamento químico</w:t>
      </w:r>
      <w:r w:rsidR="003A1376">
        <w:rPr>
          <w:rFonts w:ascii="Trebuchet MS" w:eastAsiaTheme="minorHAnsi" w:hAnsi="Trebuchet MS" w:cs="Arial"/>
          <w:sz w:val="20"/>
          <w:szCs w:val="22"/>
          <w:lang w:eastAsia="pt-PT"/>
        </w:rPr>
        <w:t>, entre outros</w:t>
      </w:r>
      <w:r w:rsidRPr="00D1310E">
        <w:rPr>
          <w:rFonts w:ascii="Trebuchet MS" w:eastAsiaTheme="minorHAnsi" w:hAnsi="Trebuchet MS" w:cs="Arial"/>
          <w:sz w:val="20"/>
          <w:szCs w:val="22"/>
          <w:lang w:eastAsia="pt-PT"/>
        </w:rPr>
        <w:t xml:space="preserve"> (</w:t>
      </w:r>
      <w:r w:rsidR="004149DC">
        <w:rPr>
          <w:rFonts w:ascii="Trebuchet MS" w:eastAsiaTheme="minorHAnsi" w:hAnsi="Trebuchet MS" w:cs="Arial"/>
          <w:sz w:val="20"/>
          <w:szCs w:val="22"/>
          <w:lang w:eastAsia="pt-PT"/>
        </w:rPr>
        <w:t>Para revisão ver</w:t>
      </w:r>
      <w:r w:rsidRPr="00D1310E">
        <w:rPr>
          <w:rFonts w:ascii="Trebuchet MS" w:eastAsiaTheme="minorHAnsi" w:hAnsi="Trebuchet MS" w:cs="Arial"/>
          <w:sz w:val="20"/>
          <w:szCs w:val="22"/>
          <w:lang w:eastAsia="pt-PT"/>
        </w:rPr>
        <w:t xml:space="preserve"> Sharp </w:t>
      </w:r>
      <w:r w:rsidRPr="00D1310E">
        <w:rPr>
          <w:rFonts w:ascii="Trebuchet MS" w:eastAsiaTheme="minorHAnsi" w:hAnsi="Trebuchet MS" w:cs="Arial"/>
          <w:i/>
          <w:sz w:val="20"/>
          <w:szCs w:val="22"/>
          <w:lang w:eastAsia="pt-PT"/>
        </w:rPr>
        <w:t>et al.</w:t>
      </w:r>
      <w:r w:rsidRPr="00D1310E">
        <w:rPr>
          <w:rFonts w:ascii="Trebuchet MS" w:eastAsiaTheme="minorHAnsi" w:hAnsi="Trebuchet MS" w:cs="Arial"/>
          <w:sz w:val="20"/>
          <w:szCs w:val="22"/>
          <w:lang w:eastAsia="pt-PT"/>
        </w:rPr>
        <w:t>, 2004).</w:t>
      </w:r>
    </w:p>
    <w:p w:rsidR="00C3702E" w:rsidRPr="00D1310E" w:rsidRDefault="00C3702E" w:rsidP="00C3702E">
      <w:pPr>
        <w:spacing w:after="200"/>
        <w:jc w:val="both"/>
        <w:rPr>
          <w:rFonts w:ascii="Trebuchet MS" w:eastAsiaTheme="minorHAnsi" w:hAnsi="Trebuchet MS" w:cs="Arial"/>
          <w:sz w:val="20"/>
          <w:szCs w:val="22"/>
          <w:lang w:eastAsia="pt-PT"/>
        </w:rPr>
      </w:pPr>
    </w:p>
    <w:p w:rsidR="00C20B22" w:rsidRPr="00401103" w:rsidRDefault="00C20B22" w:rsidP="00C3702E">
      <w:pPr>
        <w:spacing w:line="600" w:lineRule="auto"/>
        <w:ind w:firstLine="284"/>
        <w:jc w:val="both"/>
        <w:rPr>
          <w:rFonts w:ascii="Trebuchet MS" w:eastAsiaTheme="minorHAnsi" w:hAnsi="Trebuchet MS" w:cstheme="minorBidi"/>
          <w:b/>
          <w:smallCaps/>
          <w:shadow/>
          <w:sz w:val="20"/>
          <w:szCs w:val="20"/>
          <w:u w:val="single"/>
        </w:rPr>
      </w:pPr>
      <w:r w:rsidRPr="00401103">
        <w:rPr>
          <w:rFonts w:ascii="Trebuchet MS" w:eastAsiaTheme="minorHAnsi" w:hAnsi="Trebuchet MS" w:cstheme="minorBidi"/>
          <w:b/>
          <w:smallCaps/>
          <w:shadow/>
          <w:sz w:val="20"/>
          <w:szCs w:val="20"/>
        </w:rPr>
        <w:sym w:font="Wingdings" w:char="F0D6"/>
      </w:r>
      <w:r w:rsidRPr="00401103">
        <w:rPr>
          <w:rFonts w:ascii="Trebuchet MS" w:eastAsiaTheme="minorHAnsi" w:hAnsi="Trebuchet MS" w:cstheme="minorBidi"/>
          <w:b/>
          <w:smallCaps/>
          <w:shadow/>
          <w:sz w:val="20"/>
          <w:szCs w:val="20"/>
          <w:u w:val="single"/>
        </w:rPr>
        <w:t>Efeito da hipotermia</w:t>
      </w:r>
      <w:r w:rsidRPr="00401103">
        <w:rPr>
          <w:rFonts w:ascii="Trebuchet MS" w:eastAsiaTheme="minorHAnsi" w:hAnsi="Trebuchet MS" w:cstheme="minorBidi"/>
          <w:b/>
          <w:smallCaps/>
          <w:shadow/>
          <w:color w:val="FF0000"/>
          <w:sz w:val="20"/>
          <w:szCs w:val="20"/>
          <w:u w:val="single"/>
        </w:rPr>
        <w:t xml:space="preserve"> </w:t>
      </w:r>
    </w:p>
    <w:p w:rsidR="00C20B22" w:rsidRPr="00C65DA3" w:rsidRDefault="00C20B22" w:rsidP="00C20B22">
      <w:pPr>
        <w:autoSpaceDE w:val="0"/>
        <w:autoSpaceDN w:val="0"/>
        <w:adjustRightInd w:val="0"/>
        <w:spacing w:line="360" w:lineRule="auto"/>
        <w:ind w:firstLine="709"/>
        <w:jc w:val="both"/>
        <w:rPr>
          <w:rFonts w:ascii="Trebuchet MS" w:eastAsiaTheme="minorHAnsi" w:hAnsi="Trebuchet MS" w:cs="TimesNRMT"/>
          <w:sz w:val="20"/>
        </w:rPr>
      </w:pPr>
      <w:r w:rsidRPr="00C65DA3">
        <w:rPr>
          <w:rFonts w:ascii="Trebuchet MS" w:eastAsiaTheme="minorHAnsi" w:hAnsi="Trebuchet MS" w:cs="TimesNRMT"/>
          <w:sz w:val="20"/>
        </w:rPr>
        <w:t xml:space="preserve">O efeito neuroprotector da hipotermia foi reconhecido há muito tempo (Hashimoto </w:t>
      </w:r>
      <w:r w:rsidRPr="00C65DA3">
        <w:rPr>
          <w:rFonts w:ascii="Trebuchet MS" w:eastAsiaTheme="minorHAnsi" w:hAnsi="Trebuchet MS" w:cs="TimesNRMT"/>
          <w:i/>
          <w:sz w:val="20"/>
        </w:rPr>
        <w:t>et al.</w:t>
      </w:r>
      <w:r w:rsidRPr="00C65DA3">
        <w:rPr>
          <w:rFonts w:ascii="Trebuchet MS" w:eastAsiaTheme="minorHAnsi" w:hAnsi="Trebuchet MS" w:cs="TimesNRMT"/>
          <w:sz w:val="20"/>
        </w:rPr>
        <w:t xml:space="preserve">, 2003). Desde que, Busto </w:t>
      </w:r>
      <w:r w:rsidRPr="00C65DA3">
        <w:rPr>
          <w:rFonts w:ascii="Trebuchet MS" w:eastAsiaTheme="minorHAnsi" w:hAnsi="Trebuchet MS" w:cs="TimesNRMT"/>
          <w:i/>
          <w:sz w:val="20"/>
        </w:rPr>
        <w:t>et al.</w:t>
      </w:r>
      <w:r w:rsidRPr="00C65DA3">
        <w:rPr>
          <w:rFonts w:ascii="Trebuchet MS" w:eastAsiaTheme="minorHAnsi" w:hAnsi="Trebuchet MS" w:cs="TimesNRMT"/>
          <w:sz w:val="20"/>
        </w:rPr>
        <w:t>, relataram em 1987, que a hipotermia (33ºC) tem um efe</w:t>
      </w:r>
      <w:r w:rsidRPr="00C65DA3">
        <w:rPr>
          <w:rFonts w:ascii="Trebuchet MS" w:eastAsiaTheme="minorHAnsi" w:hAnsi="Trebuchet MS" w:cs="TimesNRMT"/>
          <w:sz w:val="20"/>
        </w:rPr>
        <w:t>i</w:t>
      </w:r>
      <w:r w:rsidRPr="00C65DA3">
        <w:rPr>
          <w:rFonts w:ascii="Trebuchet MS" w:eastAsiaTheme="minorHAnsi" w:hAnsi="Trebuchet MS" w:cs="TimesNRMT"/>
          <w:sz w:val="20"/>
        </w:rPr>
        <w:t xml:space="preserve">to neuroprotector, muita atenção tem sido dada à </w:t>
      </w:r>
      <w:r w:rsidRPr="00D0402F">
        <w:rPr>
          <w:rFonts w:ascii="Trebuchet MS" w:eastAsiaTheme="minorHAnsi" w:hAnsi="Trebuchet MS" w:cs="TimesNRMT"/>
          <w:sz w:val="20"/>
          <w:u w:val="single"/>
        </w:rPr>
        <w:t>hipotermia leve</w:t>
      </w:r>
      <w:r w:rsidRPr="00C65DA3">
        <w:rPr>
          <w:rFonts w:ascii="Trebuchet MS" w:eastAsiaTheme="minorHAnsi" w:hAnsi="Trebuchet MS" w:cs="TimesNRMT"/>
          <w:sz w:val="20"/>
        </w:rPr>
        <w:t xml:space="preserve"> para o </w:t>
      </w:r>
      <w:r w:rsidRPr="00D0402F">
        <w:rPr>
          <w:rFonts w:ascii="Trebuchet MS" w:eastAsiaTheme="minorHAnsi" w:hAnsi="Trebuchet MS" w:cs="TimesNRMT"/>
          <w:sz w:val="20"/>
          <w:u w:val="single"/>
        </w:rPr>
        <w:t>tratamento da lesão isquémica cerebral</w:t>
      </w:r>
      <w:r w:rsidRPr="00C65DA3">
        <w:rPr>
          <w:rFonts w:ascii="Trebuchet MS" w:eastAsiaTheme="minorHAnsi" w:hAnsi="Trebuchet MS" w:cs="TimesNRMT"/>
          <w:sz w:val="20"/>
        </w:rPr>
        <w:t>.</w:t>
      </w:r>
    </w:p>
    <w:p w:rsidR="00C20B22" w:rsidRPr="00C65DA3" w:rsidRDefault="00C20B22" w:rsidP="00C20B22">
      <w:pPr>
        <w:spacing w:line="360" w:lineRule="auto"/>
        <w:ind w:firstLine="708"/>
        <w:jc w:val="both"/>
        <w:rPr>
          <w:rFonts w:ascii="Trebuchet MS" w:eastAsiaTheme="minorHAnsi" w:hAnsi="Trebuchet MS" w:cstheme="minorBidi"/>
          <w:sz w:val="20"/>
        </w:rPr>
      </w:pPr>
      <w:r w:rsidRPr="00C65DA3">
        <w:rPr>
          <w:rFonts w:ascii="Trebuchet MS" w:eastAsiaTheme="minorHAnsi" w:hAnsi="Trebuchet MS" w:cstheme="minorBidi"/>
          <w:sz w:val="20"/>
        </w:rPr>
        <w:t xml:space="preserve">Dietrich </w:t>
      </w:r>
      <w:r w:rsidRPr="00C65DA3">
        <w:rPr>
          <w:rFonts w:ascii="Trebuchet MS" w:eastAsiaTheme="minorHAnsi" w:hAnsi="Trebuchet MS" w:cstheme="minorBidi"/>
          <w:i/>
          <w:sz w:val="20"/>
        </w:rPr>
        <w:t xml:space="preserve">et al. </w:t>
      </w:r>
      <w:r w:rsidRPr="00C65DA3">
        <w:rPr>
          <w:rFonts w:ascii="Trebuchet MS" w:eastAsiaTheme="minorHAnsi" w:hAnsi="Trebuchet MS" w:cstheme="minorBidi"/>
          <w:sz w:val="20"/>
        </w:rPr>
        <w:t xml:space="preserve">(1990b) demonstraram que a falta de monitorização ou controlo da temperatura cerebral, pode introduzir variabilidade nos resultados de estudos experimentais sobre isquémia. </w:t>
      </w:r>
    </w:p>
    <w:p w:rsidR="001F3AE4" w:rsidRPr="00C65DA3" w:rsidRDefault="00C20B22" w:rsidP="001F3AE4">
      <w:pPr>
        <w:spacing w:line="360" w:lineRule="auto"/>
        <w:ind w:firstLine="708"/>
        <w:jc w:val="both"/>
        <w:rPr>
          <w:rFonts w:ascii="Trebuchet MS" w:eastAsiaTheme="minorHAnsi" w:hAnsi="Trebuchet MS"/>
          <w:sz w:val="20"/>
        </w:rPr>
      </w:pPr>
      <w:r w:rsidRPr="00C65DA3">
        <w:rPr>
          <w:rFonts w:ascii="Trebuchet MS" w:eastAsiaTheme="minorHAnsi" w:hAnsi="Trebuchet MS" w:cs="TimesNRMT"/>
          <w:sz w:val="20"/>
        </w:rPr>
        <w:lastRenderedPageBreak/>
        <w:t xml:space="preserve">O tratamento com hipotermia, </w:t>
      </w:r>
      <w:r w:rsidRPr="00C65DA3">
        <w:rPr>
          <w:rFonts w:ascii="Trebuchet MS" w:eastAsiaTheme="minorHAnsi" w:hAnsi="Trebuchet MS" w:cstheme="minorBidi"/>
          <w:sz w:val="20"/>
        </w:rPr>
        <w:t>durante ou após isquémia,</w:t>
      </w:r>
      <w:r w:rsidRPr="00C65DA3">
        <w:rPr>
          <w:rFonts w:ascii="Trebuchet MS" w:eastAsiaTheme="minorHAnsi" w:hAnsi="Trebuchet MS" w:cs="TimesNRMT"/>
          <w:sz w:val="20"/>
        </w:rPr>
        <w:t xml:space="preserve"> reduz significativamente as lesões no hipocampo e no restante cérebro (Preston and Webster, 2000), protegendo </w:t>
      </w:r>
      <w:r w:rsidRPr="00C65DA3">
        <w:rPr>
          <w:rFonts w:ascii="Trebuchet MS" w:eastAsiaTheme="minorHAnsi" w:hAnsi="Trebuchet MS" w:cstheme="minorBidi"/>
          <w:sz w:val="20"/>
        </w:rPr>
        <w:t>o cér</w:t>
      </w:r>
      <w:r w:rsidRPr="00C65DA3">
        <w:rPr>
          <w:rFonts w:ascii="Trebuchet MS" w:eastAsiaTheme="minorHAnsi" w:hAnsi="Trebuchet MS" w:cstheme="minorBidi"/>
          <w:sz w:val="20"/>
        </w:rPr>
        <w:t>e</w:t>
      </w:r>
      <w:r w:rsidRPr="00C65DA3">
        <w:rPr>
          <w:rFonts w:ascii="Trebuchet MS" w:eastAsiaTheme="minorHAnsi" w:hAnsi="Trebuchet MS" w:cstheme="minorBidi"/>
          <w:sz w:val="20"/>
        </w:rPr>
        <w:t>bro contra danos neuronais (</w:t>
      </w:r>
      <w:r w:rsidR="00BB548A" w:rsidRPr="00C65DA3">
        <w:rPr>
          <w:rFonts w:ascii="Trebuchet MS" w:eastAsiaTheme="minorHAnsi" w:hAnsi="Trebuchet MS" w:cstheme="minorBidi"/>
          <w:sz w:val="20"/>
        </w:rPr>
        <w:t xml:space="preserve">Dietrich </w:t>
      </w:r>
      <w:r w:rsidR="00BB548A" w:rsidRPr="00C65DA3">
        <w:rPr>
          <w:rFonts w:ascii="Trebuchet MS" w:eastAsiaTheme="minorHAnsi" w:hAnsi="Trebuchet MS" w:cstheme="minorBidi"/>
          <w:i/>
          <w:sz w:val="20"/>
        </w:rPr>
        <w:t>et al.</w:t>
      </w:r>
      <w:r w:rsidR="00BB548A" w:rsidRPr="00C65DA3">
        <w:rPr>
          <w:rFonts w:ascii="Trebuchet MS" w:eastAsiaTheme="minorHAnsi" w:hAnsi="Trebuchet MS" w:cstheme="minorBidi"/>
          <w:sz w:val="20"/>
        </w:rPr>
        <w:t>, 1993;</w:t>
      </w:r>
      <w:r w:rsidR="00BB548A">
        <w:rPr>
          <w:rFonts w:ascii="Trebuchet MS" w:eastAsiaTheme="minorHAnsi" w:hAnsi="Trebuchet MS" w:cstheme="minorBidi"/>
          <w:sz w:val="20"/>
        </w:rPr>
        <w:t xml:space="preserve"> </w:t>
      </w:r>
      <w:r w:rsidRPr="00C65DA3">
        <w:rPr>
          <w:rFonts w:ascii="Trebuchet MS" w:eastAsiaTheme="minorHAnsi" w:hAnsi="Trebuchet MS" w:cstheme="minorBidi"/>
          <w:sz w:val="20"/>
        </w:rPr>
        <w:t xml:space="preserve">Hashimoto </w:t>
      </w:r>
      <w:r w:rsidRPr="00C65DA3">
        <w:rPr>
          <w:rFonts w:ascii="Trebuchet MS" w:eastAsiaTheme="minorHAnsi" w:hAnsi="Trebuchet MS" w:cstheme="minorBidi"/>
          <w:i/>
          <w:sz w:val="20"/>
        </w:rPr>
        <w:t>et al.</w:t>
      </w:r>
      <w:r w:rsidRPr="00C65DA3">
        <w:rPr>
          <w:rFonts w:ascii="Trebuchet MS" w:eastAsiaTheme="minorHAnsi" w:hAnsi="Trebuchet MS" w:cstheme="minorBidi"/>
          <w:sz w:val="20"/>
        </w:rPr>
        <w:t>, 2003</w:t>
      </w:r>
      <w:r w:rsidR="00BB548A">
        <w:rPr>
          <w:rFonts w:ascii="Trebuchet MS" w:eastAsiaTheme="minorHAnsi" w:hAnsi="Trebuchet MS" w:cstheme="minorBidi"/>
          <w:sz w:val="20"/>
        </w:rPr>
        <w:t xml:space="preserve">; </w:t>
      </w:r>
      <w:r w:rsidR="004149DC">
        <w:rPr>
          <w:rFonts w:ascii="Trebuchet MS" w:eastAsiaTheme="minorHAnsi" w:hAnsi="Trebuchet MS" w:cstheme="minorBidi"/>
          <w:sz w:val="20"/>
        </w:rPr>
        <w:t>Para revisão ver</w:t>
      </w:r>
      <w:r w:rsidR="00BB548A" w:rsidRPr="00C65DA3">
        <w:rPr>
          <w:rFonts w:ascii="Trebuchet MS" w:eastAsiaTheme="minorHAnsi" w:hAnsi="Trebuchet MS" w:cstheme="minorBidi"/>
          <w:sz w:val="20"/>
        </w:rPr>
        <w:t xml:space="preserve"> Lipton </w:t>
      </w:r>
      <w:r w:rsidR="00BB548A" w:rsidRPr="00C65DA3">
        <w:rPr>
          <w:rFonts w:ascii="Trebuchet MS" w:eastAsiaTheme="minorHAnsi" w:hAnsi="Trebuchet MS" w:cstheme="minorBidi"/>
          <w:i/>
          <w:sz w:val="20"/>
        </w:rPr>
        <w:t>et al.</w:t>
      </w:r>
      <w:r w:rsidR="00BB548A">
        <w:rPr>
          <w:rFonts w:ascii="Trebuchet MS" w:eastAsiaTheme="minorHAnsi" w:hAnsi="Trebuchet MS" w:cstheme="minorBidi"/>
          <w:sz w:val="20"/>
        </w:rPr>
        <w:t>, 1999</w:t>
      </w:r>
      <w:r w:rsidRPr="00C65DA3">
        <w:rPr>
          <w:rFonts w:ascii="Trebuchet MS" w:eastAsiaTheme="minorHAnsi" w:hAnsi="Trebuchet MS" w:cstheme="minorBidi"/>
          <w:sz w:val="20"/>
        </w:rPr>
        <w:t>).</w:t>
      </w:r>
      <w:r w:rsidR="001F3AE4">
        <w:rPr>
          <w:rFonts w:ascii="Trebuchet MS" w:eastAsiaTheme="minorHAnsi" w:hAnsi="Trebuchet MS" w:cstheme="minorBidi"/>
          <w:sz w:val="20"/>
        </w:rPr>
        <w:t xml:space="preserve"> Por exemplo, </w:t>
      </w:r>
      <w:r w:rsidR="001F3AE4" w:rsidRPr="00C65DA3">
        <w:rPr>
          <w:rFonts w:ascii="Trebuchet MS" w:eastAsiaTheme="minorHAnsi" w:hAnsi="Trebuchet MS"/>
          <w:sz w:val="20"/>
        </w:rPr>
        <w:t xml:space="preserve">Busto </w:t>
      </w:r>
      <w:r w:rsidR="001F3AE4" w:rsidRPr="00C65DA3">
        <w:rPr>
          <w:rFonts w:ascii="Trebuchet MS" w:eastAsiaTheme="minorHAnsi" w:hAnsi="Trebuchet MS"/>
          <w:i/>
          <w:sz w:val="20"/>
        </w:rPr>
        <w:t xml:space="preserve">et al. </w:t>
      </w:r>
      <w:r w:rsidR="001F3AE4" w:rsidRPr="00C65DA3">
        <w:rPr>
          <w:rFonts w:ascii="Trebuchet MS" w:eastAsiaTheme="minorHAnsi" w:hAnsi="Trebuchet MS"/>
          <w:sz w:val="20"/>
        </w:rPr>
        <w:t>(1989) demonstraram que, a redução da te</w:t>
      </w:r>
      <w:r w:rsidR="001F3AE4" w:rsidRPr="00C65DA3">
        <w:rPr>
          <w:rFonts w:ascii="Trebuchet MS" w:eastAsiaTheme="minorHAnsi" w:hAnsi="Trebuchet MS"/>
          <w:sz w:val="20"/>
        </w:rPr>
        <w:t>m</w:t>
      </w:r>
      <w:r w:rsidR="001F3AE4" w:rsidRPr="00C65DA3">
        <w:rPr>
          <w:rFonts w:ascii="Trebuchet MS" w:eastAsiaTheme="minorHAnsi" w:hAnsi="Trebuchet MS"/>
          <w:sz w:val="20"/>
        </w:rPr>
        <w:t>peratura do cérebro em 2-3ºC em ratos, protegeu significativamente as regiões do cérebro selectivamente vulneráveis de uma lesão grave</w:t>
      </w:r>
      <w:r w:rsidR="001F3AE4">
        <w:rPr>
          <w:rFonts w:ascii="Trebuchet MS" w:eastAsiaTheme="minorHAnsi" w:hAnsi="Trebuchet MS"/>
          <w:sz w:val="20"/>
        </w:rPr>
        <w:t xml:space="preserve"> </w:t>
      </w:r>
      <w:r w:rsidR="001F3AE4" w:rsidRPr="00C65DA3">
        <w:rPr>
          <w:rFonts w:ascii="Trebuchet MS" w:eastAsiaTheme="minorHAnsi" w:hAnsi="Trebuchet MS"/>
          <w:sz w:val="20"/>
        </w:rPr>
        <w:t xml:space="preserve">(Busto </w:t>
      </w:r>
      <w:r w:rsidR="001F3AE4" w:rsidRPr="00C65DA3">
        <w:rPr>
          <w:rFonts w:ascii="Trebuchet MS" w:eastAsiaTheme="minorHAnsi" w:hAnsi="Trebuchet MS"/>
          <w:i/>
          <w:sz w:val="20"/>
        </w:rPr>
        <w:t>et al.</w:t>
      </w:r>
      <w:r w:rsidR="001F3AE4" w:rsidRPr="00C65DA3">
        <w:rPr>
          <w:rFonts w:ascii="Trebuchet MS" w:eastAsiaTheme="minorHAnsi" w:hAnsi="Trebuchet MS"/>
          <w:sz w:val="20"/>
        </w:rPr>
        <w:t xml:space="preserve">, 1987; Dietrich </w:t>
      </w:r>
      <w:r w:rsidR="001F3AE4" w:rsidRPr="00C65DA3">
        <w:rPr>
          <w:rFonts w:ascii="Trebuchet MS" w:eastAsiaTheme="minorHAnsi" w:hAnsi="Trebuchet MS"/>
          <w:i/>
          <w:sz w:val="20"/>
        </w:rPr>
        <w:t>et al.</w:t>
      </w:r>
      <w:r w:rsidR="001F3AE4" w:rsidRPr="00C65DA3">
        <w:rPr>
          <w:rFonts w:ascii="Trebuchet MS" w:eastAsiaTheme="minorHAnsi" w:hAnsi="Trebuchet MS"/>
          <w:sz w:val="20"/>
        </w:rPr>
        <w:t xml:space="preserve">, 1990a; Dietrich </w:t>
      </w:r>
      <w:r w:rsidR="001F3AE4" w:rsidRPr="00C65DA3">
        <w:rPr>
          <w:rFonts w:ascii="Trebuchet MS" w:eastAsiaTheme="minorHAnsi" w:hAnsi="Trebuchet MS"/>
          <w:i/>
          <w:sz w:val="20"/>
        </w:rPr>
        <w:t>et al.</w:t>
      </w:r>
      <w:r w:rsidR="001F3AE4">
        <w:rPr>
          <w:rFonts w:ascii="Trebuchet MS" w:eastAsiaTheme="minorHAnsi" w:hAnsi="Trebuchet MS"/>
          <w:sz w:val="20"/>
        </w:rPr>
        <w:t>, 1990b)</w:t>
      </w:r>
      <w:r w:rsidR="001F3AE4" w:rsidRPr="00C65DA3">
        <w:rPr>
          <w:rFonts w:ascii="Trebuchet MS" w:eastAsiaTheme="minorHAnsi" w:hAnsi="Trebuchet MS"/>
          <w:sz w:val="20"/>
        </w:rPr>
        <w:t>.</w:t>
      </w:r>
    </w:p>
    <w:p w:rsidR="00C20B22" w:rsidRPr="00C65DA3" w:rsidRDefault="00C20B22" w:rsidP="00C20B22">
      <w:pPr>
        <w:spacing w:line="360" w:lineRule="auto"/>
        <w:ind w:firstLine="708"/>
        <w:jc w:val="both"/>
        <w:rPr>
          <w:rFonts w:ascii="Trebuchet MS" w:eastAsiaTheme="minorHAnsi" w:hAnsi="Trebuchet MS"/>
          <w:sz w:val="20"/>
        </w:rPr>
      </w:pPr>
      <w:r w:rsidRPr="00C65DA3">
        <w:rPr>
          <w:rFonts w:ascii="Trebuchet MS" w:eastAsiaTheme="minorHAnsi" w:hAnsi="Trebuchet MS"/>
          <w:sz w:val="20"/>
          <w:lang w:val="en-US"/>
        </w:rPr>
        <w:t xml:space="preserve">Green </w:t>
      </w:r>
      <w:r w:rsidRPr="00C65DA3">
        <w:rPr>
          <w:rFonts w:ascii="Trebuchet MS" w:eastAsiaTheme="minorHAnsi" w:hAnsi="Trebuchet MS"/>
          <w:i/>
          <w:sz w:val="20"/>
          <w:lang w:val="en-US"/>
        </w:rPr>
        <w:t xml:space="preserve">et al. </w:t>
      </w:r>
      <w:r w:rsidRPr="00C65DA3">
        <w:rPr>
          <w:rFonts w:ascii="Trebuchet MS" w:eastAsiaTheme="minorHAnsi" w:hAnsi="Trebuchet MS"/>
          <w:sz w:val="20"/>
          <w:lang w:val="en-US"/>
        </w:rPr>
        <w:t xml:space="preserve">(1992), </w:t>
      </w:r>
      <w:r w:rsidRPr="00C65DA3">
        <w:rPr>
          <w:rFonts w:ascii="Trebuchet MS" w:eastAsiaTheme="minorHAnsi" w:hAnsi="Trebuchet MS" w:cstheme="minorBidi"/>
          <w:sz w:val="20"/>
          <w:lang w:val="en-US"/>
        </w:rPr>
        <w:t xml:space="preserve">Dietrich </w:t>
      </w:r>
      <w:r w:rsidRPr="00C65DA3">
        <w:rPr>
          <w:rFonts w:ascii="Trebuchet MS" w:eastAsiaTheme="minorHAnsi" w:hAnsi="Trebuchet MS" w:cstheme="minorBidi"/>
          <w:i/>
          <w:sz w:val="20"/>
          <w:lang w:val="en-US"/>
        </w:rPr>
        <w:t xml:space="preserve">et al. </w:t>
      </w:r>
      <w:r w:rsidRPr="00C65DA3">
        <w:rPr>
          <w:rFonts w:ascii="Trebuchet MS" w:eastAsiaTheme="minorHAnsi" w:hAnsi="Trebuchet MS" w:cstheme="minorBidi"/>
          <w:sz w:val="20"/>
        </w:rPr>
        <w:t>(1990b)</w:t>
      </w:r>
      <w:r w:rsidRPr="00C65DA3">
        <w:rPr>
          <w:rFonts w:ascii="Trebuchet MS" w:eastAsiaTheme="minorHAnsi" w:hAnsi="Trebuchet MS"/>
          <w:sz w:val="20"/>
        </w:rPr>
        <w:t xml:space="preserve"> demonstraram que enquanto a hipotermia leve (33ºC) protege o cérebro da isquémia, a hipertermia leve (39ºC e 36ºC respectivamente) piora significativamente resultados histopatológicos e comportamentais.</w:t>
      </w:r>
    </w:p>
    <w:p w:rsidR="00C20B22" w:rsidRPr="00C65DA3" w:rsidRDefault="00C20B22" w:rsidP="00313A53">
      <w:pPr>
        <w:autoSpaceDE w:val="0"/>
        <w:autoSpaceDN w:val="0"/>
        <w:adjustRightInd w:val="0"/>
        <w:spacing w:line="360" w:lineRule="auto"/>
        <w:ind w:firstLine="708"/>
        <w:jc w:val="both"/>
        <w:rPr>
          <w:rFonts w:ascii="Trebuchet MS" w:eastAsiaTheme="minorHAnsi" w:hAnsi="Trebuchet MS" w:cs="Garamond-Book"/>
          <w:sz w:val="20"/>
        </w:rPr>
      </w:pPr>
      <w:r w:rsidRPr="00C65DA3">
        <w:rPr>
          <w:rFonts w:ascii="Trebuchet MS" w:eastAsiaTheme="minorHAnsi" w:hAnsi="Trebuchet MS" w:cstheme="minorBidi"/>
          <w:sz w:val="20"/>
        </w:rPr>
        <w:t>A exposição a um breve período de hipotermia antes do insulto isquémico induz tol</w:t>
      </w:r>
      <w:r w:rsidRPr="00C65DA3">
        <w:rPr>
          <w:rFonts w:ascii="Trebuchet MS" w:eastAsiaTheme="minorHAnsi" w:hAnsi="Trebuchet MS" w:cstheme="minorBidi"/>
          <w:sz w:val="20"/>
        </w:rPr>
        <w:t>e</w:t>
      </w:r>
      <w:r w:rsidRPr="00C65DA3">
        <w:rPr>
          <w:rFonts w:ascii="Trebuchet MS" w:eastAsiaTheme="minorHAnsi" w:hAnsi="Trebuchet MS" w:cstheme="minorBidi"/>
          <w:sz w:val="20"/>
        </w:rPr>
        <w:t>rância isquémica, em modelos animais de isquémia cerebral no cérebro de ratos, proporci</w:t>
      </w:r>
      <w:r w:rsidRPr="00C65DA3">
        <w:rPr>
          <w:rFonts w:ascii="Trebuchet MS" w:eastAsiaTheme="minorHAnsi" w:hAnsi="Trebuchet MS" w:cstheme="minorBidi"/>
          <w:sz w:val="20"/>
        </w:rPr>
        <w:t>o</w:t>
      </w:r>
      <w:r w:rsidRPr="00C65DA3">
        <w:rPr>
          <w:rFonts w:ascii="Trebuchet MS" w:eastAsiaTheme="minorHAnsi" w:hAnsi="Trebuchet MS" w:cstheme="minorBidi"/>
          <w:sz w:val="20"/>
        </w:rPr>
        <w:t>nando protecção contra a morte celular durante a fase aguda (algumas horas após pré-condicionamento) (</w:t>
      </w:r>
      <w:r w:rsidRPr="00C65DA3">
        <w:rPr>
          <w:rFonts w:ascii="Trebuchet MS" w:eastAsiaTheme="minorHAnsi" w:hAnsi="Trebuchet MS" w:cs="Garamond-Book"/>
          <w:sz w:val="20"/>
        </w:rPr>
        <w:t xml:space="preserve">Yuan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xml:space="preserve">, 2004) e tardia (Busto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1992).</w:t>
      </w:r>
      <w:r w:rsidR="00313A53">
        <w:rPr>
          <w:rFonts w:ascii="Trebuchet MS" w:eastAsiaTheme="minorHAnsi" w:hAnsi="Trebuchet MS" w:cs="Garamond-Book"/>
          <w:sz w:val="20"/>
        </w:rPr>
        <w:t xml:space="preserve"> </w:t>
      </w:r>
      <w:r w:rsidRPr="00C65DA3">
        <w:rPr>
          <w:rFonts w:ascii="Trebuchet MS" w:eastAsiaTheme="minorHAnsi" w:hAnsi="Trebuchet MS" w:cstheme="minorBidi"/>
          <w:sz w:val="20"/>
        </w:rPr>
        <w:t xml:space="preserve">Yuan </w:t>
      </w:r>
      <w:r w:rsidRPr="00C65DA3">
        <w:rPr>
          <w:rFonts w:ascii="Trebuchet MS" w:eastAsiaTheme="minorHAnsi" w:hAnsi="Trebuchet MS" w:cstheme="minorBidi"/>
          <w:i/>
          <w:sz w:val="20"/>
        </w:rPr>
        <w:t xml:space="preserve">et al. </w:t>
      </w:r>
      <w:r w:rsidRPr="00C65DA3">
        <w:rPr>
          <w:rFonts w:ascii="Trebuchet MS" w:eastAsiaTheme="minorHAnsi" w:hAnsi="Trebuchet MS" w:cstheme="minorBidi"/>
          <w:sz w:val="20"/>
        </w:rPr>
        <w:t xml:space="preserve">(2004) demonstraram que o </w:t>
      </w:r>
      <w:r w:rsidR="00313A53">
        <w:rPr>
          <w:rFonts w:ascii="Trebuchet MS" w:eastAsiaTheme="minorHAnsi" w:hAnsi="Trebuchet MS" w:cstheme="minorBidi"/>
          <w:sz w:val="20"/>
        </w:rPr>
        <w:t xml:space="preserve">efeito neuroprotector do </w:t>
      </w:r>
      <w:r w:rsidRPr="00C65DA3">
        <w:rPr>
          <w:rFonts w:ascii="Trebuchet MS" w:eastAsiaTheme="minorHAnsi" w:hAnsi="Trebuchet MS" w:cstheme="minorBidi"/>
          <w:sz w:val="20"/>
        </w:rPr>
        <w:t>pré-condicionamento com hipotermia (20 minutos a 33ºC), em fatias de cerebe</w:t>
      </w:r>
      <w:r w:rsidR="00313A53">
        <w:rPr>
          <w:rFonts w:ascii="Trebuchet MS" w:eastAsiaTheme="minorHAnsi" w:hAnsi="Trebuchet MS" w:cstheme="minorBidi"/>
          <w:sz w:val="20"/>
        </w:rPr>
        <w:t>lo de rato,</w:t>
      </w:r>
      <w:r w:rsidRPr="00C65DA3">
        <w:rPr>
          <w:rFonts w:ascii="Trebuchet MS" w:eastAsiaTheme="minorHAnsi" w:hAnsi="Trebuchet MS" w:cstheme="minorBidi"/>
          <w:sz w:val="20"/>
        </w:rPr>
        <w:t xml:space="preserve"> durante a fase aguda, depende</w:t>
      </w:r>
      <w:r w:rsidRPr="00C65DA3">
        <w:rPr>
          <w:rFonts w:ascii="Trebuchet MS" w:eastAsiaTheme="minorHAnsi" w:hAnsi="Trebuchet MS" w:cs="Garamond-Book"/>
          <w:sz w:val="20"/>
        </w:rPr>
        <w:t xml:space="preserve"> da activação d</w:t>
      </w:r>
      <w:r w:rsidR="00313A53">
        <w:rPr>
          <w:rFonts w:ascii="Trebuchet MS" w:eastAsiaTheme="minorHAnsi" w:hAnsi="Trebuchet MS" w:cs="Garamond-Book"/>
          <w:sz w:val="20"/>
        </w:rPr>
        <w:t>os</w:t>
      </w:r>
      <w:r w:rsidRPr="00C65DA3">
        <w:rPr>
          <w:rFonts w:ascii="Trebuchet MS" w:eastAsiaTheme="minorHAnsi" w:hAnsi="Trebuchet MS" w:cs="Garamond-Book"/>
          <w:sz w:val="20"/>
        </w:rPr>
        <w:t xml:space="preserve"> receptores de adenosina do tipo A</w:t>
      </w:r>
      <w:r w:rsidRPr="00313A53">
        <w:rPr>
          <w:rFonts w:ascii="Trebuchet MS" w:eastAsiaTheme="minorHAnsi" w:hAnsi="Trebuchet MS" w:cs="Garamond-Book"/>
          <w:sz w:val="20"/>
          <w:vertAlign w:val="subscript"/>
        </w:rPr>
        <w:t>1</w:t>
      </w:r>
      <w:r w:rsidRPr="00C65DA3">
        <w:rPr>
          <w:rFonts w:ascii="Trebuchet MS" w:eastAsiaTheme="minorHAnsi" w:hAnsi="Trebuchet MS" w:cs="Garamond-Book"/>
          <w:sz w:val="20"/>
        </w:rPr>
        <w:t>, canais de K</w:t>
      </w:r>
      <w:r w:rsidRPr="00C65DA3">
        <w:rPr>
          <w:rFonts w:ascii="Trebuchet MS" w:eastAsiaTheme="minorHAnsi" w:hAnsi="Trebuchet MS" w:cs="Garamond-Book"/>
          <w:sz w:val="20"/>
          <w:vertAlign w:val="subscript"/>
        </w:rPr>
        <w:t>ATP</w:t>
      </w:r>
      <w:r w:rsidRPr="00C65DA3">
        <w:rPr>
          <w:rFonts w:ascii="Trebuchet MS" w:eastAsiaTheme="minorHAnsi" w:hAnsi="Trebuchet MS" w:cs="Garamond-Book"/>
          <w:sz w:val="20"/>
        </w:rPr>
        <w:t xml:space="preserve"> e Ras (Yuan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2004).</w:t>
      </w:r>
    </w:p>
    <w:p w:rsidR="00AC5258" w:rsidRPr="00C65DA3" w:rsidRDefault="00C20B22" w:rsidP="00C20B22">
      <w:pPr>
        <w:spacing w:line="360" w:lineRule="auto"/>
        <w:ind w:firstLine="708"/>
        <w:jc w:val="both"/>
        <w:rPr>
          <w:rFonts w:ascii="Trebuchet MS" w:eastAsiaTheme="minorHAnsi" w:hAnsi="Trebuchet MS" w:cstheme="minorBidi"/>
          <w:sz w:val="20"/>
        </w:rPr>
      </w:pPr>
      <w:r w:rsidRPr="00C65DA3">
        <w:rPr>
          <w:rFonts w:ascii="Trebuchet MS" w:eastAsiaTheme="minorHAnsi" w:hAnsi="Trebuchet MS" w:cstheme="minorBidi"/>
          <w:sz w:val="20"/>
        </w:rPr>
        <w:t xml:space="preserve">O pré-condicionamento com </w:t>
      </w:r>
      <w:r w:rsidRPr="00C65DA3">
        <w:rPr>
          <w:rFonts w:ascii="Trebuchet MS" w:eastAsiaTheme="minorHAnsi" w:hAnsi="Trebuchet MS" w:cstheme="minorBidi"/>
          <w:b/>
          <w:sz w:val="20"/>
        </w:rPr>
        <w:t>hipoglicemia</w:t>
      </w:r>
      <w:r w:rsidRPr="00C65DA3">
        <w:rPr>
          <w:rFonts w:ascii="Trebuchet MS" w:eastAsiaTheme="minorHAnsi" w:hAnsi="Trebuchet MS" w:cstheme="minorBidi"/>
          <w:sz w:val="20"/>
        </w:rPr>
        <w:t>, em que se mantém a concentração de gl</w:t>
      </w:r>
      <w:r w:rsidRPr="00C65DA3">
        <w:rPr>
          <w:rFonts w:ascii="Trebuchet MS" w:eastAsiaTheme="minorHAnsi" w:hAnsi="Trebuchet MS" w:cstheme="minorBidi"/>
          <w:sz w:val="20"/>
        </w:rPr>
        <w:t>u</w:t>
      </w:r>
      <w:r w:rsidRPr="00C65DA3">
        <w:rPr>
          <w:rFonts w:ascii="Trebuchet MS" w:eastAsiaTheme="minorHAnsi" w:hAnsi="Trebuchet MS" w:cstheme="minorBidi"/>
          <w:sz w:val="20"/>
        </w:rPr>
        <w:t>cose no sangue abaixo do intervalo considerado normal, antes da isquémia reduz significat</w:t>
      </w:r>
      <w:r w:rsidRPr="00C65DA3">
        <w:rPr>
          <w:rFonts w:ascii="Trebuchet MS" w:eastAsiaTheme="minorHAnsi" w:hAnsi="Trebuchet MS" w:cstheme="minorBidi"/>
          <w:sz w:val="20"/>
        </w:rPr>
        <w:t>i</w:t>
      </w:r>
      <w:r w:rsidRPr="00C65DA3">
        <w:rPr>
          <w:rFonts w:ascii="Trebuchet MS" w:eastAsiaTheme="minorHAnsi" w:hAnsi="Trebuchet MS" w:cstheme="minorBidi"/>
          <w:sz w:val="20"/>
        </w:rPr>
        <w:t xml:space="preserve">vamente a extensão da lesão isquémica (Chopp </w:t>
      </w:r>
      <w:r w:rsidRPr="00C65DA3">
        <w:rPr>
          <w:rFonts w:ascii="Trebuchet MS" w:eastAsiaTheme="minorHAnsi" w:hAnsi="Trebuchet MS" w:cstheme="minorBidi"/>
          <w:i/>
          <w:sz w:val="20"/>
        </w:rPr>
        <w:t>et al.</w:t>
      </w:r>
      <w:r w:rsidRPr="00C65DA3">
        <w:rPr>
          <w:rFonts w:ascii="Trebuchet MS" w:eastAsiaTheme="minorHAnsi" w:hAnsi="Trebuchet MS" w:cstheme="minorBidi"/>
          <w:sz w:val="20"/>
        </w:rPr>
        <w:t>, 1988).</w:t>
      </w:r>
    </w:p>
    <w:p w:rsidR="00C3702E" w:rsidRPr="00C3702E" w:rsidRDefault="00C3702E" w:rsidP="00C3702E">
      <w:pPr>
        <w:ind w:firstLine="708"/>
        <w:jc w:val="both"/>
        <w:rPr>
          <w:rFonts w:ascii="Trebuchet MS" w:eastAsiaTheme="minorHAnsi" w:hAnsi="Trebuchet MS" w:cstheme="minorBidi"/>
          <w:sz w:val="20"/>
        </w:rPr>
      </w:pPr>
    </w:p>
    <w:p w:rsidR="00C20B22" w:rsidRPr="00401103" w:rsidRDefault="00C20B22" w:rsidP="00C3702E">
      <w:pPr>
        <w:spacing w:after="120"/>
        <w:ind w:firstLine="284"/>
        <w:jc w:val="both"/>
        <w:rPr>
          <w:rFonts w:ascii="Trebuchet MS" w:eastAsiaTheme="minorHAnsi" w:hAnsi="Trebuchet MS" w:cstheme="minorBidi"/>
          <w:b/>
          <w:smallCaps/>
          <w:shadow/>
          <w:sz w:val="20"/>
          <w:szCs w:val="20"/>
          <w:u w:val="single"/>
        </w:rPr>
      </w:pPr>
      <w:r w:rsidRPr="00401103">
        <w:rPr>
          <w:rFonts w:ascii="Trebuchet MS" w:eastAsiaTheme="minorHAnsi" w:hAnsi="Trebuchet MS" w:cstheme="minorBidi"/>
          <w:b/>
          <w:smallCaps/>
          <w:shadow/>
          <w:sz w:val="20"/>
          <w:szCs w:val="20"/>
        </w:rPr>
        <w:sym w:font="Wingdings" w:char="F0D6"/>
      </w:r>
      <w:r w:rsidRPr="00401103">
        <w:rPr>
          <w:rFonts w:ascii="Trebuchet MS" w:eastAsiaTheme="minorHAnsi" w:hAnsi="Trebuchet MS" w:cstheme="minorBidi"/>
          <w:b/>
          <w:smallCaps/>
          <w:shadow/>
          <w:sz w:val="20"/>
          <w:szCs w:val="20"/>
          <w:u w:val="single"/>
        </w:rPr>
        <w:t>Efeito d</w:t>
      </w:r>
      <w:r w:rsidR="00370075">
        <w:rPr>
          <w:rFonts w:ascii="Trebuchet MS" w:eastAsiaTheme="minorHAnsi" w:hAnsi="Trebuchet MS" w:cstheme="minorBidi"/>
          <w:b/>
          <w:smallCaps/>
          <w:shadow/>
          <w:sz w:val="20"/>
          <w:szCs w:val="20"/>
          <w:u w:val="single"/>
        </w:rPr>
        <w:t>e</w:t>
      </w:r>
      <w:r w:rsidRPr="00401103">
        <w:rPr>
          <w:rFonts w:ascii="Trebuchet MS" w:eastAsiaTheme="minorHAnsi" w:hAnsi="Trebuchet MS" w:cstheme="minorBidi"/>
          <w:b/>
          <w:smallCaps/>
          <w:shadow/>
          <w:sz w:val="20"/>
          <w:szCs w:val="20"/>
          <w:u w:val="single"/>
        </w:rPr>
        <w:t xml:space="preserve"> anestésicos </w:t>
      </w:r>
    </w:p>
    <w:p w:rsidR="00622BDB" w:rsidRDefault="00622BDB" w:rsidP="00622BDB">
      <w:pPr>
        <w:autoSpaceDE w:val="0"/>
        <w:autoSpaceDN w:val="0"/>
        <w:adjustRightInd w:val="0"/>
        <w:spacing w:line="276" w:lineRule="auto"/>
        <w:ind w:firstLine="720"/>
        <w:jc w:val="both"/>
        <w:rPr>
          <w:rFonts w:ascii="Trebuchet MS" w:eastAsiaTheme="minorHAnsi" w:hAnsi="Trebuchet MS" w:cs="ArialMT"/>
          <w:sz w:val="20"/>
        </w:rPr>
      </w:pPr>
    </w:p>
    <w:p w:rsidR="00370075" w:rsidRDefault="00370075" w:rsidP="00622BDB">
      <w:pPr>
        <w:autoSpaceDE w:val="0"/>
        <w:autoSpaceDN w:val="0"/>
        <w:adjustRightInd w:val="0"/>
        <w:spacing w:line="360" w:lineRule="auto"/>
        <w:ind w:firstLine="720"/>
        <w:jc w:val="both"/>
        <w:rPr>
          <w:rFonts w:ascii="Trebuchet MS" w:eastAsiaTheme="minorHAnsi" w:hAnsi="Trebuchet MS" w:cs="ArialMT"/>
          <w:sz w:val="20"/>
        </w:rPr>
      </w:pPr>
      <w:r w:rsidRPr="00370075">
        <w:rPr>
          <w:rFonts w:ascii="Trebuchet MS" w:eastAsiaTheme="minorHAnsi" w:hAnsi="Trebuchet MS" w:cs="ArialMT"/>
          <w:sz w:val="20"/>
        </w:rPr>
        <w:t>Um dos principais objectivos para compreender as vias envolvidas no IPC é para est</w:t>
      </w:r>
      <w:r w:rsidRPr="00370075">
        <w:rPr>
          <w:rFonts w:ascii="Trebuchet MS" w:eastAsiaTheme="minorHAnsi" w:hAnsi="Trebuchet MS" w:cs="ArialMT"/>
          <w:sz w:val="20"/>
        </w:rPr>
        <w:t>a</w:t>
      </w:r>
      <w:r w:rsidRPr="00370075">
        <w:rPr>
          <w:rFonts w:ascii="Trebuchet MS" w:eastAsiaTheme="minorHAnsi" w:hAnsi="Trebuchet MS" w:cs="ArialMT"/>
          <w:sz w:val="20"/>
        </w:rPr>
        <w:t xml:space="preserve">belecimento de novas terapias para imitar IPC farmacologicamente. Um número de diferentes químicos imita o IPC, tais como: anestésicos voláteis, entre outros (Dirnagl </w:t>
      </w:r>
      <w:r w:rsidRPr="00370075">
        <w:rPr>
          <w:rFonts w:ascii="Trebuchet MS" w:eastAsiaTheme="minorHAnsi" w:hAnsi="Trebuchet MS" w:cs="ArialMT"/>
          <w:i/>
          <w:sz w:val="20"/>
        </w:rPr>
        <w:t>et al.</w:t>
      </w:r>
      <w:r w:rsidRPr="00370075">
        <w:rPr>
          <w:rFonts w:ascii="Trebuchet MS" w:eastAsiaTheme="minorHAnsi" w:hAnsi="Trebuchet MS" w:cs="ArialMT"/>
          <w:sz w:val="20"/>
        </w:rPr>
        <w:t>, 2003).</w:t>
      </w:r>
    </w:p>
    <w:p w:rsidR="00C20B22" w:rsidRPr="00C65DA3" w:rsidRDefault="00C20B22" w:rsidP="00C20B22">
      <w:pPr>
        <w:spacing w:line="360" w:lineRule="auto"/>
        <w:ind w:firstLine="708"/>
        <w:jc w:val="both"/>
        <w:rPr>
          <w:rFonts w:ascii="Trebuchet MS" w:eastAsiaTheme="minorHAnsi" w:hAnsi="Trebuchet MS"/>
          <w:sz w:val="20"/>
        </w:rPr>
      </w:pPr>
      <w:r w:rsidRPr="00C65DA3">
        <w:rPr>
          <w:rFonts w:ascii="Trebuchet MS" w:eastAsiaTheme="minorHAnsi" w:hAnsi="Trebuchet MS" w:cstheme="minorBidi"/>
          <w:sz w:val="20"/>
        </w:rPr>
        <w:t>Ao longo dos anos tem vindo a ser estudado a influência dos anestésicos voláteis util</w:t>
      </w:r>
      <w:r w:rsidRPr="00C65DA3">
        <w:rPr>
          <w:rFonts w:ascii="Trebuchet MS" w:eastAsiaTheme="minorHAnsi" w:hAnsi="Trebuchet MS" w:cstheme="minorBidi"/>
          <w:sz w:val="20"/>
        </w:rPr>
        <w:t>i</w:t>
      </w:r>
      <w:r w:rsidRPr="00C65DA3">
        <w:rPr>
          <w:rFonts w:ascii="Trebuchet MS" w:eastAsiaTheme="minorHAnsi" w:hAnsi="Trebuchet MS" w:cstheme="minorBidi"/>
          <w:sz w:val="20"/>
        </w:rPr>
        <w:t>zados na dissecação de animais.</w:t>
      </w:r>
      <w:r w:rsidRPr="00C65DA3">
        <w:rPr>
          <w:rFonts w:ascii="Trebuchet MS" w:eastAsiaTheme="minorHAnsi" w:hAnsi="Trebuchet MS"/>
          <w:sz w:val="20"/>
        </w:rPr>
        <w:t xml:space="preserve"> Estudos anteriores, em que usaram fatias de cérebro de ratos como modelo de isquémia cerebral referem que os anestésicos voláteis apresentam potencial neuroprotector.</w:t>
      </w:r>
    </w:p>
    <w:p w:rsidR="00C20B22" w:rsidRPr="00C65DA3" w:rsidRDefault="00C20B22" w:rsidP="00043D21">
      <w:pPr>
        <w:autoSpaceDE w:val="0"/>
        <w:autoSpaceDN w:val="0"/>
        <w:adjustRightInd w:val="0"/>
        <w:spacing w:line="360" w:lineRule="auto"/>
        <w:ind w:firstLine="708"/>
        <w:jc w:val="both"/>
        <w:rPr>
          <w:rFonts w:ascii="Trebuchet MS" w:eastAsiaTheme="minorHAnsi" w:hAnsi="Trebuchet MS" w:cs="Garamond-Book"/>
          <w:sz w:val="20"/>
        </w:rPr>
      </w:pPr>
      <w:r w:rsidRPr="00C65DA3">
        <w:rPr>
          <w:rFonts w:ascii="Trebuchet MS" w:eastAsiaTheme="minorHAnsi" w:hAnsi="Trebuchet MS" w:cstheme="minorBidi"/>
          <w:sz w:val="20"/>
        </w:rPr>
        <w:t>A utilização de ane</w:t>
      </w:r>
      <w:r w:rsidR="00313A53">
        <w:rPr>
          <w:rFonts w:ascii="Trebuchet MS" w:eastAsiaTheme="minorHAnsi" w:hAnsi="Trebuchet MS" w:cstheme="minorBidi"/>
          <w:sz w:val="20"/>
        </w:rPr>
        <w:t xml:space="preserve">stésicos inalatórios, durante o sacrifício </w:t>
      </w:r>
      <w:r w:rsidRPr="00C65DA3">
        <w:rPr>
          <w:rFonts w:ascii="Trebuchet MS" w:eastAsiaTheme="minorHAnsi" w:hAnsi="Trebuchet MS" w:cstheme="minorBidi"/>
          <w:sz w:val="20"/>
        </w:rPr>
        <w:t>de animais, está compr</w:t>
      </w:r>
      <w:r w:rsidRPr="00C65DA3">
        <w:rPr>
          <w:rFonts w:ascii="Trebuchet MS" w:eastAsiaTheme="minorHAnsi" w:hAnsi="Trebuchet MS" w:cstheme="minorBidi"/>
          <w:sz w:val="20"/>
        </w:rPr>
        <w:t>o</w:t>
      </w:r>
      <w:r w:rsidRPr="00C65DA3">
        <w:rPr>
          <w:rFonts w:ascii="Trebuchet MS" w:eastAsiaTheme="minorHAnsi" w:hAnsi="Trebuchet MS" w:cstheme="minorBidi"/>
          <w:sz w:val="20"/>
        </w:rPr>
        <w:t>vado que apresentam efeito neuroprotector, como sucede com a hipotermia. O pré-condicionamento com isoflurano apresenta protecção semelhante ao pré-condicionamento com hipotermia leve, reduz</w:t>
      </w:r>
      <w:r w:rsidR="00B45B99">
        <w:rPr>
          <w:rFonts w:ascii="Trebuchet MS" w:eastAsiaTheme="minorHAnsi" w:hAnsi="Trebuchet MS" w:cstheme="minorBidi"/>
          <w:sz w:val="20"/>
        </w:rPr>
        <w:t>indo</w:t>
      </w:r>
      <w:r w:rsidRPr="00C65DA3">
        <w:rPr>
          <w:rFonts w:ascii="Trebuchet MS" w:eastAsiaTheme="minorHAnsi" w:hAnsi="Trebuchet MS" w:cstheme="minorBidi"/>
          <w:sz w:val="20"/>
        </w:rPr>
        <w:t xml:space="preserve"> a morte celular na mesma proporção, no modelo </w:t>
      </w:r>
      <w:proofErr w:type="gramStart"/>
      <w:r w:rsidRPr="00C65DA3">
        <w:rPr>
          <w:rFonts w:ascii="Trebuchet MS" w:eastAsiaTheme="minorHAnsi" w:hAnsi="Trebuchet MS" w:cstheme="minorBidi"/>
          <w:i/>
          <w:sz w:val="20"/>
        </w:rPr>
        <w:t>in vitro</w:t>
      </w:r>
      <w:proofErr w:type="gramEnd"/>
      <w:r w:rsidRPr="00C65DA3">
        <w:rPr>
          <w:rFonts w:ascii="Trebuchet MS" w:eastAsiaTheme="minorHAnsi" w:hAnsi="Trebuchet MS" w:cstheme="minorBidi"/>
          <w:i/>
          <w:sz w:val="20"/>
        </w:rPr>
        <w:t xml:space="preserve"> </w:t>
      </w:r>
      <w:r w:rsidRPr="00C65DA3">
        <w:rPr>
          <w:rFonts w:ascii="Trebuchet MS" w:eastAsiaTheme="minorHAnsi" w:hAnsi="Trebuchet MS" w:cstheme="minorBidi"/>
          <w:sz w:val="20"/>
        </w:rPr>
        <w:t xml:space="preserve">de isquémia cerebral </w:t>
      </w:r>
      <w:r w:rsidR="00B45B99">
        <w:rPr>
          <w:rFonts w:ascii="Trebuchet MS" w:eastAsiaTheme="minorHAnsi" w:hAnsi="Trebuchet MS" w:cstheme="minorBidi"/>
          <w:sz w:val="20"/>
        </w:rPr>
        <w:t>em</w:t>
      </w:r>
      <w:r w:rsidRPr="00C65DA3">
        <w:rPr>
          <w:rFonts w:ascii="Trebuchet MS" w:eastAsiaTheme="minorHAnsi" w:hAnsi="Trebuchet MS" w:cstheme="minorBidi"/>
          <w:sz w:val="20"/>
        </w:rPr>
        <w:t xml:space="preserve"> fatias de cérebro, em que a morte celular aguda é principalmente dev</w:t>
      </w:r>
      <w:r w:rsidRPr="00C65DA3">
        <w:rPr>
          <w:rFonts w:ascii="Trebuchet MS" w:eastAsiaTheme="minorHAnsi" w:hAnsi="Trebuchet MS" w:cstheme="minorBidi"/>
          <w:sz w:val="20"/>
        </w:rPr>
        <w:t>i</w:t>
      </w:r>
      <w:r w:rsidRPr="00C65DA3">
        <w:rPr>
          <w:rFonts w:ascii="Trebuchet MS" w:eastAsiaTheme="minorHAnsi" w:hAnsi="Trebuchet MS" w:cstheme="minorBidi"/>
          <w:sz w:val="20"/>
        </w:rPr>
        <w:t>do à activação do recep</w:t>
      </w:r>
      <w:r w:rsidR="00043D21">
        <w:rPr>
          <w:rFonts w:ascii="Trebuchet MS" w:eastAsiaTheme="minorHAnsi" w:hAnsi="Trebuchet MS" w:cstheme="minorBidi"/>
          <w:sz w:val="20"/>
        </w:rPr>
        <w:t xml:space="preserve">tor NMDA </w:t>
      </w:r>
      <w:r w:rsidRPr="00C65DA3">
        <w:rPr>
          <w:rFonts w:ascii="Trebuchet MS" w:eastAsiaTheme="minorHAnsi" w:hAnsi="Trebuchet MS" w:cs="Garamond-Book"/>
          <w:sz w:val="20"/>
        </w:rPr>
        <w:t xml:space="preserve">(Popovic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2000).</w:t>
      </w:r>
      <w:r w:rsidR="00B45B99">
        <w:rPr>
          <w:rFonts w:ascii="Trebuchet MS" w:eastAsiaTheme="minorHAnsi" w:hAnsi="Trebuchet MS" w:cs="Garamond-Book"/>
          <w:sz w:val="20"/>
        </w:rPr>
        <w:t xml:space="preserve"> </w:t>
      </w:r>
      <w:r w:rsidRPr="00C65DA3">
        <w:rPr>
          <w:rFonts w:ascii="Trebuchet MS" w:eastAsiaTheme="minorHAnsi" w:hAnsi="Trebuchet MS" w:cs="Garamond-Book"/>
          <w:sz w:val="20"/>
        </w:rPr>
        <w:t xml:space="preserve">O isoflurano reduz a perda neuronal e o número de neurónios intumescidos da região CA1 expostos a 10 ou 20 minutos de isquémia </w:t>
      </w:r>
      <w:proofErr w:type="gramStart"/>
      <w:r w:rsidRPr="00C65DA3">
        <w:rPr>
          <w:rFonts w:ascii="Trebuchet MS" w:eastAsiaTheme="minorHAnsi" w:hAnsi="Trebuchet MS" w:cs="Garamond-Book"/>
          <w:i/>
          <w:sz w:val="20"/>
        </w:rPr>
        <w:t>in vitro</w:t>
      </w:r>
      <w:proofErr w:type="gramEnd"/>
      <w:r w:rsidRPr="00C65DA3">
        <w:rPr>
          <w:rFonts w:ascii="Trebuchet MS" w:eastAsiaTheme="minorHAnsi" w:hAnsi="Trebuchet MS" w:cs="Garamond-Book"/>
          <w:i/>
          <w:sz w:val="20"/>
        </w:rPr>
        <w:t xml:space="preserve"> </w:t>
      </w:r>
      <w:r w:rsidRPr="00C65DA3">
        <w:rPr>
          <w:rFonts w:ascii="Trebuchet MS" w:eastAsiaTheme="minorHAnsi" w:hAnsi="Trebuchet MS" w:cs="Garamond-Book"/>
          <w:sz w:val="20"/>
        </w:rPr>
        <w:t xml:space="preserve">(Popovic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2000).</w:t>
      </w:r>
    </w:p>
    <w:p w:rsidR="00C20B22" w:rsidRPr="00C65DA3" w:rsidRDefault="00C20B22" w:rsidP="00C20B22">
      <w:pPr>
        <w:spacing w:line="360" w:lineRule="auto"/>
        <w:ind w:firstLine="708"/>
        <w:jc w:val="both"/>
        <w:rPr>
          <w:rFonts w:ascii="Trebuchet MS" w:eastAsiaTheme="minorHAnsi" w:hAnsi="Trebuchet MS"/>
          <w:sz w:val="20"/>
        </w:rPr>
      </w:pPr>
      <w:r w:rsidRPr="00C65DA3">
        <w:rPr>
          <w:rFonts w:ascii="Trebuchet MS" w:eastAsiaTheme="minorHAnsi" w:hAnsi="Trebuchet MS"/>
          <w:sz w:val="20"/>
        </w:rPr>
        <w:t xml:space="preserve">O pré-condicionamento com anestésicos voláteis induz neuroprotecção </w:t>
      </w:r>
      <w:r w:rsidR="00B45B99">
        <w:rPr>
          <w:rFonts w:ascii="Trebuchet MS" w:eastAsiaTheme="minorHAnsi" w:hAnsi="Trebuchet MS"/>
          <w:sz w:val="20"/>
        </w:rPr>
        <w:t xml:space="preserve">tanto </w:t>
      </w:r>
      <w:r w:rsidRPr="00C65DA3">
        <w:rPr>
          <w:rFonts w:ascii="Trebuchet MS" w:eastAsiaTheme="minorHAnsi" w:hAnsi="Trebuchet MS"/>
          <w:sz w:val="20"/>
        </w:rPr>
        <w:t xml:space="preserve">durante a fase aguda </w:t>
      </w:r>
      <w:r w:rsidR="00B45B99">
        <w:rPr>
          <w:rFonts w:ascii="Trebuchet MS" w:eastAsiaTheme="minorHAnsi" w:hAnsi="Trebuchet MS"/>
          <w:sz w:val="20"/>
        </w:rPr>
        <w:t>como na</w:t>
      </w:r>
      <w:r w:rsidRPr="00C65DA3">
        <w:rPr>
          <w:rFonts w:ascii="Trebuchet MS" w:eastAsiaTheme="minorHAnsi" w:hAnsi="Trebuchet MS"/>
          <w:sz w:val="20"/>
        </w:rPr>
        <w:t xml:space="preserve"> fase tardia (Zheng and Zuo, 2003; Zheng and Zuo, 2004).</w:t>
      </w:r>
    </w:p>
    <w:p w:rsidR="00C20B22" w:rsidRPr="00C65DA3" w:rsidRDefault="00C20B22" w:rsidP="00C20B22">
      <w:pPr>
        <w:autoSpaceDE w:val="0"/>
        <w:autoSpaceDN w:val="0"/>
        <w:adjustRightInd w:val="0"/>
        <w:spacing w:line="360" w:lineRule="auto"/>
        <w:ind w:firstLine="708"/>
        <w:jc w:val="both"/>
        <w:rPr>
          <w:rFonts w:ascii="Trebuchet MS" w:eastAsiaTheme="minorHAnsi" w:hAnsi="Trebuchet MS"/>
          <w:sz w:val="20"/>
        </w:rPr>
      </w:pPr>
      <w:proofErr w:type="gramStart"/>
      <w:r w:rsidRPr="00C65DA3">
        <w:rPr>
          <w:rFonts w:ascii="Trebuchet MS" w:eastAsiaTheme="minorHAnsi" w:hAnsi="Trebuchet MS"/>
          <w:sz w:val="20"/>
        </w:rPr>
        <w:lastRenderedPageBreak/>
        <w:t xml:space="preserve">Toner </w:t>
      </w:r>
      <w:r w:rsidRPr="00C65DA3">
        <w:rPr>
          <w:rFonts w:ascii="Trebuchet MS" w:eastAsiaTheme="minorHAnsi" w:hAnsi="Trebuchet MS"/>
          <w:i/>
          <w:sz w:val="20"/>
        </w:rPr>
        <w:t xml:space="preserve">et al. </w:t>
      </w:r>
      <w:r w:rsidRPr="00C65DA3">
        <w:rPr>
          <w:rFonts w:ascii="Trebuchet MS" w:eastAsiaTheme="minorHAnsi" w:hAnsi="Trebuchet MS"/>
          <w:sz w:val="20"/>
        </w:rPr>
        <w:t>(2002) descreveram</w:t>
      </w:r>
      <w:proofErr w:type="gramEnd"/>
      <w:r w:rsidRPr="00C65DA3">
        <w:rPr>
          <w:rFonts w:ascii="Trebuchet MS" w:eastAsiaTheme="minorHAnsi" w:hAnsi="Trebuchet MS"/>
          <w:sz w:val="20"/>
        </w:rPr>
        <w:t xml:space="preserve"> que o halotano e sevofluorano reduzem a libertação de transmissores neurotóxicos. </w:t>
      </w:r>
      <w:r w:rsidR="00BB548A">
        <w:rPr>
          <w:rFonts w:ascii="Trebuchet MS" w:eastAsiaTheme="minorHAnsi" w:hAnsi="Trebuchet MS"/>
          <w:sz w:val="20"/>
        </w:rPr>
        <w:t>No entanto, e</w:t>
      </w:r>
      <w:r w:rsidRPr="00C65DA3">
        <w:rPr>
          <w:rFonts w:ascii="Trebuchet MS" w:eastAsiaTheme="minorHAnsi" w:hAnsi="Trebuchet MS"/>
          <w:sz w:val="20"/>
        </w:rPr>
        <w:t>levadas concentrações de halotano, isoflurano e enflurano ap</w:t>
      </w:r>
      <w:r w:rsidR="006D4959">
        <w:rPr>
          <w:rFonts w:ascii="Trebuchet MS" w:eastAsiaTheme="minorHAnsi" w:hAnsi="Trebuchet MS"/>
          <w:sz w:val="20"/>
        </w:rPr>
        <w:t>resentam alguns efeitos tóxicos</w:t>
      </w:r>
      <w:r w:rsidRPr="00C65DA3">
        <w:rPr>
          <w:rFonts w:ascii="Trebuchet MS" w:eastAsiaTheme="minorHAnsi" w:hAnsi="Trebuchet MS"/>
          <w:sz w:val="20"/>
        </w:rPr>
        <w:t xml:space="preserve"> (Toner </w:t>
      </w:r>
      <w:r w:rsidRPr="00C65DA3">
        <w:rPr>
          <w:rFonts w:ascii="Trebuchet MS" w:eastAsiaTheme="minorHAnsi" w:hAnsi="Trebuchet MS"/>
          <w:i/>
          <w:sz w:val="20"/>
        </w:rPr>
        <w:t>et al.</w:t>
      </w:r>
      <w:r w:rsidRPr="00C65DA3">
        <w:rPr>
          <w:rFonts w:ascii="Trebuchet MS" w:eastAsiaTheme="minorHAnsi" w:hAnsi="Trebuchet MS"/>
          <w:sz w:val="20"/>
        </w:rPr>
        <w:t>, 2002</w:t>
      </w:r>
      <w:r w:rsidR="005712D1">
        <w:rPr>
          <w:rFonts w:ascii="Trebuchet MS" w:eastAsiaTheme="minorHAnsi" w:hAnsi="Trebuchet MS"/>
          <w:sz w:val="20"/>
        </w:rPr>
        <w:t>; S</w:t>
      </w:r>
      <w:r w:rsidR="005712D1" w:rsidRPr="00C65DA3">
        <w:rPr>
          <w:rFonts w:ascii="Trebuchet MS" w:eastAsiaTheme="minorHAnsi" w:hAnsi="Trebuchet MS" w:cs="Palatino-Roman"/>
          <w:sz w:val="20"/>
        </w:rPr>
        <w:t xml:space="preserve">igaut </w:t>
      </w:r>
      <w:r w:rsidR="005712D1" w:rsidRPr="00C65DA3">
        <w:rPr>
          <w:rFonts w:ascii="Trebuchet MS" w:eastAsiaTheme="minorHAnsi" w:hAnsi="Trebuchet MS" w:cs="Palatino-Roman"/>
          <w:i/>
          <w:sz w:val="20"/>
        </w:rPr>
        <w:t>et al.</w:t>
      </w:r>
      <w:r w:rsidR="005712D1">
        <w:rPr>
          <w:rFonts w:ascii="Trebuchet MS" w:eastAsiaTheme="minorHAnsi" w:hAnsi="Trebuchet MS" w:cs="Palatino-Roman"/>
          <w:i/>
          <w:sz w:val="20"/>
        </w:rPr>
        <w:t xml:space="preserve">, </w:t>
      </w:r>
      <w:r w:rsidR="005712D1">
        <w:rPr>
          <w:rFonts w:ascii="Trebuchet MS" w:eastAsiaTheme="minorHAnsi" w:hAnsi="Trebuchet MS" w:cs="Palatino-Roman"/>
          <w:sz w:val="20"/>
        </w:rPr>
        <w:t>2009</w:t>
      </w:r>
      <w:r w:rsidRPr="00C65DA3">
        <w:rPr>
          <w:rFonts w:ascii="Trebuchet MS" w:eastAsiaTheme="minorHAnsi" w:hAnsi="Trebuchet MS"/>
          <w:sz w:val="20"/>
        </w:rPr>
        <w:t xml:space="preserve">). </w:t>
      </w:r>
    </w:p>
    <w:p w:rsidR="00043D21" w:rsidRDefault="00C20B22" w:rsidP="00043D21">
      <w:pPr>
        <w:spacing w:line="360" w:lineRule="auto"/>
        <w:ind w:firstLine="708"/>
        <w:jc w:val="both"/>
        <w:textAlignment w:val="top"/>
        <w:rPr>
          <w:rFonts w:ascii="Trebuchet MS" w:eastAsiaTheme="minorHAnsi" w:hAnsi="Trebuchet MS"/>
          <w:sz w:val="20"/>
        </w:rPr>
      </w:pPr>
      <w:r w:rsidRPr="00C65DA3">
        <w:rPr>
          <w:rFonts w:ascii="Trebuchet MS" w:eastAsiaTheme="minorHAnsi" w:hAnsi="Trebuchet MS"/>
          <w:sz w:val="20"/>
          <w:szCs w:val="20"/>
        </w:rPr>
        <w:t xml:space="preserve">Wang </w:t>
      </w:r>
      <w:r w:rsidRPr="00C65DA3">
        <w:rPr>
          <w:rFonts w:ascii="Trebuchet MS" w:eastAsiaTheme="minorHAnsi" w:hAnsi="Trebuchet MS"/>
          <w:i/>
          <w:sz w:val="20"/>
          <w:szCs w:val="20"/>
        </w:rPr>
        <w:t xml:space="preserve">et al. </w:t>
      </w:r>
      <w:r w:rsidRPr="00C65DA3">
        <w:rPr>
          <w:rFonts w:ascii="Trebuchet MS" w:eastAsiaTheme="minorHAnsi" w:hAnsi="Trebuchet MS"/>
          <w:sz w:val="20"/>
          <w:szCs w:val="20"/>
        </w:rPr>
        <w:t xml:space="preserve">(2007) </w:t>
      </w:r>
      <w:r w:rsidR="00563DD2">
        <w:rPr>
          <w:rFonts w:ascii="Trebuchet MS" w:eastAsiaTheme="minorHAnsi" w:hAnsi="Trebuchet MS"/>
          <w:sz w:val="20"/>
          <w:szCs w:val="20"/>
        </w:rPr>
        <w:t xml:space="preserve">também observaram </w:t>
      </w:r>
      <w:r w:rsidRPr="00C65DA3">
        <w:rPr>
          <w:rFonts w:ascii="Trebuchet MS" w:eastAsiaTheme="minorHAnsi" w:hAnsi="Trebuchet MS"/>
          <w:sz w:val="20"/>
          <w:szCs w:val="20"/>
        </w:rPr>
        <w:t>que a exposição prévia com anestésicos vol</w:t>
      </w:r>
      <w:r w:rsidRPr="00C65DA3">
        <w:rPr>
          <w:rFonts w:ascii="Trebuchet MS" w:eastAsiaTheme="minorHAnsi" w:hAnsi="Trebuchet MS"/>
          <w:sz w:val="20"/>
          <w:szCs w:val="20"/>
        </w:rPr>
        <w:t>á</w:t>
      </w:r>
      <w:r w:rsidRPr="00C65DA3">
        <w:rPr>
          <w:rFonts w:ascii="Trebuchet MS" w:eastAsiaTheme="minorHAnsi" w:hAnsi="Trebuchet MS"/>
          <w:sz w:val="20"/>
          <w:szCs w:val="20"/>
        </w:rPr>
        <w:t xml:space="preserve">teis induz neuroprotecção em ratos. </w:t>
      </w:r>
      <w:r w:rsidR="00BA768B">
        <w:rPr>
          <w:rFonts w:ascii="Trebuchet MS" w:eastAsiaTheme="minorHAnsi" w:hAnsi="Trebuchet MS"/>
          <w:sz w:val="20"/>
          <w:szCs w:val="20"/>
        </w:rPr>
        <w:t>Investigaram</w:t>
      </w:r>
      <w:r w:rsidRPr="00C65DA3">
        <w:rPr>
          <w:rFonts w:ascii="Trebuchet MS" w:eastAsiaTheme="minorHAnsi" w:hAnsi="Trebuchet MS"/>
          <w:sz w:val="20"/>
          <w:szCs w:val="20"/>
        </w:rPr>
        <w:t xml:space="preserve"> se a potência dos anestésicos voláteis na indução de pré-condicionamento neuronal está relacionada com a potência em induzir ane</w:t>
      </w:r>
      <w:r w:rsidRPr="00C65DA3">
        <w:rPr>
          <w:rFonts w:ascii="Trebuchet MS" w:eastAsiaTheme="minorHAnsi" w:hAnsi="Trebuchet MS"/>
          <w:sz w:val="20"/>
          <w:szCs w:val="20"/>
        </w:rPr>
        <w:t>s</w:t>
      </w:r>
      <w:r w:rsidRPr="00C65DA3">
        <w:rPr>
          <w:rFonts w:ascii="Trebuchet MS" w:eastAsiaTheme="minorHAnsi" w:hAnsi="Trebuchet MS"/>
          <w:sz w:val="20"/>
          <w:szCs w:val="20"/>
        </w:rPr>
        <w:t>tesia. A teoria mais comum sobre a anestesia refere que é induzida pela inibição da neur</w:t>
      </w:r>
      <w:r w:rsidRPr="00C65DA3">
        <w:rPr>
          <w:rFonts w:ascii="Trebuchet MS" w:eastAsiaTheme="minorHAnsi" w:hAnsi="Trebuchet MS"/>
          <w:sz w:val="20"/>
          <w:szCs w:val="20"/>
        </w:rPr>
        <w:t>o</w:t>
      </w:r>
      <w:r w:rsidRPr="00C65DA3">
        <w:rPr>
          <w:rFonts w:ascii="Trebuchet MS" w:eastAsiaTheme="minorHAnsi" w:hAnsi="Trebuchet MS"/>
          <w:sz w:val="20"/>
          <w:szCs w:val="20"/>
        </w:rPr>
        <w:t xml:space="preserve">transmissão excitatória e/ou aumentando a </w:t>
      </w:r>
      <w:r w:rsidRPr="00C65DA3">
        <w:rPr>
          <w:rFonts w:ascii="Trebuchet MS" w:eastAsiaTheme="minorHAnsi" w:hAnsi="Trebuchet MS"/>
          <w:sz w:val="20"/>
        </w:rPr>
        <w:t xml:space="preserve">neurotransmissão inibitória. Wang </w:t>
      </w:r>
      <w:r w:rsidRPr="00C65DA3">
        <w:rPr>
          <w:rFonts w:ascii="Trebuchet MS" w:eastAsiaTheme="minorHAnsi" w:hAnsi="Trebuchet MS"/>
          <w:i/>
          <w:sz w:val="20"/>
        </w:rPr>
        <w:t xml:space="preserve">et al. </w:t>
      </w:r>
      <w:r w:rsidRPr="00C65DA3">
        <w:rPr>
          <w:rFonts w:ascii="Trebuchet MS" w:eastAsiaTheme="minorHAnsi" w:hAnsi="Trebuchet MS"/>
          <w:sz w:val="20"/>
        </w:rPr>
        <w:t>(2007) demonstraram que o isoflurano, halotano, sevoflurano e desflurano induzem pré-condicionamento durante a fase aguda em fatias de cerebelo de rato. Estes resultados sug</w:t>
      </w:r>
      <w:r w:rsidRPr="00C65DA3">
        <w:rPr>
          <w:rFonts w:ascii="Trebuchet MS" w:eastAsiaTheme="minorHAnsi" w:hAnsi="Trebuchet MS"/>
          <w:sz w:val="20"/>
        </w:rPr>
        <w:t>e</w:t>
      </w:r>
      <w:r w:rsidRPr="00C65DA3">
        <w:rPr>
          <w:rFonts w:ascii="Trebuchet MS" w:eastAsiaTheme="minorHAnsi" w:hAnsi="Trebuchet MS"/>
          <w:sz w:val="20"/>
        </w:rPr>
        <w:t>rem que a indução de pré-condicionamento é uma característica comum entre os anestésicos voláteis e pode ser mediada por vias comuns activadas pelos anestésicos voláteis. No entanto, não demonstraram se as baixas concentrações de halotano podem, ou não, ser prejudiciais ao cérebro após lesão isquémica. Em suma, comprovaram que o pré-condicionamento com ane</w:t>
      </w:r>
      <w:r w:rsidRPr="00C65DA3">
        <w:rPr>
          <w:rFonts w:ascii="Trebuchet MS" w:eastAsiaTheme="minorHAnsi" w:hAnsi="Trebuchet MS"/>
          <w:sz w:val="20"/>
        </w:rPr>
        <w:t>s</w:t>
      </w:r>
      <w:r w:rsidRPr="00C65DA3">
        <w:rPr>
          <w:rFonts w:ascii="Trebuchet MS" w:eastAsiaTheme="minorHAnsi" w:hAnsi="Trebuchet MS"/>
          <w:sz w:val="20"/>
        </w:rPr>
        <w:t>tésicos voláteis induz neuroprotecção e a que a potência deste efeito é linearmente correl</w:t>
      </w:r>
      <w:r w:rsidRPr="00C65DA3">
        <w:rPr>
          <w:rFonts w:ascii="Trebuchet MS" w:eastAsiaTheme="minorHAnsi" w:hAnsi="Trebuchet MS"/>
          <w:sz w:val="20"/>
        </w:rPr>
        <w:t>a</w:t>
      </w:r>
      <w:r w:rsidRPr="00C65DA3">
        <w:rPr>
          <w:rFonts w:ascii="Trebuchet MS" w:eastAsiaTheme="minorHAnsi" w:hAnsi="Trebuchet MS"/>
          <w:sz w:val="20"/>
        </w:rPr>
        <w:t xml:space="preserve">cionada com a sua potência anestésica (Wang </w:t>
      </w:r>
      <w:r w:rsidRPr="00C65DA3">
        <w:rPr>
          <w:rFonts w:ascii="Trebuchet MS" w:eastAsiaTheme="minorHAnsi" w:hAnsi="Trebuchet MS"/>
          <w:i/>
          <w:sz w:val="20"/>
        </w:rPr>
        <w:t>et al.</w:t>
      </w:r>
      <w:r w:rsidRPr="00C65DA3">
        <w:rPr>
          <w:rFonts w:ascii="Trebuchet MS" w:eastAsiaTheme="minorHAnsi" w:hAnsi="Trebuchet MS"/>
          <w:sz w:val="20"/>
        </w:rPr>
        <w:t>, 200</w:t>
      </w:r>
      <w:r w:rsidR="00043D21">
        <w:rPr>
          <w:rFonts w:ascii="Trebuchet MS" w:eastAsiaTheme="minorHAnsi" w:hAnsi="Trebuchet MS"/>
          <w:sz w:val="20"/>
        </w:rPr>
        <w:t>7</w:t>
      </w:r>
      <w:r w:rsidR="005712D1">
        <w:rPr>
          <w:rFonts w:ascii="Trebuchet MS" w:eastAsiaTheme="minorHAnsi" w:hAnsi="Trebuchet MS"/>
          <w:sz w:val="20"/>
        </w:rPr>
        <w:t>; S</w:t>
      </w:r>
      <w:r w:rsidR="005712D1" w:rsidRPr="00C65DA3">
        <w:rPr>
          <w:rFonts w:ascii="Trebuchet MS" w:eastAsiaTheme="minorHAnsi" w:hAnsi="Trebuchet MS" w:cs="Palatino-Roman"/>
          <w:sz w:val="20"/>
        </w:rPr>
        <w:t xml:space="preserve">igaut </w:t>
      </w:r>
      <w:r w:rsidR="005712D1" w:rsidRPr="00C65DA3">
        <w:rPr>
          <w:rFonts w:ascii="Trebuchet MS" w:eastAsiaTheme="minorHAnsi" w:hAnsi="Trebuchet MS" w:cs="Palatino-Roman"/>
          <w:i/>
          <w:sz w:val="20"/>
        </w:rPr>
        <w:t>et al.</w:t>
      </w:r>
      <w:r w:rsidR="005712D1">
        <w:rPr>
          <w:rFonts w:ascii="Trebuchet MS" w:eastAsiaTheme="minorHAnsi" w:hAnsi="Trebuchet MS" w:cs="Palatino-Roman"/>
          <w:i/>
          <w:sz w:val="20"/>
        </w:rPr>
        <w:t xml:space="preserve">, </w:t>
      </w:r>
      <w:r w:rsidR="005712D1">
        <w:rPr>
          <w:rFonts w:ascii="Trebuchet MS" w:eastAsiaTheme="minorHAnsi" w:hAnsi="Trebuchet MS" w:cs="Palatino-Roman"/>
          <w:sz w:val="20"/>
        </w:rPr>
        <w:t>2009</w:t>
      </w:r>
      <w:r w:rsidR="00043D21">
        <w:rPr>
          <w:rFonts w:ascii="Trebuchet MS" w:eastAsiaTheme="minorHAnsi" w:hAnsi="Trebuchet MS"/>
          <w:sz w:val="20"/>
        </w:rPr>
        <w:t>).</w:t>
      </w:r>
    </w:p>
    <w:p w:rsidR="00C20B22" w:rsidRPr="00043D21" w:rsidRDefault="00043D21" w:rsidP="00043D21">
      <w:pPr>
        <w:spacing w:line="360" w:lineRule="auto"/>
        <w:ind w:firstLine="708"/>
        <w:jc w:val="both"/>
        <w:textAlignment w:val="top"/>
        <w:rPr>
          <w:rFonts w:ascii="Trebuchet MS" w:eastAsiaTheme="minorHAnsi" w:hAnsi="Trebuchet MS"/>
          <w:sz w:val="20"/>
        </w:rPr>
      </w:pPr>
      <w:r>
        <w:rPr>
          <w:rFonts w:ascii="Trebuchet MS" w:eastAsiaTheme="minorHAnsi" w:hAnsi="Trebuchet MS"/>
          <w:sz w:val="20"/>
        </w:rPr>
        <w:t>S</w:t>
      </w:r>
      <w:r w:rsidR="00C20B22" w:rsidRPr="00C65DA3">
        <w:rPr>
          <w:rFonts w:ascii="Trebuchet MS" w:eastAsiaTheme="minorHAnsi" w:hAnsi="Trebuchet MS" w:cs="Palatino-Roman"/>
          <w:sz w:val="20"/>
        </w:rPr>
        <w:t xml:space="preserve">igaut </w:t>
      </w:r>
      <w:r w:rsidR="00C20B22" w:rsidRPr="00C65DA3">
        <w:rPr>
          <w:rFonts w:ascii="Trebuchet MS" w:eastAsiaTheme="minorHAnsi" w:hAnsi="Trebuchet MS" w:cs="Palatino-Roman"/>
          <w:i/>
          <w:sz w:val="20"/>
        </w:rPr>
        <w:t xml:space="preserve">et al. </w:t>
      </w:r>
      <w:r w:rsidR="00C20B22" w:rsidRPr="00C65DA3">
        <w:rPr>
          <w:rFonts w:ascii="Trebuchet MS" w:eastAsiaTheme="minorHAnsi" w:hAnsi="Trebuchet MS" w:cs="Palatino-Roman"/>
          <w:sz w:val="20"/>
        </w:rPr>
        <w:t>(2009) comprovaram que o sevoflurano, usado em concentrações clín</w:t>
      </w:r>
      <w:r w:rsidR="00C20B22" w:rsidRPr="00C65DA3">
        <w:rPr>
          <w:rFonts w:ascii="Trebuchet MS" w:eastAsiaTheme="minorHAnsi" w:hAnsi="Trebuchet MS" w:cs="Palatino-Roman"/>
          <w:sz w:val="20"/>
        </w:rPr>
        <w:t>i</w:t>
      </w:r>
      <w:r w:rsidR="00C20B22" w:rsidRPr="00C65DA3">
        <w:rPr>
          <w:rFonts w:ascii="Trebuchet MS" w:eastAsiaTheme="minorHAnsi" w:hAnsi="Trebuchet MS" w:cs="Palatino-Roman"/>
          <w:sz w:val="20"/>
        </w:rPr>
        <w:t xml:space="preserve">cas, exerce um efeito de pré-condicionamento perante a lesão cerebral isquémica provocado por POG, em fatias de hipocampo. </w:t>
      </w:r>
    </w:p>
    <w:p w:rsidR="00622BDB" w:rsidRPr="00622BDB" w:rsidRDefault="00C20B22" w:rsidP="00622BDB">
      <w:pPr>
        <w:spacing w:line="360" w:lineRule="auto"/>
        <w:jc w:val="both"/>
        <w:textAlignment w:val="top"/>
        <w:rPr>
          <w:rFonts w:ascii="Trebuchet MS" w:eastAsiaTheme="minorHAnsi" w:hAnsi="Trebuchet MS"/>
          <w:sz w:val="20"/>
          <w:szCs w:val="20"/>
        </w:rPr>
      </w:pPr>
      <w:r w:rsidRPr="00C65DA3">
        <w:rPr>
          <w:rFonts w:ascii="Trebuchet MS" w:eastAsiaTheme="minorHAnsi" w:hAnsi="Trebuchet MS"/>
          <w:sz w:val="18"/>
          <w:szCs w:val="20"/>
        </w:rPr>
        <w:tab/>
      </w:r>
    </w:p>
    <w:p w:rsidR="00622BDB" w:rsidRDefault="00E8097D" w:rsidP="00622BDB">
      <w:pPr>
        <w:spacing w:line="276" w:lineRule="auto"/>
        <w:jc w:val="both"/>
        <w:rPr>
          <w:rFonts w:ascii="Trebuchet MS" w:eastAsiaTheme="minorHAnsi" w:hAnsi="Trebuchet MS"/>
          <w:sz w:val="20"/>
          <w:szCs w:val="20"/>
        </w:rPr>
      </w:pPr>
      <w:r>
        <w:rPr>
          <w:rFonts w:ascii="Trebuchet MS" w:hAnsi="Trebuchet MS"/>
          <w:b/>
          <w:shadow/>
          <w:color w:val="333399"/>
          <w:sz w:val="28"/>
          <w:szCs w:val="28"/>
        </w:rPr>
        <w:t>1</w:t>
      </w:r>
      <w:r w:rsidR="00622BDB" w:rsidRPr="002861BA">
        <w:rPr>
          <w:rFonts w:ascii="Trebuchet MS" w:hAnsi="Trebuchet MS"/>
          <w:b/>
          <w:shadow/>
          <w:color w:val="333399"/>
          <w:sz w:val="28"/>
          <w:szCs w:val="28"/>
        </w:rPr>
        <w:t>.</w:t>
      </w:r>
      <w:r w:rsidR="004B0FE4">
        <w:rPr>
          <w:rFonts w:ascii="Trebuchet MS" w:hAnsi="Trebuchet MS"/>
          <w:b/>
          <w:shadow/>
          <w:color w:val="333399"/>
          <w:sz w:val="28"/>
          <w:szCs w:val="28"/>
        </w:rPr>
        <w:t>3</w:t>
      </w:r>
      <w:r w:rsidR="00622BDB" w:rsidRPr="002861BA">
        <w:rPr>
          <w:rFonts w:ascii="Trebuchet MS" w:hAnsi="Trebuchet MS"/>
          <w:b/>
          <w:shadow/>
          <w:color w:val="333399"/>
          <w:sz w:val="28"/>
          <w:szCs w:val="28"/>
        </w:rPr>
        <w:t xml:space="preserve">. </w:t>
      </w:r>
      <w:r w:rsidR="00622BDB">
        <w:rPr>
          <w:rFonts w:ascii="Trebuchet MS" w:hAnsi="Trebuchet MS"/>
          <w:b/>
          <w:smallCaps/>
          <w:shadow/>
          <w:color w:val="333399"/>
          <w:sz w:val="28"/>
          <w:szCs w:val="28"/>
        </w:rPr>
        <w:t xml:space="preserve">Mecanismos de neuroprotecção (sobrevivência neuronal): </w:t>
      </w:r>
      <w:r w:rsidR="00622BDB" w:rsidRPr="00622BDB">
        <w:rPr>
          <w:rFonts w:ascii="Trebuchet MS" w:hAnsi="Trebuchet MS"/>
          <w:b/>
          <w:smallCaps/>
          <w:shadow/>
          <w:color w:val="333399"/>
          <w:sz w:val="28"/>
          <w:szCs w:val="28"/>
          <w:u w:val="single"/>
        </w:rPr>
        <w:t>Tol</w:t>
      </w:r>
      <w:r w:rsidR="00622BDB" w:rsidRPr="00622BDB">
        <w:rPr>
          <w:rFonts w:ascii="Trebuchet MS" w:hAnsi="Trebuchet MS"/>
          <w:b/>
          <w:smallCaps/>
          <w:shadow/>
          <w:color w:val="333399"/>
          <w:sz w:val="28"/>
          <w:szCs w:val="28"/>
          <w:u w:val="single"/>
        </w:rPr>
        <w:t>e</w:t>
      </w:r>
      <w:r w:rsidR="00622BDB" w:rsidRPr="00622BDB">
        <w:rPr>
          <w:rFonts w:ascii="Trebuchet MS" w:hAnsi="Trebuchet MS"/>
          <w:b/>
          <w:smallCaps/>
          <w:shadow/>
          <w:color w:val="333399"/>
          <w:sz w:val="28"/>
          <w:szCs w:val="28"/>
          <w:u w:val="single"/>
        </w:rPr>
        <w:t>rância Isquémica</w:t>
      </w:r>
    </w:p>
    <w:p w:rsidR="00622BDB" w:rsidRDefault="00622BDB" w:rsidP="00FC2CD9">
      <w:pPr>
        <w:spacing w:line="360" w:lineRule="auto"/>
        <w:ind w:firstLine="709"/>
        <w:jc w:val="both"/>
        <w:rPr>
          <w:rFonts w:ascii="Trebuchet MS" w:eastAsiaTheme="minorHAnsi" w:hAnsi="Trebuchet MS"/>
          <w:sz w:val="20"/>
          <w:szCs w:val="20"/>
        </w:rPr>
      </w:pPr>
    </w:p>
    <w:p w:rsidR="00D453FD" w:rsidRPr="003B7012" w:rsidRDefault="00D453FD" w:rsidP="00FC2CD9">
      <w:pPr>
        <w:spacing w:line="360" w:lineRule="auto"/>
        <w:ind w:firstLine="709"/>
        <w:jc w:val="both"/>
        <w:rPr>
          <w:rFonts w:ascii="Trebuchet MS" w:eastAsiaTheme="minorHAnsi" w:hAnsi="Trebuchet MS"/>
          <w:sz w:val="20"/>
          <w:szCs w:val="20"/>
        </w:rPr>
      </w:pPr>
      <w:r w:rsidRPr="003B7012">
        <w:rPr>
          <w:rFonts w:ascii="Trebuchet MS" w:eastAsiaTheme="minorHAnsi" w:hAnsi="Trebuchet MS"/>
          <w:sz w:val="20"/>
          <w:szCs w:val="20"/>
        </w:rPr>
        <w:t xml:space="preserve">O número de neurónios do cérebro dos mamíferos é determinado por um equilíbrio entre proliferação e morte celular programada (Kudryashov </w:t>
      </w:r>
      <w:r w:rsidR="00F96813" w:rsidRPr="003B7012">
        <w:rPr>
          <w:rFonts w:ascii="Trebuchet MS" w:eastAsiaTheme="minorHAnsi" w:hAnsi="Trebuchet MS"/>
          <w:i/>
          <w:sz w:val="20"/>
          <w:szCs w:val="20"/>
        </w:rPr>
        <w:t>et al.</w:t>
      </w:r>
      <w:r w:rsidRPr="003B7012">
        <w:rPr>
          <w:rFonts w:ascii="Trebuchet MS" w:eastAsiaTheme="minorHAnsi" w:hAnsi="Trebuchet MS"/>
          <w:sz w:val="20"/>
          <w:szCs w:val="20"/>
        </w:rPr>
        <w:t>, 2001).</w:t>
      </w:r>
    </w:p>
    <w:p w:rsidR="005C0CBA" w:rsidRPr="003B7012" w:rsidRDefault="002642AC" w:rsidP="00FC2CD9">
      <w:pPr>
        <w:spacing w:line="360" w:lineRule="auto"/>
        <w:ind w:firstLine="709"/>
        <w:jc w:val="both"/>
        <w:rPr>
          <w:rFonts w:ascii="Trebuchet MS" w:eastAsiaTheme="minorHAnsi" w:hAnsi="Trebuchet MS"/>
          <w:sz w:val="20"/>
          <w:szCs w:val="20"/>
        </w:rPr>
      </w:pPr>
      <w:r w:rsidRPr="003B7012">
        <w:rPr>
          <w:rFonts w:ascii="Trebuchet MS" w:eastAsiaTheme="minorHAnsi" w:hAnsi="Trebuchet MS"/>
          <w:sz w:val="20"/>
          <w:szCs w:val="20"/>
        </w:rPr>
        <w:t>Cada vez mais torna-se evidente que o cérebro dos mamíferos também possui mec</w:t>
      </w:r>
      <w:r w:rsidRPr="003B7012">
        <w:rPr>
          <w:rFonts w:ascii="Trebuchet MS" w:eastAsiaTheme="minorHAnsi" w:hAnsi="Trebuchet MS"/>
          <w:sz w:val="20"/>
          <w:szCs w:val="20"/>
        </w:rPr>
        <w:t>a</w:t>
      </w:r>
      <w:r w:rsidRPr="003B7012">
        <w:rPr>
          <w:rFonts w:ascii="Trebuchet MS" w:eastAsiaTheme="minorHAnsi" w:hAnsi="Trebuchet MS"/>
          <w:sz w:val="20"/>
          <w:szCs w:val="20"/>
        </w:rPr>
        <w:t xml:space="preserve">nismos de adaptação que podem conferir tolerância à isquémia e/ou hipóxia (Gage e Staton, 1996). </w:t>
      </w:r>
      <w:r w:rsidR="005C0CBA" w:rsidRPr="003B7012">
        <w:rPr>
          <w:rFonts w:ascii="Trebuchet MS" w:eastAsiaTheme="minorHAnsi" w:hAnsi="Trebuchet MS"/>
          <w:sz w:val="20"/>
          <w:szCs w:val="20"/>
        </w:rPr>
        <w:t>A tolerância isquémica é alcançada quando um breve insulto isquémico sublet</w:t>
      </w:r>
      <w:r w:rsidR="002D1624" w:rsidRPr="003B7012">
        <w:rPr>
          <w:rFonts w:ascii="Trebuchet MS" w:eastAsiaTheme="minorHAnsi" w:hAnsi="Trebuchet MS"/>
          <w:sz w:val="20"/>
          <w:szCs w:val="20"/>
        </w:rPr>
        <w:t>al, seguido de um</w:t>
      </w:r>
      <w:r w:rsidR="005C0CBA" w:rsidRPr="003B7012">
        <w:rPr>
          <w:rFonts w:ascii="Trebuchet MS" w:eastAsiaTheme="minorHAnsi" w:hAnsi="Trebuchet MS"/>
          <w:sz w:val="20"/>
          <w:szCs w:val="20"/>
        </w:rPr>
        <w:t xml:space="preserve"> período de reperfusão, aumenta a resistência de um órgão à isquémia (Raval </w:t>
      </w:r>
      <w:r w:rsidR="00F96813" w:rsidRPr="003B7012">
        <w:rPr>
          <w:rFonts w:ascii="Trebuchet MS" w:eastAsiaTheme="minorHAnsi" w:hAnsi="Trebuchet MS"/>
          <w:i/>
          <w:sz w:val="20"/>
          <w:szCs w:val="20"/>
        </w:rPr>
        <w:t>et al.</w:t>
      </w:r>
      <w:r w:rsidR="005C0CBA" w:rsidRPr="003B7012">
        <w:rPr>
          <w:rFonts w:ascii="Trebuchet MS" w:eastAsiaTheme="minorHAnsi" w:hAnsi="Trebuchet MS"/>
          <w:i/>
          <w:sz w:val="20"/>
          <w:szCs w:val="20"/>
        </w:rPr>
        <w:t>,</w:t>
      </w:r>
      <w:r w:rsidR="005C0CBA" w:rsidRPr="003B7012">
        <w:rPr>
          <w:rFonts w:ascii="Trebuchet MS" w:eastAsiaTheme="minorHAnsi" w:hAnsi="Trebuchet MS"/>
          <w:sz w:val="20"/>
          <w:szCs w:val="20"/>
        </w:rPr>
        <w:t xml:space="preserve"> 2006).</w:t>
      </w:r>
      <w:r w:rsidRPr="003B7012">
        <w:rPr>
          <w:rFonts w:ascii="Trebuchet MS" w:eastAsiaTheme="minorHAnsi" w:hAnsi="Trebuchet MS"/>
          <w:sz w:val="20"/>
          <w:szCs w:val="20"/>
        </w:rPr>
        <w:t xml:space="preserve"> </w:t>
      </w:r>
    </w:p>
    <w:p w:rsidR="00777FE7" w:rsidRPr="003B7012" w:rsidRDefault="00777FE7" w:rsidP="00FC2CD9">
      <w:pPr>
        <w:spacing w:line="360" w:lineRule="auto"/>
        <w:ind w:firstLine="709"/>
        <w:jc w:val="both"/>
        <w:rPr>
          <w:rFonts w:ascii="Trebuchet MS" w:eastAsiaTheme="minorHAnsi" w:hAnsi="Trebuchet MS"/>
          <w:sz w:val="20"/>
          <w:szCs w:val="20"/>
        </w:rPr>
      </w:pPr>
      <w:r w:rsidRPr="003B7012">
        <w:rPr>
          <w:rFonts w:ascii="Trebuchet MS" w:eastAsiaTheme="minorHAnsi" w:hAnsi="Trebuchet MS"/>
          <w:sz w:val="20"/>
          <w:szCs w:val="20"/>
        </w:rPr>
        <w:t xml:space="preserve">Gonzalez-Zulueta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(2000) mostraram que, durante o IPC, em culturas de neur</w:t>
      </w:r>
      <w:r w:rsidRPr="003B7012">
        <w:rPr>
          <w:rFonts w:ascii="Trebuchet MS" w:eastAsiaTheme="minorHAnsi" w:hAnsi="Trebuchet MS"/>
          <w:sz w:val="20"/>
          <w:szCs w:val="20"/>
        </w:rPr>
        <w:t>ó</w:t>
      </w:r>
      <w:r w:rsidRPr="003B7012">
        <w:rPr>
          <w:rFonts w:ascii="Trebuchet MS" w:eastAsiaTheme="minorHAnsi" w:hAnsi="Trebuchet MS"/>
          <w:sz w:val="20"/>
          <w:szCs w:val="20"/>
        </w:rPr>
        <w:t xml:space="preserve">nios, a cascata de sinalização </w:t>
      </w:r>
      <w:r w:rsidR="008D1677" w:rsidRPr="003B7012">
        <w:rPr>
          <w:rFonts w:ascii="Trebuchet MS" w:eastAsiaTheme="minorHAnsi" w:hAnsi="Trebuchet MS"/>
          <w:sz w:val="20"/>
          <w:szCs w:val="20"/>
        </w:rPr>
        <w:t>que leva ao desenvolvimento de</w:t>
      </w:r>
      <w:r w:rsidR="008D1677">
        <w:rPr>
          <w:rFonts w:ascii="Trebuchet MS" w:eastAsiaTheme="minorHAnsi" w:hAnsi="Trebuchet MS"/>
          <w:sz w:val="20"/>
          <w:szCs w:val="20"/>
        </w:rPr>
        <w:t xml:space="preserve"> tolerância neuronal à isquémia</w:t>
      </w:r>
      <w:r w:rsidR="008D1677" w:rsidRPr="003B7012">
        <w:rPr>
          <w:rFonts w:ascii="Trebuchet MS" w:eastAsiaTheme="minorHAnsi" w:hAnsi="Trebuchet MS"/>
          <w:sz w:val="20"/>
          <w:szCs w:val="20"/>
        </w:rPr>
        <w:t xml:space="preserve"> </w:t>
      </w:r>
      <w:r w:rsidRPr="003B7012">
        <w:rPr>
          <w:rFonts w:ascii="Trebuchet MS" w:eastAsiaTheme="minorHAnsi" w:hAnsi="Trebuchet MS"/>
          <w:sz w:val="20"/>
          <w:szCs w:val="20"/>
        </w:rPr>
        <w:t>foi iniciada pela activação de receptores de NMDA, influxo de cál</w:t>
      </w:r>
      <w:r w:rsidR="004A07C9">
        <w:rPr>
          <w:rFonts w:ascii="Trebuchet MS" w:eastAsiaTheme="minorHAnsi" w:hAnsi="Trebuchet MS"/>
          <w:sz w:val="20"/>
          <w:szCs w:val="20"/>
        </w:rPr>
        <w:t>cio e produção de óxido nítrico.</w:t>
      </w:r>
      <w:r w:rsidRPr="003B7012">
        <w:rPr>
          <w:rFonts w:ascii="Trebuchet MS" w:eastAsiaTheme="minorHAnsi" w:hAnsi="Trebuchet MS"/>
          <w:sz w:val="20"/>
          <w:szCs w:val="20"/>
        </w:rPr>
        <w:t xml:space="preserve"> </w:t>
      </w:r>
    </w:p>
    <w:p w:rsidR="00A570AF" w:rsidRPr="003B7012" w:rsidRDefault="00A570AF" w:rsidP="00A570AF">
      <w:pPr>
        <w:spacing w:line="360" w:lineRule="auto"/>
        <w:ind w:firstLine="709"/>
        <w:jc w:val="both"/>
        <w:rPr>
          <w:rFonts w:ascii="Trebuchet MS" w:eastAsiaTheme="minorHAnsi" w:hAnsi="Trebuchet MS"/>
          <w:sz w:val="20"/>
          <w:szCs w:val="20"/>
        </w:rPr>
      </w:pPr>
      <w:r w:rsidRPr="003B7012">
        <w:rPr>
          <w:rFonts w:ascii="Trebuchet MS" w:eastAsiaTheme="minorHAnsi" w:hAnsi="Trebuchet MS"/>
          <w:sz w:val="20"/>
          <w:szCs w:val="20"/>
        </w:rPr>
        <w:t xml:space="preserve">Zhang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 xml:space="preserve">(2002) demonstraram que o IPC diminui a fragmentação do </w:t>
      </w:r>
      <w:proofErr w:type="gramStart"/>
      <w:r w:rsidRPr="003B7012">
        <w:rPr>
          <w:rFonts w:ascii="Trebuchet MS" w:eastAsiaTheme="minorHAnsi" w:hAnsi="Trebuchet MS"/>
          <w:sz w:val="20"/>
          <w:szCs w:val="20"/>
        </w:rPr>
        <w:t>DNA</w:t>
      </w:r>
      <w:proofErr w:type="gramEnd"/>
      <w:r w:rsidRPr="003B7012">
        <w:rPr>
          <w:rFonts w:ascii="Trebuchet MS" w:eastAsiaTheme="minorHAnsi" w:hAnsi="Trebuchet MS"/>
          <w:sz w:val="20"/>
          <w:szCs w:val="20"/>
        </w:rPr>
        <w:t xml:space="preserve"> associada à apoptose após isquémia e que a atenuação da activação da</w:t>
      </w:r>
      <w:r w:rsidR="00CB2744">
        <w:rPr>
          <w:rFonts w:ascii="Trebuchet MS" w:eastAsiaTheme="minorHAnsi" w:hAnsi="Trebuchet MS"/>
          <w:sz w:val="20"/>
          <w:szCs w:val="20"/>
        </w:rPr>
        <w:t>s</w:t>
      </w:r>
      <w:r w:rsidRPr="003B7012">
        <w:rPr>
          <w:rFonts w:ascii="Trebuchet MS" w:eastAsiaTheme="minorHAnsi" w:hAnsi="Trebuchet MS"/>
          <w:sz w:val="20"/>
          <w:szCs w:val="20"/>
        </w:rPr>
        <w:t xml:space="preserve"> caspase</w:t>
      </w:r>
      <w:r w:rsidR="00CB2744">
        <w:rPr>
          <w:rFonts w:ascii="Trebuchet MS" w:eastAsiaTheme="minorHAnsi" w:hAnsi="Trebuchet MS"/>
          <w:sz w:val="20"/>
          <w:szCs w:val="20"/>
        </w:rPr>
        <w:t>s</w:t>
      </w:r>
      <w:r w:rsidRPr="003B7012">
        <w:rPr>
          <w:rFonts w:ascii="Trebuchet MS" w:eastAsiaTheme="minorHAnsi" w:hAnsi="Trebuchet MS"/>
          <w:sz w:val="20"/>
          <w:szCs w:val="20"/>
        </w:rPr>
        <w:t xml:space="preserve">, </w:t>
      </w:r>
      <w:r w:rsidR="00CB2744">
        <w:rPr>
          <w:rFonts w:ascii="Trebuchet MS" w:eastAsiaTheme="minorHAnsi" w:hAnsi="Trebuchet MS"/>
          <w:sz w:val="20"/>
          <w:szCs w:val="20"/>
        </w:rPr>
        <w:t xml:space="preserve">da </w:t>
      </w:r>
      <w:r w:rsidRPr="003B7012">
        <w:rPr>
          <w:rFonts w:ascii="Trebuchet MS" w:eastAsiaTheme="minorHAnsi" w:hAnsi="Trebuchet MS"/>
          <w:sz w:val="20"/>
          <w:szCs w:val="20"/>
        </w:rPr>
        <w:t xml:space="preserve">bax, </w:t>
      </w:r>
      <w:r w:rsidR="00CB2744">
        <w:rPr>
          <w:rFonts w:ascii="Trebuchet MS" w:eastAsiaTheme="minorHAnsi" w:hAnsi="Trebuchet MS"/>
          <w:sz w:val="20"/>
          <w:szCs w:val="20"/>
        </w:rPr>
        <w:t xml:space="preserve">e da </w:t>
      </w:r>
      <w:r w:rsidRPr="003B7012">
        <w:rPr>
          <w:rFonts w:ascii="Trebuchet MS" w:eastAsiaTheme="minorHAnsi" w:hAnsi="Trebuchet MS"/>
          <w:sz w:val="20"/>
          <w:szCs w:val="20"/>
        </w:rPr>
        <w:t>expre</w:t>
      </w:r>
      <w:r w:rsidRPr="003B7012">
        <w:rPr>
          <w:rFonts w:ascii="Trebuchet MS" w:eastAsiaTheme="minorHAnsi" w:hAnsi="Trebuchet MS"/>
          <w:sz w:val="20"/>
          <w:szCs w:val="20"/>
        </w:rPr>
        <w:t>s</w:t>
      </w:r>
      <w:r w:rsidRPr="003B7012">
        <w:rPr>
          <w:rFonts w:ascii="Trebuchet MS" w:eastAsiaTheme="minorHAnsi" w:hAnsi="Trebuchet MS"/>
          <w:sz w:val="20"/>
          <w:szCs w:val="20"/>
        </w:rPr>
        <w:t>são de PARP</w:t>
      </w:r>
      <w:r w:rsidR="00CB2744">
        <w:rPr>
          <w:rFonts w:ascii="Trebuchet MS" w:eastAsiaTheme="minorHAnsi" w:hAnsi="Trebuchet MS"/>
          <w:sz w:val="20"/>
          <w:szCs w:val="20"/>
        </w:rPr>
        <w:t xml:space="preserve">, bem como, </w:t>
      </w:r>
      <w:r w:rsidRPr="003B7012">
        <w:rPr>
          <w:rFonts w:ascii="Trebuchet MS" w:eastAsiaTheme="minorHAnsi" w:hAnsi="Trebuchet MS"/>
          <w:sz w:val="20"/>
          <w:szCs w:val="20"/>
        </w:rPr>
        <w:t>alterações na fosforilação de proteínas estão envolvidas na neur</w:t>
      </w:r>
      <w:r w:rsidRPr="003B7012">
        <w:rPr>
          <w:rFonts w:ascii="Trebuchet MS" w:eastAsiaTheme="minorHAnsi" w:hAnsi="Trebuchet MS"/>
          <w:sz w:val="20"/>
          <w:szCs w:val="20"/>
        </w:rPr>
        <w:t>o</w:t>
      </w:r>
      <w:r w:rsidRPr="003B7012">
        <w:rPr>
          <w:rFonts w:ascii="Trebuchet MS" w:eastAsiaTheme="minorHAnsi" w:hAnsi="Trebuchet MS"/>
          <w:sz w:val="20"/>
          <w:szCs w:val="20"/>
        </w:rPr>
        <w:t>protecção</w:t>
      </w:r>
      <w:r w:rsidR="00CB2744">
        <w:rPr>
          <w:rFonts w:ascii="Trebuchet MS" w:eastAsiaTheme="minorHAnsi" w:hAnsi="Trebuchet MS"/>
          <w:sz w:val="20"/>
          <w:szCs w:val="20"/>
        </w:rPr>
        <w:t>,</w:t>
      </w:r>
      <w:r w:rsidRPr="003B7012">
        <w:rPr>
          <w:rFonts w:ascii="Trebuchet MS" w:eastAsiaTheme="minorHAnsi" w:hAnsi="Trebuchet MS"/>
          <w:sz w:val="20"/>
          <w:szCs w:val="20"/>
        </w:rPr>
        <w:t xml:space="preserve"> embora o mecanismo</w:t>
      </w:r>
      <w:r w:rsidR="00CB2744">
        <w:rPr>
          <w:rFonts w:ascii="Trebuchet MS" w:eastAsiaTheme="minorHAnsi" w:hAnsi="Trebuchet MS"/>
          <w:sz w:val="20"/>
          <w:szCs w:val="20"/>
        </w:rPr>
        <w:t xml:space="preserve"> molecular</w:t>
      </w:r>
      <w:r w:rsidRPr="003B7012">
        <w:rPr>
          <w:rFonts w:ascii="Trebuchet MS" w:eastAsiaTheme="minorHAnsi" w:hAnsi="Trebuchet MS"/>
          <w:sz w:val="20"/>
          <w:szCs w:val="20"/>
        </w:rPr>
        <w:t xml:space="preserve"> preciso através do qual IPC é protector, perman</w:t>
      </w:r>
      <w:r w:rsidRPr="003B7012">
        <w:rPr>
          <w:rFonts w:ascii="Trebuchet MS" w:eastAsiaTheme="minorHAnsi" w:hAnsi="Trebuchet MS"/>
          <w:sz w:val="20"/>
          <w:szCs w:val="20"/>
        </w:rPr>
        <w:t>e</w:t>
      </w:r>
      <w:r w:rsidRPr="003B7012">
        <w:rPr>
          <w:rFonts w:ascii="Trebuchet MS" w:eastAsiaTheme="minorHAnsi" w:hAnsi="Trebuchet MS"/>
          <w:sz w:val="20"/>
          <w:szCs w:val="20"/>
        </w:rPr>
        <w:t xml:space="preserve">ce por </w:t>
      </w:r>
      <w:r w:rsidR="00CB2744">
        <w:rPr>
          <w:rFonts w:ascii="Trebuchet MS" w:eastAsiaTheme="minorHAnsi" w:hAnsi="Trebuchet MS"/>
          <w:sz w:val="20"/>
          <w:szCs w:val="20"/>
        </w:rPr>
        <w:t>esclarecer</w:t>
      </w:r>
      <w:r w:rsidRPr="003B7012">
        <w:rPr>
          <w:rFonts w:ascii="Trebuchet MS" w:eastAsiaTheme="minorHAnsi" w:hAnsi="Trebuchet MS"/>
          <w:sz w:val="20"/>
          <w:szCs w:val="20"/>
        </w:rPr>
        <w:t xml:space="preserve"> (Zhang </w:t>
      </w:r>
      <w:r w:rsidR="00F96813" w:rsidRPr="003B7012">
        <w:rPr>
          <w:rFonts w:ascii="Trebuchet MS" w:eastAsiaTheme="minorHAnsi" w:hAnsi="Trebuchet MS"/>
          <w:i/>
          <w:sz w:val="20"/>
          <w:szCs w:val="20"/>
        </w:rPr>
        <w:t>et al.</w:t>
      </w:r>
      <w:r w:rsidRPr="003B7012">
        <w:rPr>
          <w:rFonts w:ascii="Trebuchet MS" w:eastAsiaTheme="minorHAnsi" w:hAnsi="Trebuchet MS"/>
          <w:i/>
          <w:sz w:val="20"/>
          <w:szCs w:val="20"/>
        </w:rPr>
        <w:t>,</w:t>
      </w:r>
      <w:r w:rsidRPr="003B7012">
        <w:rPr>
          <w:rFonts w:ascii="Trebuchet MS" w:eastAsiaTheme="minorHAnsi" w:hAnsi="Trebuchet MS"/>
          <w:sz w:val="20"/>
          <w:szCs w:val="20"/>
        </w:rPr>
        <w:t xml:space="preserve"> 2002).</w:t>
      </w:r>
    </w:p>
    <w:p w:rsidR="00A06253" w:rsidRDefault="003B40DE" w:rsidP="00A06253">
      <w:pPr>
        <w:spacing w:line="360" w:lineRule="auto"/>
        <w:ind w:firstLine="709"/>
        <w:jc w:val="both"/>
        <w:rPr>
          <w:rFonts w:ascii="Trebuchet MS" w:eastAsiaTheme="minorHAnsi" w:hAnsi="Trebuchet MS"/>
          <w:sz w:val="20"/>
          <w:szCs w:val="20"/>
        </w:rPr>
      </w:pPr>
      <w:r w:rsidRPr="003B7012">
        <w:rPr>
          <w:rFonts w:ascii="Trebuchet MS" w:eastAsiaTheme="minorHAnsi" w:hAnsi="Trebuchet MS"/>
          <w:sz w:val="20"/>
          <w:szCs w:val="20"/>
        </w:rPr>
        <w:lastRenderedPageBreak/>
        <w:t xml:space="preserve">Raval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 xml:space="preserve">(2003) sugerem que um dos mecanismos pelos quais o pré-condicionamento promove tolerância isquémica em </w:t>
      </w:r>
      <w:r w:rsidR="005B224D">
        <w:rPr>
          <w:rFonts w:ascii="Trebuchet MS" w:eastAsiaTheme="minorHAnsi" w:hAnsi="Trebuchet MS"/>
          <w:sz w:val="20"/>
          <w:szCs w:val="20"/>
        </w:rPr>
        <w:t xml:space="preserve">culturas </w:t>
      </w:r>
      <w:r w:rsidR="00765EA0">
        <w:rPr>
          <w:rFonts w:ascii="Trebuchet MS" w:eastAsiaTheme="minorHAnsi" w:hAnsi="Trebuchet MS"/>
          <w:sz w:val="20"/>
          <w:szCs w:val="20"/>
        </w:rPr>
        <w:t>organotípicas</w:t>
      </w:r>
      <w:r w:rsidR="005B224D">
        <w:rPr>
          <w:rFonts w:ascii="Trebuchet MS" w:eastAsiaTheme="minorHAnsi" w:hAnsi="Trebuchet MS"/>
          <w:sz w:val="20"/>
          <w:szCs w:val="20"/>
        </w:rPr>
        <w:t xml:space="preserve"> envolve</w:t>
      </w:r>
      <w:r w:rsidRPr="003B7012">
        <w:rPr>
          <w:rFonts w:ascii="Trebuchet MS" w:eastAsiaTheme="minorHAnsi" w:hAnsi="Trebuchet MS"/>
          <w:sz w:val="20"/>
          <w:szCs w:val="20"/>
        </w:rPr>
        <w:t xml:space="preserve"> activação dos receptores de NMDA. Testaram </w:t>
      </w:r>
      <w:r w:rsidR="004C1C77">
        <w:rPr>
          <w:rFonts w:ascii="Trebuchet MS" w:eastAsiaTheme="minorHAnsi" w:hAnsi="Trebuchet MS"/>
          <w:sz w:val="20"/>
          <w:szCs w:val="20"/>
        </w:rPr>
        <w:t>est</w:t>
      </w:r>
      <w:r w:rsidRPr="003B7012">
        <w:rPr>
          <w:rFonts w:ascii="Trebuchet MS" w:eastAsiaTheme="minorHAnsi" w:hAnsi="Trebuchet MS"/>
          <w:sz w:val="20"/>
          <w:szCs w:val="20"/>
        </w:rPr>
        <w:t>a hipótese por adição de 1 µM de NMDA durante 15 minutos, 48</w:t>
      </w:r>
      <w:r w:rsidR="0044406C" w:rsidRPr="003B7012">
        <w:rPr>
          <w:rFonts w:ascii="Trebuchet MS" w:eastAsiaTheme="minorHAnsi" w:hAnsi="Trebuchet MS"/>
          <w:sz w:val="20"/>
          <w:szCs w:val="20"/>
        </w:rPr>
        <w:t xml:space="preserve"> horas</w:t>
      </w:r>
      <w:r w:rsidRPr="003B7012">
        <w:rPr>
          <w:rFonts w:ascii="Trebuchet MS" w:eastAsiaTheme="minorHAnsi" w:hAnsi="Trebuchet MS"/>
          <w:sz w:val="20"/>
          <w:szCs w:val="20"/>
        </w:rPr>
        <w:t xml:space="preserve"> antes do insulto isquémico</w:t>
      </w:r>
      <w:r w:rsidR="004C1C77" w:rsidRPr="004C1C77">
        <w:rPr>
          <w:rFonts w:ascii="Trebuchet MS" w:eastAsiaTheme="minorHAnsi" w:hAnsi="Trebuchet MS"/>
          <w:sz w:val="20"/>
          <w:szCs w:val="20"/>
        </w:rPr>
        <w:t xml:space="preserve"> </w:t>
      </w:r>
      <w:r w:rsidR="004C1C77" w:rsidRPr="003B7012">
        <w:rPr>
          <w:rFonts w:ascii="Trebuchet MS" w:eastAsiaTheme="minorHAnsi" w:hAnsi="Trebuchet MS"/>
          <w:sz w:val="20"/>
          <w:szCs w:val="20"/>
        </w:rPr>
        <w:t xml:space="preserve">em culturas </w:t>
      </w:r>
      <w:r w:rsidR="004C1C77">
        <w:rPr>
          <w:rFonts w:ascii="Trebuchet MS" w:eastAsiaTheme="minorHAnsi" w:hAnsi="Trebuchet MS"/>
          <w:sz w:val="20"/>
          <w:szCs w:val="20"/>
        </w:rPr>
        <w:t xml:space="preserve">de fatias </w:t>
      </w:r>
      <w:r w:rsidR="004C1C77" w:rsidRPr="003B7012">
        <w:rPr>
          <w:rFonts w:ascii="Trebuchet MS" w:eastAsiaTheme="minorHAnsi" w:hAnsi="Trebuchet MS"/>
          <w:sz w:val="20"/>
          <w:szCs w:val="20"/>
        </w:rPr>
        <w:t>organotípicas</w:t>
      </w:r>
      <w:r w:rsidRPr="003B7012">
        <w:rPr>
          <w:rFonts w:ascii="Trebuchet MS" w:eastAsiaTheme="minorHAnsi" w:hAnsi="Trebuchet MS"/>
          <w:sz w:val="20"/>
          <w:szCs w:val="20"/>
        </w:rPr>
        <w:t>. Ao aume</w:t>
      </w:r>
      <w:r w:rsidRPr="003B7012">
        <w:rPr>
          <w:rFonts w:ascii="Trebuchet MS" w:eastAsiaTheme="minorHAnsi" w:hAnsi="Trebuchet MS"/>
          <w:sz w:val="20"/>
          <w:szCs w:val="20"/>
        </w:rPr>
        <w:t>n</w:t>
      </w:r>
      <w:r w:rsidRPr="003B7012">
        <w:rPr>
          <w:rFonts w:ascii="Trebuchet MS" w:eastAsiaTheme="minorHAnsi" w:hAnsi="Trebuchet MS"/>
          <w:sz w:val="20"/>
          <w:szCs w:val="20"/>
        </w:rPr>
        <w:t>tar o tempo de exposição do NMDA de 15 minutos para 30 ou 60 minutos, aumentou a prote</w:t>
      </w:r>
      <w:r w:rsidRPr="003B7012">
        <w:rPr>
          <w:rFonts w:ascii="Trebuchet MS" w:eastAsiaTheme="minorHAnsi" w:hAnsi="Trebuchet MS"/>
          <w:sz w:val="20"/>
          <w:szCs w:val="20"/>
        </w:rPr>
        <w:t>c</w:t>
      </w:r>
      <w:r w:rsidRPr="003B7012">
        <w:rPr>
          <w:rFonts w:ascii="Trebuchet MS" w:eastAsiaTheme="minorHAnsi" w:hAnsi="Trebuchet MS"/>
          <w:sz w:val="20"/>
          <w:szCs w:val="20"/>
        </w:rPr>
        <w:t xml:space="preserve">ção perante o insulto isquémico. Para uma melhor caracterização do papel dos receptores de NMDA durante o IPC, o receptor de NMDA </w:t>
      </w:r>
      <w:r w:rsidR="004C1C77">
        <w:rPr>
          <w:rFonts w:ascii="Trebuchet MS" w:eastAsiaTheme="minorHAnsi" w:hAnsi="Trebuchet MS"/>
          <w:sz w:val="20"/>
          <w:szCs w:val="20"/>
        </w:rPr>
        <w:t>foi</w:t>
      </w:r>
      <w:r w:rsidRPr="003B7012">
        <w:rPr>
          <w:rFonts w:ascii="Trebuchet MS" w:eastAsiaTheme="minorHAnsi" w:hAnsi="Trebuchet MS"/>
          <w:sz w:val="20"/>
          <w:szCs w:val="20"/>
        </w:rPr>
        <w:t xml:space="preserve"> bloqueado durante </w:t>
      </w:r>
      <w:r w:rsidR="008D7DF9">
        <w:rPr>
          <w:rFonts w:ascii="Trebuchet MS" w:eastAsiaTheme="minorHAnsi" w:hAnsi="Trebuchet MS"/>
          <w:sz w:val="20"/>
          <w:szCs w:val="20"/>
        </w:rPr>
        <w:t xml:space="preserve">o </w:t>
      </w:r>
      <w:r w:rsidRPr="003B7012">
        <w:rPr>
          <w:rFonts w:ascii="Trebuchet MS" w:eastAsiaTheme="minorHAnsi" w:hAnsi="Trebuchet MS"/>
          <w:sz w:val="20"/>
          <w:szCs w:val="20"/>
        </w:rPr>
        <w:t>pré-condicionamento. Este tratamento eliminou significativamente</w:t>
      </w:r>
      <w:r w:rsidR="002C72F4">
        <w:rPr>
          <w:rFonts w:ascii="Trebuchet MS" w:eastAsiaTheme="minorHAnsi" w:hAnsi="Trebuchet MS"/>
          <w:sz w:val="20"/>
          <w:szCs w:val="20"/>
        </w:rPr>
        <w:t xml:space="preserve"> a</w:t>
      </w:r>
      <w:r w:rsidRPr="003B7012">
        <w:rPr>
          <w:rFonts w:ascii="Trebuchet MS" w:eastAsiaTheme="minorHAnsi" w:hAnsi="Trebuchet MS"/>
          <w:sz w:val="20"/>
          <w:szCs w:val="20"/>
        </w:rPr>
        <w:t xml:space="preserve"> neuroprotecção induzida pelo pré-condicionamento isquémico. A via sugerida por Raval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 xml:space="preserve">(2003) através do qual NMDA promove tolerância isquémica </w:t>
      </w:r>
      <w:r w:rsidR="008D7DF9">
        <w:rPr>
          <w:rFonts w:ascii="Trebuchet MS" w:eastAsiaTheme="minorHAnsi" w:hAnsi="Trebuchet MS"/>
          <w:sz w:val="20"/>
          <w:szCs w:val="20"/>
        </w:rPr>
        <w:t>envolve</w:t>
      </w:r>
      <w:r w:rsidRPr="003B7012">
        <w:rPr>
          <w:rFonts w:ascii="Trebuchet MS" w:eastAsiaTheme="minorHAnsi" w:hAnsi="Trebuchet MS"/>
          <w:sz w:val="20"/>
          <w:szCs w:val="20"/>
        </w:rPr>
        <w:t xml:space="preserve"> influxo de c</w:t>
      </w:r>
      <w:r w:rsidR="008D0C4E">
        <w:rPr>
          <w:rFonts w:ascii="Trebuchet MS" w:eastAsiaTheme="minorHAnsi" w:hAnsi="Trebuchet MS"/>
          <w:sz w:val="20"/>
          <w:szCs w:val="20"/>
        </w:rPr>
        <w:t>álcio para o citoplasma. Para</w:t>
      </w:r>
      <w:r w:rsidRPr="003B7012">
        <w:rPr>
          <w:rFonts w:ascii="Trebuchet MS" w:eastAsiaTheme="minorHAnsi" w:hAnsi="Trebuchet MS"/>
          <w:sz w:val="20"/>
          <w:szCs w:val="20"/>
        </w:rPr>
        <w:t xml:space="preserve"> determinar</w:t>
      </w:r>
      <w:r w:rsidR="008D0C4E">
        <w:rPr>
          <w:rFonts w:ascii="Trebuchet MS" w:eastAsiaTheme="minorHAnsi" w:hAnsi="Trebuchet MS"/>
          <w:sz w:val="20"/>
          <w:szCs w:val="20"/>
        </w:rPr>
        <w:t>em</w:t>
      </w:r>
      <w:r w:rsidRPr="003B7012">
        <w:rPr>
          <w:rFonts w:ascii="Trebuchet MS" w:eastAsiaTheme="minorHAnsi" w:hAnsi="Trebuchet MS"/>
          <w:sz w:val="20"/>
          <w:szCs w:val="20"/>
        </w:rPr>
        <w:t xml:space="preserve"> se o influxo de cálcio desempenha um papel na neuroprotecção induzida pelo pré-condicionamento em fatias organotípicas, Raval </w:t>
      </w:r>
      <w:r w:rsidR="00194A32" w:rsidRPr="003B7012">
        <w:rPr>
          <w:rFonts w:ascii="Trebuchet MS" w:eastAsiaTheme="minorHAnsi" w:hAnsi="Trebuchet MS"/>
          <w:i/>
          <w:sz w:val="20"/>
          <w:szCs w:val="20"/>
        </w:rPr>
        <w:t xml:space="preserve">et al. </w:t>
      </w:r>
      <w:r w:rsidRPr="003B7012">
        <w:rPr>
          <w:rFonts w:ascii="Trebuchet MS" w:eastAsiaTheme="minorHAnsi" w:hAnsi="Trebuchet MS"/>
          <w:sz w:val="20"/>
          <w:szCs w:val="20"/>
        </w:rPr>
        <w:t xml:space="preserve">(2003) removeram o cálcio extracelular e citoplasmático </w:t>
      </w:r>
      <w:r w:rsidR="00ED2607">
        <w:rPr>
          <w:rFonts w:ascii="Trebuchet MS" w:eastAsiaTheme="minorHAnsi" w:hAnsi="Trebuchet MS"/>
          <w:sz w:val="20"/>
          <w:szCs w:val="20"/>
        </w:rPr>
        <w:t>a</w:t>
      </w:r>
      <w:r w:rsidR="00FD3358">
        <w:rPr>
          <w:rFonts w:ascii="Trebuchet MS" w:eastAsiaTheme="minorHAnsi" w:hAnsi="Trebuchet MS"/>
          <w:sz w:val="20"/>
          <w:szCs w:val="20"/>
        </w:rPr>
        <w:t>dmini</w:t>
      </w:r>
      <w:r w:rsidR="00FD3358">
        <w:rPr>
          <w:rFonts w:ascii="Trebuchet MS" w:eastAsiaTheme="minorHAnsi" w:hAnsi="Trebuchet MS"/>
          <w:sz w:val="20"/>
          <w:szCs w:val="20"/>
        </w:rPr>
        <w:t>s</w:t>
      </w:r>
      <w:r w:rsidR="00FD3358">
        <w:rPr>
          <w:rFonts w:ascii="Trebuchet MS" w:eastAsiaTheme="minorHAnsi" w:hAnsi="Trebuchet MS"/>
          <w:sz w:val="20"/>
          <w:szCs w:val="20"/>
        </w:rPr>
        <w:t>trando</w:t>
      </w:r>
      <w:r w:rsidRPr="003B7012">
        <w:rPr>
          <w:rFonts w:ascii="Trebuchet MS" w:eastAsiaTheme="minorHAnsi" w:hAnsi="Trebuchet MS"/>
          <w:sz w:val="20"/>
          <w:szCs w:val="20"/>
        </w:rPr>
        <w:t xml:space="preserve"> quelantes de cálcio e observaram que a sua administração antes e durant</w:t>
      </w:r>
      <w:r w:rsidRPr="00ED2607">
        <w:rPr>
          <w:rFonts w:ascii="Trebuchet MS" w:eastAsiaTheme="minorHAnsi" w:hAnsi="Trebuchet MS"/>
          <w:sz w:val="20"/>
          <w:szCs w:val="20"/>
        </w:rPr>
        <w:t xml:space="preserve">e o pré-condicionamento isquémico bloqueia a protecção conferida pelo IPC. Para </w:t>
      </w:r>
      <w:r w:rsidRPr="003B7012">
        <w:rPr>
          <w:rFonts w:ascii="Trebuchet MS" w:eastAsiaTheme="minorHAnsi" w:hAnsi="Trebuchet MS"/>
          <w:sz w:val="20"/>
          <w:szCs w:val="20"/>
        </w:rPr>
        <w:t xml:space="preserve">examinarem se o pré-condicionamento induzido por NMDA também ocorre via influxo de cálcio, administraram quelantes de cálcio durante o </w:t>
      </w:r>
      <w:r w:rsidRPr="00FD3358">
        <w:rPr>
          <w:rFonts w:ascii="Trebuchet MS" w:eastAsiaTheme="minorHAnsi" w:hAnsi="Trebuchet MS"/>
          <w:sz w:val="20"/>
          <w:szCs w:val="20"/>
          <w:u w:val="single"/>
        </w:rPr>
        <w:t>pré-condicionamento com NMDA</w:t>
      </w:r>
      <w:r w:rsidRPr="003B7012">
        <w:rPr>
          <w:rFonts w:ascii="Trebuchet MS" w:eastAsiaTheme="minorHAnsi" w:hAnsi="Trebuchet MS"/>
          <w:sz w:val="20"/>
          <w:szCs w:val="20"/>
        </w:rPr>
        <w:t>. Observaram que a tolerância isquémica conferida pelo pré</w:t>
      </w:r>
      <w:r w:rsidR="009A3AE7" w:rsidRPr="003B7012">
        <w:rPr>
          <w:rFonts w:ascii="Trebuchet MS" w:eastAsiaTheme="minorHAnsi" w:hAnsi="Trebuchet MS"/>
          <w:sz w:val="20"/>
          <w:szCs w:val="20"/>
        </w:rPr>
        <w:t>-</w:t>
      </w:r>
      <w:r w:rsidRPr="003B7012">
        <w:rPr>
          <w:rFonts w:ascii="Trebuchet MS" w:eastAsiaTheme="minorHAnsi" w:hAnsi="Trebuchet MS"/>
          <w:sz w:val="20"/>
          <w:szCs w:val="20"/>
        </w:rPr>
        <w:t xml:space="preserve">tratamento com NMDA </w:t>
      </w:r>
      <w:r w:rsidR="00FB052C">
        <w:rPr>
          <w:rFonts w:ascii="Trebuchet MS" w:eastAsiaTheme="minorHAnsi" w:hAnsi="Trebuchet MS"/>
          <w:sz w:val="20"/>
          <w:szCs w:val="20"/>
        </w:rPr>
        <w:t>era</w:t>
      </w:r>
      <w:r w:rsidRPr="003B7012">
        <w:rPr>
          <w:rFonts w:ascii="Trebuchet MS" w:eastAsiaTheme="minorHAnsi" w:hAnsi="Trebuchet MS"/>
          <w:sz w:val="20"/>
          <w:szCs w:val="20"/>
        </w:rPr>
        <w:t xml:space="preserve"> suprimida, devido à adição dos qu</w:t>
      </w:r>
      <w:r w:rsidRPr="003B7012">
        <w:rPr>
          <w:rFonts w:ascii="Trebuchet MS" w:eastAsiaTheme="minorHAnsi" w:hAnsi="Trebuchet MS"/>
          <w:sz w:val="20"/>
          <w:szCs w:val="20"/>
        </w:rPr>
        <w:t>e</w:t>
      </w:r>
      <w:r w:rsidRPr="003B7012">
        <w:rPr>
          <w:rFonts w:ascii="Trebuchet MS" w:eastAsiaTheme="minorHAnsi" w:hAnsi="Trebuchet MS"/>
          <w:sz w:val="20"/>
          <w:szCs w:val="20"/>
        </w:rPr>
        <w:t xml:space="preserve">lantes de cálcio (Raval </w:t>
      </w:r>
      <w:r w:rsidR="00F96813" w:rsidRPr="003B7012">
        <w:rPr>
          <w:rFonts w:ascii="Trebuchet MS" w:eastAsiaTheme="minorHAnsi" w:hAnsi="Trebuchet MS"/>
          <w:i/>
          <w:sz w:val="20"/>
          <w:szCs w:val="20"/>
        </w:rPr>
        <w:t>et al.</w:t>
      </w:r>
      <w:r w:rsidRPr="003B7012">
        <w:rPr>
          <w:rFonts w:ascii="Trebuchet MS" w:eastAsiaTheme="minorHAnsi" w:hAnsi="Trebuchet MS"/>
          <w:i/>
          <w:sz w:val="20"/>
          <w:szCs w:val="20"/>
        </w:rPr>
        <w:t>,</w:t>
      </w:r>
      <w:r w:rsidRPr="003B7012">
        <w:rPr>
          <w:rFonts w:ascii="Trebuchet MS" w:eastAsiaTheme="minorHAnsi" w:hAnsi="Trebuchet MS"/>
          <w:sz w:val="20"/>
          <w:szCs w:val="20"/>
        </w:rPr>
        <w:t xml:space="preserve"> 2003). Desta forma, o aumento de cálcio citosólico desempenha um papel chave na indução de neuroprotecção mediada por IPC e NMDA, pelo que estes resu</w:t>
      </w:r>
      <w:r w:rsidRPr="003B7012">
        <w:rPr>
          <w:rFonts w:ascii="Trebuchet MS" w:eastAsiaTheme="minorHAnsi" w:hAnsi="Trebuchet MS"/>
          <w:sz w:val="20"/>
          <w:szCs w:val="20"/>
        </w:rPr>
        <w:t>l</w:t>
      </w:r>
      <w:r w:rsidRPr="003B7012">
        <w:rPr>
          <w:rFonts w:ascii="Trebuchet MS" w:eastAsiaTheme="minorHAnsi" w:hAnsi="Trebuchet MS"/>
          <w:sz w:val="20"/>
          <w:szCs w:val="20"/>
        </w:rPr>
        <w:t>tados</w:t>
      </w:r>
      <w:proofErr w:type="gramStart"/>
      <w:r w:rsidRPr="003B7012">
        <w:rPr>
          <w:rFonts w:ascii="Trebuchet MS" w:eastAsiaTheme="minorHAnsi" w:hAnsi="Trebuchet MS"/>
          <w:sz w:val="20"/>
          <w:szCs w:val="20"/>
        </w:rPr>
        <w:t>,</w:t>
      </w:r>
      <w:proofErr w:type="gramEnd"/>
      <w:r w:rsidRPr="003B7012">
        <w:rPr>
          <w:rFonts w:ascii="Trebuchet MS" w:eastAsiaTheme="minorHAnsi" w:hAnsi="Trebuchet MS"/>
          <w:sz w:val="20"/>
          <w:szCs w:val="20"/>
        </w:rPr>
        <w:t xml:space="preserve"> sustentam a hipótese que a mediação do IPC implica os receptores de NMDA</w:t>
      </w:r>
      <w:r w:rsidR="009A3AE7" w:rsidRPr="003B7012">
        <w:rPr>
          <w:rFonts w:ascii="Trebuchet MS" w:eastAsiaTheme="minorHAnsi" w:hAnsi="Trebuchet MS"/>
          <w:sz w:val="20"/>
          <w:szCs w:val="20"/>
        </w:rPr>
        <w:t xml:space="preserve"> (Fig. </w:t>
      </w:r>
      <w:r w:rsidR="002F49DB">
        <w:rPr>
          <w:rFonts w:ascii="Trebuchet MS" w:eastAsiaTheme="minorHAnsi" w:hAnsi="Trebuchet MS"/>
          <w:sz w:val="20"/>
          <w:szCs w:val="20"/>
        </w:rPr>
        <w:t>1</w:t>
      </w:r>
      <w:r w:rsidR="009A3AE7" w:rsidRPr="003B7012">
        <w:rPr>
          <w:rFonts w:ascii="Trebuchet MS" w:eastAsiaTheme="minorHAnsi" w:hAnsi="Trebuchet MS"/>
          <w:sz w:val="20"/>
          <w:szCs w:val="20"/>
        </w:rPr>
        <w:t>.</w:t>
      </w:r>
      <w:r w:rsidR="004149DC">
        <w:rPr>
          <w:rFonts w:ascii="Trebuchet MS" w:eastAsiaTheme="minorHAnsi" w:hAnsi="Trebuchet MS"/>
          <w:sz w:val="20"/>
          <w:szCs w:val="20"/>
        </w:rPr>
        <w:t>6</w:t>
      </w:r>
      <w:r w:rsidR="009A3AE7" w:rsidRPr="003B7012">
        <w:rPr>
          <w:rFonts w:ascii="Trebuchet MS" w:eastAsiaTheme="minorHAnsi" w:hAnsi="Trebuchet MS"/>
          <w:sz w:val="20"/>
          <w:szCs w:val="20"/>
        </w:rPr>
        <w:t xml:space="preserve">; </w:t>
      </w:r>
      <w:r w:rsidR="002F49DB">
        <w:rPr>
          <w:rFonts w:ascii="Trebuchet MS" w:eastAsiaTheme="minorHAnsi" w:hAnsi="Trebuchet MS"/>
          <w:sz w:val="20"/>
          <w:szCs w:val="20"/>
        </w:rPr>
        <w:t>1</w:t>
      </w:r>
      <w:r w:rsidR="009A3AE7" w:rsidRPr="003B7012">
        <w:rPr>
          <w:rFonts w:ascii="Trebuchet MS" w:eastAsiaTheme="minorHAnsi" w:hAnsi="Trebuchet MS"/>
          <w:sz w:val="20"/>
          <w:szCs w:val="20"/>
        </w:rPr>
        <w:t>.</w:t>
      </w:r>
      <w:r w:rsidR="004149DC">
        <w:rPr>
          <w:rFonts w:ascii="Trebuchet MS" w:eastAsiaTheme="minorHAnsi" w:hAnsi="Trebuchet MS"/>
          <w:sz w:val="20"/>
          <w:szCs w:val="20"/>
        </w:rPr>
        <w:t>7</w:t>
      </w:r>
      <w:r w:rsidR="009A3AE7" w:rsidRPr="003B7012">
        <w:rPr>
          <w:rFonts w:ascii="Trebuchet MS" w:eastAsiaTheme="minorHAnsi" w:hAnsi="Trebuchet MS"/>
          <w:sz w:val="20"/>
          <w:szCs w:val="20"/>
        </w:rPr>
        <w:t>)</w:t>
      </w:r>
      <w:r w:rsidRPr="003B7012">
        <w:rPr>
          <w:rFonts w:ascii="Trebuchet MS" w:eastAsiaTheme="minorHAnsi" w:hAnsi="Trebuchet MS"/>
          <w:sz w:val="20"/>
          <w:szCs w:val="20"/>
        </w:rPr>
        <w:t xml:space="preserve"> (Raval </w:t>
      </w:r>
      <w:r w:rsidR="00F96813" w:rsidRPr="003B7012">
        <w:rPr>
          <w:rFonts w:ascii="Trebuchet MS" w:eastAsiaTheme="minorHAnsi" w:hAnsi="Trebuchet MS"/>
          <w:i/>
          <w:sz w:val="20"/>
          <w:szCs w:val="20"/>
        </w:rPr>
        <w:t>et al.</w:t>
      </w:r>
      <w:r w:rsidRPr="003B7012">
        <w:rPr>
          <w:rFonts w:ascii="Trebuchet MS" w:eastAsiaTheme="minorHAnsi" w:hAnsi="Trebuchet MS"/>
          <w:i/>
          <w:sz w:val="20"/>
          <w:szCs w:val="20"/>
        </w:rPr>
        <w:t>,</w:t>
      </w:r>
      <w:r w:rsidR="00FB052C">
        <w:rPr>
          <w:rFonts w:ascii="Trebuchet MS" w:eastAsiaTheme="minorHAnsi" w:hAnsi="Trebuchet MS"/>
          <w:sz w:val="20"/>
          <w:szCs w:val="20"/>
        </w:rPr>
        <w:t xml:space="preserve"> 2003). Outros e</w:t>
      </w:r>
      <w:r w:rsidR="00A06253" w:rsidRPr="003B7012">
        <w:rPr>
          <w:rFonts w:ascii="Trebuchet MS" w:eastAsiaTheme="minorHAnsi" w:hAnsi="Trebuchet MS"/>
          <w:sz w:val="20"/>
          <w:szCs w:val="20"/>
        </w:rPr>
        <w:t>studos sugerem que a activação do receptor NM</w:t>
      </w:r>
      <w:r w:rsidR="002C72F4">
        <w:rPr>
          <w:rFonts w:ascii="Trebuchet MS" w:eastAsiaTheme="minorHAnsi" w:hAnsi="Trebuchet MS"/>
          <w:sz w:val="20"/>
          <w:szCs w:val="20"/>
        </w:rPr>
        <w:t>DA</w:t>
      </w:r>
      <w:r w:rsidR="00B34A72">
        <w:rPr>
          <w:rFonts w:ascii="Trebuchet MS" w:eastAsiaTheme="minorHAnsi" w:hAnsi="Trebuchet MS"/>
          <w:sz w:val="20"/>
          <w:szCs w:val="20"/>
        </w:rPr>
        <w:t>,</w:t>
      </w:r>
      <w:r w:rsidR="002C72F4">
        <w:rPr>
          <w:rFonts w:ascii="Trebuchet MS" w:eastAsiaTheme="minorHAnsi" w:hAnsi="Trebuchet MS"/>
          <w:sz w:val="20"/>
          <w:szCs w:val="20"/>
        </w:rPr>
        <w:t xml:space="preserve"> necess</w:t>
      </w:r>
      <w:r w:rsidR="002C72F4">
        <w:rPr>
          <w:rFonts w:ascii="Trebuchet MS" w:eastAsiaTheme="minorHAnsi" w:hAnsi="Trebuchet MS"/>
          <w:sz w:val="20"/>
          <w:szCs w:val="20"/>
        </w:rPr>
        <w:t>á</w:t>
      </w:r>
      <w:r w:rsidR="002C72F4">
        <w:rPr>
          <w:rFonts w:ascii="Trebuchet MS" w:eastAsiaTheme="minorHAnsi" w:hAnsi="Trebuchet MS"/>
          <w:sz w:val="20"/>
          <w:szCs w:val="20"/>
        </w:rPr>
        <w:t>ria para IPC tardio</w:t>
      </w:r>
      <w:r w:rsidR="00B34A72">
        <w:rPr>
          <w:rFonts w:ascii="Trebuchet MS" w:eastAsiaTheme="minorHAnsi" w:hAnsi="Trebuchet MS"/>
          <w:sz w:val="20"/>
          <w:szCs w:val="20"/>
        </w:rPr>
        <w:t>,</w:t>
      </w:r>
      <w:r w:rsidR="00A06253" w:rsidRPr="003B7012">
        <w:rPr>
          <w:rFonts w:ascii="Trebuchet MS" w:eastAsiaTheme="minorHAnsi" w:hAnsi="Trebuchet MS"/>
          <w:sz w:val="20"/>
          <w:szCs w:val="20"/>
        </w:rPr>
        <w:t xml:space="preserve"> </w:t>
      </w:r>
      <w:r w:rsidR="00B34A72">
        <w:rPr>
          <w:rFonts w:ascii="Trebuchet MS" w:eastAsiaTheme="minorHAnsi" w:hAnsi="Trebuchet MS"/>
          <w:sz w:val="20"/>
          <w:szCs w:val="20"/>
        </w:rPr>
        <w:t>requer</w:t>
      </w:r>
      <w:r w:rsidR="00A06253" w:rsidRPr="003B7012">
        <w:rPr>
          <w:rFonts w:ascii="Trebuchet MS" w:eastAsiaTheme="minorHAnsi" w:hAnsi="Trebuchet MS"/>
          <w:sz w:val="20"/>
          <w:szCs w:val="20"/>
        </w:rPr>
        <w:t xml:space="preserve"> a síntese de proteínas (</w:t>
      </w:r>
      <w:r w:rsidR="004149DC">
        <w:rPr>
          <w:rFonts w:ascii="Trebuchet MS" w:eastAsiaTheme="minorHAnsi" w:hAnsi="Trebuchet MS"/>
          <w:sz w:val="20"/>
          <w:szCs w:val="20"/>
        </w:rPr>
        <w:t>Para revisão ver</w:t>
      </w:r>
      <w:r w:rsidR="00903460">
        <w:rPr>
          <w:rFonts w:ascii="Trebuchet MS" w:eastAsiaTheme="minorHAnsi" w:hAnsi="Trebuchet MS"/>
          <w:sz w:val="20"/>
          <w:szCs w:val="20"/>
        </w:rPr>
        <w:t xml:space="preserve"> </w:t>
      </w:r>
      <w:r w:rsidR="00A06253" w:rsidRPr="003B7012">
        <w:rPr>
          <w:rFonts w:ascii="Trebuchet MS" w:eastAsiaTheme="minorHAnsi" w:hAnsi="Trebuchet MS"/>
          <w:sz w:val="20"/>
          <w:szCs w:val="20"/>
        </w:rPr>
        <w:t>Huang, 2004).</w:t>
      </w:r>
    </w:p>
    <w:p w:rsidR="007D54AD" w:rsidRPr="00751D14" w:rsidRDefault="007D54AD" w:rsidP="007D54AD">
      <w:pPr>
        <w:spacing w:line="360" w:lineRule="auto"/>
        <w:jc w:val="center"/>
        <w:textAlignment w:val="top"/>
        <w:rPr>
          <w:rFonts w:ascii="Trebuchet MS" w:hAnsi="Trebuchet MS" w:cs="Arial"/>
          <w:lang w:eastAsia="pt-PT"/>
        </w:rPr>
      </w:pPr>
      <w:r w:rsidRPr="00751D14">
        <w:rPr>
          <w:rFonts w:ascii="Trebuchet MS" w:hAnsi="Trebuchet MS" w:cs="Arial"/>
          <w:noProof/>
          <w:lang w:eastAsia="pt-PT"/>
        </w:rPr>
        <w:drawing>
          <wp:inline distT="0" distB="0" distL="0" distR="0">
            <wp:extent cx="4856004" cy="3027561"/>
            <wp:effectExtent l="19050" t="0" r="1746" b="0"/>
            <wp:docPr id="44"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5" cstate="print"/>
                    <a:srcRect t="4311"/>
                    <a:stretch>
                      <a:fillRect/>
                    </a:stretch>
                  </pic:blipFill>
                  <pic:spPr bwMode="auto">
                    <a:xfrm>
                      <a:off x="0" y="0"/>
                      <a:ext cx="4864110" cy="3032615"/>
                    </a:xfrm>
                    <a:prstGeom prst="rect">
                      <a:avLst/>
                    </a:prstGeom>
                    <a:noFill/>
                    <a:ln w="9525">
                      <a:noFill/>
                      <a:miter lim="800000"/>
                      <a:headEnd/>
                      <a:tailEnd/>
                    </a:ln>
                  </pic:spPr>
                </pic:pic>
              </a:graphicData>
            </a:graphic>
          </wp:inline>
        </w:drawing>
      </w:r>
    </w:p>
    <w:p w:rsidR="007D54AD" w:rsidRPr="003B7012" w:rsidRDefault="007D54AD" w:rsidP="00622BDB">
      <w:pPr>
        <w:tabs>
          <w:tab w:val="left" w:pos="7513"/>
        </w:tabs>
        <w:ind w:left="709" w:right="848"/>
        <w:jc w:val="both"/>
        <w:textAlignment w:val="top"/>
        <w:rPr>
          <w:rFonts w:ascii="Trebuchet MS" w:eastAsiaTheme="minorHAnsi" w:hAnsi="Trebuchet MS" w:cs="AdvTT6120e2aa"/>
          <w:sz w:val="20"/>
          <w:szCs w:val="20"/>
        </w:rPr>
      </w:pPr>
      <w:r w:rsidRPr="00622BDB">
        <w:rPr>
          <w:rFonts w:ascii="Trebuchet MS" w:hAnsi="Trebuchet MS" w:cs="Arial"/>
          <w:sz w:val="18"/>
          <w:szCs w:val="20"/>
          <w:lang w:eastAsia="pt-PT"/>
        </w:rPr>
        <w:t>Fig.</w:t>
      </w:r>
      <w:r w:rsidR="002441ED">
        <w:rPr>
          <w:rFonts w:ascii="Trebuchet MS" w:hAnsi="Trebuchet MS" w:cs="Arial"/>
          <w:sz w:val="18"/>
          <w:szCs w:val="20"/>
          <w:lang w:eastAsia="pt-PT"/>
        </w:rPr>
        <w:t>1</w:t>
      </w:r>
      <w:r w:rsidRPr="00622BDB">
        <w:rPr>
          <w:rFonts w:ascii="Trebuchet MS" w:hAnsi="Trebuchet MS" w:cs="Arial"/>
          <w:sz w:val="18"/>
          <w:szCs w:val="20"/>
          <w:lang w:eastAsia="pt-PT"/>
        </w:rPr>
        <w:t>.</w:t>
      </w:r>
      <w:r w:rsidR="004149DC">
        <w:rPr>
          <w:rFonts w:ascii="Trebuchet MS" w:hAnsi="Trebuchet MS" w:cs="Arial"/>
          <w:sz w:val="18"/>
          <w:szCs w:val="20"/>
          <w:lang w:eastAsia="pt-PT"/>
        </w:rPr>
        <w:t>6</w:t>
      </w:r>
      <w:r w:rsidRPr="00622BDB">
        <w:rPr>
          <w:rFonts w:ascii="Trebuchet MS" w:hAnsi="Trebuchet MS" w:cs="Arial"/>
          <w:sz w:val="18"/>
          <w:szCs w:val="20"/>
          <w:lang w:eastAsia="pt-PT"/>
        </w:rPr>
        <w:t xml:space="preserve">. </w:t>
      </w:r>
      <w:r w:rsidRPr="00622BDB">
        <w:rPr>
          <w:rFonts w:ascii="Trebuchet MS" w:eastAsiaTheme="minorHAnsi" w:hAnsi="Trebuchet MS"/>
          <w:sz w:val="18"/>
          <w:szCs w:val="20"/>
        </w:rPr>
        <w:t>Esquema simplificado que descreve as vias de sinalização básica</w:t>
      </w:r>
      <w:r w:rsidR="00AB7098">
        <w:rPr>
          <w:rFonts w:ascii="Trebuchet MS" w:eastAsiaTheme="minorHAnsi" w:hAnsi="Trebuchet MS"/>
          <w:sz w:val="18"/>
          <w:szCs w:val="20"/>
        </w:rPr>
        <w:t>s</w:t>
      </w:r>
      <w:r w:rsidRPr="00622BDB">
        <w:rPr>
          <w:rFonts w:ascii="Trebuchet MS" w:eastAsiaTheme="minorHAnsi" w:hAnsi="Trebuchet MS"/>
          <w:sz w:val="18"/>
          <w:szCs w:val="20"/>
        </w:rPr>
        <w:t xml:space="preserve"> </w:t>
      </w:r>
      <w:r w:rsidR="00222E46">
        <w:rPr>
          <w:rFonts w:ascii="Trebuchet MS" w:eastAsiaTheme="minorHAnsi" w:hAnsi="Trebuchet MS"/>
          <w:sz w:val="18"/>
          <w:szCs w:val="20"/>
        </w:rPr>
        <w:t>envolvidas</w:t>
      </w:r>
      <w:r w:rsidRPr="00622BDB">
        <w:rPr>
          <w:rFonts w:ascii="Trebuchet MS" w:eastAsiaTheme="minorHAnsi" w:hAnsi="Trebuchet MS"/>
          <w:sz w:val="18"/>
          <w:szCs w:val="20"/>
        </w:rPr>
        <w:t xml:space="preserve"> no IPC </w:t>
      </w:r>
      <w:r w:rsidR="00222E46">
        <w:rPr>
          <w:rFonts w:ascii="Trebuchet MS" w:eastAsiaTheme="minorHAnsi" w:hAnsi="Trebuchet MS"/>
          <w:sz w:val="18"/>
          <w:szCs w:val="20"/>
        </w:rPr>
        <w:t xml:space="preserve">e na isquémia </w:t>
      </w:r>
      <w:r w:rsidRPr="00622BDB">
        <w:rPr>
          <w:rFonts w:ascii="Trebuchet MS" w:eastAsiaTheme="minorHAnsi" w:hAnsi="Trebuchet MS"/>
          <w:sz w:val="18"/>
          <w:szCs w:val="20"/>
        </w:rPr>
        <w:t>em mamíferos. O IPC desencadeia vias que incluem a activação dos receptores NMDA e de adenosina do tipo A</w:t>
      </w:r>
      <w:r w:rsidRPr="00B34674">
        <w:rPr>
          <w:rFonts w:ascii="Trebuchet MS" w:eastAsiaTheme="minorHAnsi" w:hAnsi="Trebuchet MS"/>
          <w:sz w:val="18"/>
          <w:szCs w:val="20"/>
          <w:vertAlign w:val="subscript"/>
        </w:rPr>
        <w:t>1</w:t>
      </w:r>
      <w:r w:rsidRPr="00622BDB">
        <w:rPr>
          <w:rFonts w:ascii="Trebuchet MS" w:eastAsiaTheme="minorHAnsi" w:hAnsi="Trebuchet MS"/>
          <w:sz w:val="18"/>
          <w:szCs w:val="20"/>
        </w:rPr>
        <w:t xml:space="preserve"> que, por sua vez, estão envolvidas na activação da isoforma </w:t>
      </w:r>
      <w:r w:rsidR="004D0DB7">
        <w:rPr>
          <w:rFonts w:ascii="Trebuchet MS" w:eastAsiaTheme="minorHAnsi" w:hAnsi="Trebuchet MS"/>
          <w:sz w:val="18"/>
          <w:szCs w:val="20"/>
        </w:rPr>
        <w:sym w:font="Symbol" w:char="F065"/>
      </w:r>
      <w:r w:rsidRPr="00622BDB">
        <w:rPr>
          <w:rFonts w:ascii="Trebuchet MS" w:eastAsiaTheme="minorHAnsi" w:hAnsi="Trebuchet MS"/>
          <w:sz w:val="18"/>
          <w:szCs w:val="20"/>
        </w:rPr>
        <w:t>PKC (</w:t>
      </w:r>
      <w:r w:rsidR="00222E46">
        <w:rPr>
          <w:rFonts w:ascii="Trebuchet MS" w:eastAsiaTheme="minorHAnsi" w:hAnsi="Trebuchet MS"/>
          <w:sz w:val="18"/>
          <w:szCs w:val="20"/>
        </w:rPr>
        <w:t>Cinase C de proteína do tipo epsilon</w:t>
      </w:r>
      <w:r w:rsidRPr="00622BDB">
        <w:rPr>
          <w:rFonts w:ascii="Trebuchet MS" w:eastAsiaTheme="minorHAnsi" w:hAnsi="Trebuchet MS"/>
          <w:sz w:val="18"/>
          <w:szCs w:val="20"/>
        </w:rPr>
        <w:t>). Esta via é conh</w:t>
      </w:r>
      <w:r w:rsidRPr="00622BDB">
        <w:rPr>
          <w:rFonts w:ascii="Trebuchet MS" w:eastAsiaTheme="minorHAnsi" w:hAnsi="Trebuchet MS"/>
          <w:sz w:val="18"/>
          <w:szCs w:val="20"/>
        </w:rPr>
        <w:t>e</w:t>
      </w:r>
      <w:r w:rsidRPr="00622BDB">
        <w:rPr>
          <w:rFonts w:ascii="Trebuchet MS" w:eastAsiaTheme="minorHAnsi" w:hAnsi="Trebuchet MS"/>
          <w:sz w:val="18"/>
          <w:szCs w:val="20"/>
        </w:rPr>
        <w:t>cida por proteger os neurónios de mamíferos da excitotoxicidade e contra a disfu</w:t>
      </w:r>
      <w:r w:rsidRPr="00622BDB">
        <w:rPr>
          <w:rFonts w:ascii="Trebuchet MS" w:eastAsiaTheme="minorHAnsi" w:hAnsi="Trebuchet MS"/>
          <w:sz w:val="18"/>
          <w:szCs w:val="20"/>
        </w:rPr>
        <w:t>n</w:t>
      </w:r>
      <w:r w:rsidRPr="00622BDB">
        <w:rPr>
          <w:rFonts w:ascii="Trebuchet MS" w:eastAsiaTheme="minorHAnsi" w:hAnsi="Trebuchet MS"/>
          <w:sz w:val="18"/>
          <w:szCs w:val="20"/>
        </w:rPr>
        <w:t>ção mitocondrial (</w:t>
      </w:r>
      <w:r w:rsidRPr="00622BDB">
        <w:rPr>
          <w:rFonts w:ascii="Trebuchet MS" w:eastAsiaTheme="minorHAnsi" w:hAnsi="Trebuchet MS" w:cs="AdvTT6120e2aa"/>
          <w:sz w:val="18"/>
          <w:szCs w:val="20"/>
        </w:rPr>
        <w:t>Adaptado de Pérez-Pinzón, 2007).</w:t>
      </w:r>
    </w:p>
    <w:p w:rsidR="00693D01" w:rsidRPr="00751D14" w:rsidRDefault="00262ABC" w:rsidP="00262ABC">
      <w:pPr>
        <w:spacing w:line="360" w:lineRule="auto"/>
        <w:jc w:val="center"/>
        <w:rPr>
          <w:rFonts w:ascii="Trebuchet MS" w:eastAsiaTheme="minorHAnsi" w:hAnsi="Trebuchet MS"/>
        </w:rPr>
      </w:pPr>
      <w:r w:rsidRPr="00751D14">
        <w:rPr>
          <w:rFonts w:ascii="Trebuchet MS" w:eastAsiaTheme="minorHAnsi" w:hAnsi="Trebuchet MS"/>
          <w:noProof/>
          <w:lang w:eastAsia="pt-PT"/>
        </w:rPr>
        <w:lastRenderedPageBreak/>
        <w:drawing>
          <wp:inline distT="0" distB="0" distL="0" distR="0">
            <wp:extent cx="4789659" cy="3534643"/>
            <wp:effectExtent l="19050" t="0" r="0" b="0"/>
            <wp:docPr id="45"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srcRect l="4075"/>
                    <a:stretch>
                      <a:fillRect/>
                    </a:stretch>
                  </pic:blipFill>
                  <pic:spPr bwMode="auto">
                    <a:xfrm>
                      <a:off x="0" y="0"/>
                      <a:ext cx="4803990" cy="3545219"/>
                    </a:xfrm>
                    <a:prstGeom prst="rect">
                      <a:avLst/>
                    </a:prstGeom>
                    <a:noFill/>
                    <a:ln w="9525">
                      <a:noFill/>
                      <a:miter lim="800000"/>
                      <a:headEnd/>
                      <a:tailEnd/>
                    </a:ln>
                  </pic:spPr>
                </pic:pic>
              </a:graphicData>
            </a:graphic>
          </wp:inline>
        </w:drawing>
      </w:r>
    </w:p>
    <w:p w:rsidR="004B202B" w:rsidRPr="00751D14" w:rsidRDefault="004B202B" w:rsidP="00622BDB">
      <w:pPr>
        <w:ind w:left="567" w:right="567"/>
        <w:jc w:val="both"/>
        <w:rPr>
          <w:rFonts w:ascii="Trebuchet MS" w:eastAsiaTheme="minorHAnsi" w:hAnsi="Trebuchet MS"/>
          <w:sz w:val="22"/>
          <w:szCs w:val="22"/>
        </w:rPr>
      </w:pPr>
      <w:r w:rsidRPr="003B7012">
        <w:rPr>
          <w:rFonts w:ascii="Trebuchet MS" w:eastAsiaTheme="minorHAnsi" w:hAnsi="Trebuchet MS"/>
          <w:sz w:val="18"/>
          <w:szCs w:val="22"/>
        </w:rPr>
        <w:t xml:space="preserve">Fig. </w:t>
      </w:r>
      <w:r w:rsidR="002441ED">
        <w:rPr>
          <w:rFonts w:ascii="Trebuchet MS" w:eastAsiaTheme="minorHAnsi" w:hAnsi="Trebuchet MS"/>
          <w:sz w:val="18"/>
          <w:szCs w:val="22"/>
        </w:rPr>
        <w:t>1</w:t>
      </w:r>
      <w:r w:rsidRPr="003B7012">
        <w:rPr>
          <w:rFonts w:ascii="Trebuchet MS" w:eastAsiaTheme="minorHAnsi" w:hAnsi="Trebuchet MS"/>
          <w:sz w:val="18"/>
          <w:szCs w:val="22"/>
        </w:rPr>
        <w:t>.</w:t>
      </w:r>
      <w:r w:rsidR="004149DC">
        <w:rPr>
          <w:rFonts w:ascii="Trebuchet MS" w:eastAsiaTheme="minorHAnsi" w:hAnsi="Trebuchet MS"/>
          <w:sz w:val="18"/>
          <w:szCs w:val="22"/>
        </w:rPr>
        <w:t>7</w:t>
      </w:r>
      <w:r w:rsidRPr="003B7012">
        <w:rPr>
          <w:rFonts w:ascii="Trebuchet MS" w:eastAsiaTheme="minorHAnsi" w:hAnsi="Trebuchet MS"/>
          <w:sz w:val="18"/>
          <w:szCs w:val="22"/>
        </w:rPr>
        <w:t xml:space="preserve">. Esquema simplificado que </w:t>
      </w:r>
      <w:r w:rsidR="00AB7098">
        <w:rPr>
          <w:rFonts w:ascii="Trebuchet MS" w:eastAsiaTheme="minorHAnsi" w:hAnsi="Trebuchet MS"/>
          <w:sz w:val="18"/>
          <w:szCs w:val="22"/>
        </w:rPr>
        <w:t>resume</w:t>
      </w:r>
      <w:r w:rsidRPr="003B7012">
        <w:rPr>
          <w:rFonts w:ascii="Trebuchet MS" w:eastAsiaTheme="minorHAnsi" w:hAnsi="Trebuchet MS"/>
          <w:sz w:val="18"/>
          <w:szCs w:val="22"/>
        </w:rPr>
        <w:t xml:space="preserve"> algumas vias básicas de sinalização envolvidas na neuroprotecção conferida pelo IPC cerebral. </w:t>
      </w:r>
      <w:r w:rsidR="00CB701A">
        <w:rPr>
          <w:rFonts w:ascii="Trebuchet MS" w:eastAsiaTheme="minorHAnsi" w:hAnsi="Trebuchet MS"/>
          <w:sz w:val="18"/>
          <w:szCs w:val="22"/>
        </w:rPr>
        <w:t>O IPC d</w:t>
      </w:r>
      <w:r w:rsidRPr="003B7012">
        <w:rPr>
          <w:rFonts w:ascii="Trebuchet MS" w:eastAsiaTheme="minorHAnsi" w:hAnsi="Trebuchet MS"/>
          <w:sz w:val="18"/>
          <w:szCs w:val="22"/>
        </w:rPr>
        <w:t>esencadeia vias que incluem act</w:t>
      </w:r>
      <w:r w:rsidRPr="003B7012">
        <w:rPr>
          <w:rFonts w:ascii="Trebuchet MS" w:eastAsiaTheme="minorHAnsi" w:hAnsi="Trebuchet MS"/>
          <w:sz w:val="18"/>
          <w:szCs w:val="22"/>
        </w:rPr>
        <w:t>i</w:t>
      </w:r>
      <w:r w:rsidRPr="003B7012">
        <w:rPr>
          <w:rFonts w:ascii="Trebuchet MS" w:eastAsiaTheme="minorHAnsi" w:hAnsi="Trebuchet MS"/>
          <w:sz w:val="18"/>
          <w:szCs w:val="22"/>
        </w:rPr>
        <w:t>vação de NMDA e A</w:t>
      </w:r>
      <w:r w:rsidRPr="00AB7098">
        <w:rPr>
          <w:rFonts w:ascii="Trebuchet MS" w:eastAsiaTheme="minorHAnsi" w:hAnsi="Trebuchet MS"/>
          <w:sz w:val="18"/>
          <w:szCs w:val="22"/>
          <w:vertAlign w:val="subscript"/>
        </w:rPr>
        <w:t>1</w:t>
      </w:r>
      <w:r w:rsidRPr="003B7012">
        <w:rPr>
          <w:rFonts w:ascii="Trebuchet MS" w:eastAsiaTheme="minorHAnsi" w:hAnsi="Trebuchet MS"/>
          <w:sz w:val="18"/>
          <w:szCs w:val="22"/>
        </w:rPr>
        <w:t>R</w:t>
      </w:r>
      <w:r w:rsidR="00AB7098">
        <w:rPr>
          <w:rFonts w:ascii="Trebuchet MS" w:eastAsiaTheme="minorHAnsi" w:hAnsi="Trebuchet MS"/>
          <w:sz w:val="18"/>
          <w:szCs w:val="22"/>
        </w:rPr>
        <w:t>s</w:t>
      </w:r>
      <w:r w:rsidRPr="003B7012">
        <w:rPr>
          <w:rFonts w:ascii="Trebuchet MS" w:eastAsiaTheme="minorHAnsi" w:hAnsi="Trebuchet MS"/>
          <w:sz w:val="18"/>
          <w:szCs w:val="22"/>
        </w:rPr>
        <w:t>, que por sua vez</w:t>
      </w:r>
      <w:r w:rsidR="00C8313D" w:rsidRPr="003B7012">
        <w:rPr>
          <w:rFonts w:ascii="Trebuchet MS" w:eastAsiaTheme="minorHAnsi" w:hAnsi="Trebuchet MS"/>
          <w:sz w:val="18"/>
          <w:szCs w:val="22"/>
        </w:rPr>
        <w:t>,</w:t>
      </w:r>
      <w:r w:rsidRPr="003B7012">
        <w:rPr>
          <w:rFonts w:ascii="Trebuchet MS" w:eastAsiaTheme="minorHAnsi" w:hAnsi="Trebuchet MS"/>
          <w:sz w:val="18"/>
          <w:szCs w:val="22"/>
        </w:rPr>
        <w:t xml:space="preserve"> estão envolvidas na </w:t>
      </w:r>
      <w:r w:rsidR="00C8313D" w:rsidRPr="003B7012">
        <w:rPr>
          <w:rFonts w:ascii="Trebuchet MS" w:eastAsiaTheme="minorHAnsi" w:hAnsi="Trebuchet MS"/>
          <w:sz w:val="18"/>
          <w:szCs w:val="22"/>
        </w:rPr>
        <w:t>activação</w:t>
      </w:r>
      <w:r w:rsidRPr="003B7012">
        <w:rPr>
          <w:rFonts w:ascii="Trebuchet MS" w:eastAsiaTheme="minorHAnsi" w:hAnsi="Trebuchet MS"/>
          <w:sz w:val="18"/>
          <w:szCs w:val="22"/>
        </w:rPr>
        <w:t xml:space="preserve"> de algumas vias de sinalização intracelular</w:t>
      </w:r>
      <w:r w:rsidR="00C8313D" w:rsidRPr="003B7012">
        <w:rPr>
          <w:rFonts w:ascii="Trebuchet MS" w:eastAsiaTheme="minorHAnsi" w:hAnsi="Trebuchet MS"/>
          <w:sz w:val="18"/>
          <w:szCs w:val="22"/>
        </w:rPr>
        <w:t>,</w:t>
      </w:r>
      <w:r w:rsidRPr="003B7012">
        <w:rPr>
          <w:rFonts w:ascii="Trebuchet MS" w:eastAsiaTheme="minorHAnsi" w:hAnsi="Trebuchet MS"/>
          <w:sz w:val="18"/>
          <w:szCs w:val="22"/>
        </w:rPr>
        <w:t xml:space="preserve"> tais como</w:t>
      </w:r>
      <w:r w:rsidR="00C8313D" w:rsidRPr="003B7012">
        <w:rPr>
          <w:rFonts w:ascii="Trebuchet MS" w:eastAsiaTheme="minorHAnsi" w:hAnsi="Trebuchet MS"/>
          <w:sz w:val="18"/>
          <w:szCs w:val="22"/>
        </w:rPr>
        <w:t>,</w:t>
      </w:r>
      <w:r w:rsidRPr="003B7012">
        <w:rPr>
          <w:rFonts w:ascii="Trebuchet MS" w:eastAsiaTheme="minorHAnsi" w:hAnsi="Trebuchet MS"/>
          <w:sz w:val="18"/>
          <w:szCs w:val="22"/>
        </w:rPr>
        <w:t xml:space="preserve"> </w:t>
      </w:r>
      <w:r w:rsidR="00A61D81" w:rsidRPr="003B7012">
        <w:rPr>
          <w:rFonts w:ascii="Trebuchet MS" w:eastAsiaTheme="minorHAnsi" w:hAnsi="Trebuchet MS"/>
          <w:sz w:val="18"/>
          <w:szCs w:val="22"/>
        </w:rPr>
        <w:t>cinases</w:t>
      </w:r>
      <w:r w:rsidR="00A61D81">
        <w:rPr>
          <w:rFonts w:ascii="Trebuchet MS" w:eastAsiaTheme="minorHAnsi" w:hAnsi="Trebuchet MS"/>
          <w:sz w:val="18"/>
          <w:szCs w:val="22"/>
        </w:rPr>
        <w:t xml:space="preserve"> de</w:t>
      </w:r>
      <w:r w:rsidR="00A61D81" w:rsidRPr="003B7012">
        <w:rPr>
          <w:rFonts w:ascii="Trebuchet MS" w:eastAsiaTheme="minorHAnsi" w:hAnsi="Trebuchet MS"/>
          <w:sz w:val="18"/>
          <w:szCs w:val="22"/>
        </w:rPr>
        <w:t xml:space="preserve"> </w:t>
      </w:r>
      <w:r w:rsidRPr="003B7012">
        <w:rPr>
          <w:rFonts w:ascii="Trebuchet MS" w:eastAsiaTheme="minorHAnsi" w:hAnsi="Trebuchet MS"/>
          <w:sz w:val="18"/>
          <w:szCs w:val="22"/>
        </w:rPr>
        <w:t>proteínas a</w:t>
      </w:r>
      <w:r w:rsidR="00C8313D" w:rsidRPr="003B7012">
        <w:rPr>
          <w:rFonts w:ascii="Trebuchet MS" w:eastAsiaTheme="minorHAnsi" w:hAnsi="Trebuchet MS"/>
          <w:sz w:val="18"/>
          <w:szCs w:val="22"/>
        </w:rPr>
        <w:t>c</w:t>
      </w:r>
      <w:r w:rsidRPr="003B7012">
        <w:rPr>
          <w:rFonts w:ascii="Trebuchet MS" w:eastAsiaTheme="minorHAnsi" w:hAnsi="Trebuchet MS"/>
          <w:sz w:val="18"/>
          <w:szCs w:val="22"/>
        </w:rPr>
        <w:t>tivadas por mitógen</w:t>
      </w:r>
      <w:r w:rsidR="00C8313D" w:rsidRPr="003B7012">
        <w:rPr>
          <w:rFonts w:ascii="Trebuchet MS" w:eastAsiaTheme="minorHAnsi" w:hAnsi="Trebuchet MS"/>
          <w:sz w:val="18"/>
          <w:szCs w:val="22"/>
        </w:rPr>
        <w:t>i</w:t>
      </w:r>
      <w:r w:rsidRPr="003B7012">
        <w:rPr>
          <w:rFonts w:ascii="Trebuchet MS" w:eastAsiaTheme="minorHAnsi" w:hAnsi="Trebuchet MS"/>
          <w:sz w:val="18"/>
          <w:szCs w:val="22"/>
        </w:rPr>
        <w:t xml:space="preserve">os (MAPKs), </w:t>
      </w:r>
      <w:r w:rsidR="00A61D81" w:rsidRPr="003B7012">
        <w:rPr>
          <w:rFonts w:ascii="Trebuchet MS" w:eastAsiaTheme="minorHAnsi" w:hAnsi="Trebuchet MS"/>
          <w:sz w:val="18"/>
          <w:szCs w:val="22"/>
        </w:rPr>
        <w:t xml:space="preserve">cinase C </w:t>
      </w:r>
      <w:r w:rsidR="00A61D81">
        <w:rPr>
          <w:rFonts w:ascii="Trebuchet MS" w:eastAsiaTheme="minorHAnsi" w:hAnsi="Trebuchet MS"/>
          <w:sz w:val="18"/>
          <w:szCs w:val="22"/>
        </w:rPr>
        <w:t xml:space="preserve">de </w:t>
      </w:r>
      <w:r w:rsidRPr="003B7012">
        <w:rPr>
          <w:rFonts w:ascii="Trebuchet MS" w:eastAsiaTheme="minorHAnsi" w:hAnsi="Trebuchet MS"/>
          <w:sz w:val="18"/>
          <w:szCs w:val="22"/>
        </w:rPr>
        <w:t>proteína (PKC), bcl-2, proteínas de choque térmico (HSPs), via da ubiquitina-prote</w:t>
      </w:r>
      <w:r w:rsidR="00C8313D" w:rsidRPr="003B7012">
        <w:rPr>
          <w:rFonts w:ascii="Trebuchet MS" w:eastAsiaTheme="minorHAnsi" w:hAnsi="Trebuchet MS"/>
          <w:sz w:val="18"/>
          <w:szCs w:val="22"/>
        </w:rPr>
        <w:t>o</w:t>
      </w:r>
      <w:r w:rsidRPr="003B7012">
        <w:rPr>
          <w:rFonts w:ascii="Trebuchet MS" w:eastAsiaTheme="minorHAnsi" w:hAnsi="Trebuchet MS"/>
          <w:sz w:val="18"/>
          <w:szCs w:val="22"/>
        </w:rPr>
        <w:t>ssoma e via autofágica-lisoss</w:t>
      </w:r>
      <w:r w:rsidR="00C8313D" w:rsidRPr="003B7012">
        <w:rPr>
          <w:rFonts w:ascii="Trebuchet MS" w:eastAsiaTheme="minorHAnsi" w:hAnsi="Trebuchet MS"/>
          <w:sz w:val="18"/>
          <w:szCs w:val="22"/>
        </w:rPr>
        <w:t>omal</w:t>
      </w:r>
      <w:r w:rsidR="001B6AEF" w:rsidRPr="003B7012">
        <w:rPr>
          <w:rFonts w:ascii="Trebuchet MS" w:eastAsiaTheme="minorHAnsi" w:hAnsi="Trebuchet MS"/>
          <w:sz w:val="18"/>
          <w:szCs w:val="22"/>
        </w:rPr>
        <w:t>. Receptor NMDA (</w:t>
      </w:r>
      <w:r w:rsidRPr="003B7012">
        <w:rPr>
          <w:rFonts w:ascii="Trebuchet MS" w:eastAsiaTheme="minorHAnsi" w:hAnsi="Trebuchet MS"/>
          <w:sz w:val="18"/>
          <w:szCs w:val="22"/>
        </w:rPr>
        <w:t>N-metil-D-aspartato</w:t>
      </w:r>
      <w:r w:rsidR="001B6AEF" w:rsidRPr="003B7012">
        <w:rPr>
          <w:rFonts w:ascii="Trebuchet MS" w:eastAsiaTheme="minorHAnsi" w:hAnsi="Trebuchet MS"/>
          <w:sz w:val="18"/>
          <w:szCs w:val="22"/>
        </w:rPr>
        <w:t>)</w:t>
      </w:r>
      <w:r w:rsidRPr="003B7012">
        <w:rPr>
          <w:rFonts w:ascii="Trebuchet MS" w:eastAsiaTheme="minorHAnsi" w:hAnsi="Trebuchet MS"/>
          <w:sz w:val="18"/>
          <w:szCs w:val="22"/>
        </w:rPr>
        <w:t xml:space="preserve">; NOS: </w:t>
      </w:r>
      <w:r w:rsidR="00A61D81">
        <w:rPr>
          <w:rFonts w:ascii="Trebuchet MS" w:eastAsiaTheme="minorHAnsi" w:hAnsi="Trebuchet MS"/>
          <w:sz w:val="18"/>
          <w:szCs w:val="22"/>
        </w:rPr>
        <w:t>sí</w:t>
      </w:r>
      <w:r w:rsidR="00A61D81">
        <w:rPr>
          <w:rFonts w:ascii="Trebuchet MS" w:eastAsiaTheme="minorHAnsi" w:hAnsi="Trebuchet MS"/>
          <w:sz w:val="18"/>
          <w:szCs w:val="22"/>
        </w:rPr>
        <w:t>n</w:t>
      </w:r>
      <w:r w:rsidR="00A61D81">
        <w:rPr>
          <w:rFonts w:ascii="Trebuchet MS" w:eastAsiaTheme="minorHAnsi" w:hAnsi="Trebuchet MS"/>
          <w:sz w:val="18"/>
          <w:szCs w:val="22"/>
        </w:rPr>
        <w:t xml:space="preserve">tase do </w:t>
      </w:r>
      <w:r w:rsidRPr="003B7012">
        <w:rPr>
          <w:rFonts w:ascii="Trebuchet MS" w:eastAsiaTheme="minorHAnsi" w:hAnsi="Trebuchet MS"/>
          <w:sz w:val="18"/>
          <w:szCs w:val="22"/>
        </w:rPr>
        <w:t>óxi</w:t>
      </w:r>
      <w:r w:rsidR="00A61D81">
        <w:rPr>
          <w:rFonts w:ascii="Trebuchet MS" w:eastAsiaTheme="minorHAnsi" w:hAnsi="Trebuchet MS"/>
          <w:sz w:val="18"/>
          <w:szCs w:val="22"/>
        </w:rPr>
        <w:t>do nítrico</w:t>
      </w:r>
      <w:r w:rsidRPr="003B7012">
        <w:rPr>
          <w:rFonts w:ascii="Trebuchet MS" w:eastAsiaTheme="minorHAnsi" w:hAnsi="Trebuchet MS"/>
          <w:sz w:val="18"/>
          <w:szCs w:val="22"/>
        </w:rPr>
        <w:t xml:space="preserve">; CREB: </w:t>
      </w:r>
      <w:r w:rsidR="00A61D81">
        <w:rPr>
          <w:rFonts w:ascii="Trebuchet MS" w:eastAsiaTheme="minorHAnsi" w:hAnsi="Trebuchet MS"/>
          <w:sz w:val="18"/>
          <w:szCs w:val="22"/>
        </w:rPr>
        <w:t>Proteína de ligação ao elemento reactivo ao AMP</w:t>
      </w:r>
      <w:r w:rsidRPr="003B7012">
        <w:rPr>
          <w:rFonts w:ascii="Trebuchet MS" w:eastAsiaTheme="minorHAnsi" w:hAnsi="Trebuchet MS"/>
          <w:sz w:val="18"/>
          <w:szCs w:val="22"/>
        </w:rPr>
        <w:t xml:space="preserve"> cíclico el</w:t>
      </w:r>
      <w:r w:rsidRPr="003B7012">
        <w:rPr>
          <w:rFonts w:ascii="Trebuchet MS" w:eastAsiaTheme="minorHAnsi" w:hAnsi="Trebuchet MS"/>
          <w:sz w:val="18"/>
          <w:szCs w:val="22"/>
        </w:rPr>
        <w:t>e</w:t>
      </w:r>
      <w:r w:rsidRPr="003B7012">
        <w:rPr>
          <w:rFonts w:ascii="Trebuchet MS" w:eastAsiaTheme="minorHAnsi" w:hAnsi="Trebuchet MS"/>
          <w:sz w:val="18"/>
          <w:szCs w:val="22"/>
        </w:rPr>
        <w:t>mento</w:t>
      </w:r>
      <w:r w:rsidR="00C8313D" w:rsidRPr="003B7012">
        <w:rPr>
          <w:rFonts w:ascii="Trebuchet MS" w:eastAsiaTheme="minorHAnsi" w:hAnsi="Trebuchet MS"/>
          <w:sz w:val="18"/>
          <w:szCs w:val="22"/>
        </w:rPr>
        <w:t xml:space="preserve"> responsável de ligação às proteínas</w:t>
      </w:r>
      <w:r w:rsidR="00966028">
        <w:rPr>
          <w:rFonts w:ascii="Trebuchet MS" w:eastAsiaTheme="minorHAnsi" w:hAnsi="Trebuchet MS"/>
          <w:sz w:val="18"/>
          <w:szCs w:val="22"/>
        </w:rPr>
        <w:t>; ROS:</w:t>
      </w:r>
      <w:r w:rsidRPr="003B7012">
        <w:rPr>
          <w:rFonts w:ascii="Trebuchet MS" w:eastAsiaTheme="minorHAnsi" w:hAnsi="Trebuchet MS"/>
          <w:sz w:val="18"/>
          <w:szCs w:val="22"/>
        </w:rPr>
        <w:t xml:space="preserve"> espécies </w:t>
      </w:r>
      <w:r w:rsidR="00C8313D" w:rsidRPr="003B7012">
        <w:rPr>
          <w:rFonts w:ascii="Trebuchet MS" w:eastAsiaTheme="minorHAnsi" w:hAnsi="Trebuchet MS"/>
          <w:sz w:val="18"/>
          <w:szCs w:val="22"/>
        </w:rPr>
        <w:t>reactivas</w:t>
      </w:r>
      <w:r w:rsidRPr="003B7012">
        <w:rPr>
          <w:rFonts w:ascii="Trebuchet MS" w:eastAsiaTheme="minorHAnsi" w:hAnsi="Trebuchet MS"/>
          <w:sz w:val="18"/>
          <w:szCs w:val="22"/>
        </w:rPr>
        <w:t xml:space="preserve"> de </w:t>
      </w:r>
      <w:r w:rsidR="00C8313D" w:rsidRPr="003B7012">
        <w:rPr>
          <w:rFonts w:ascii="Trebuchet MS" w:eastAsiaTheme="minorHAnsi" w:hAnsi="Trebuchet MS"/>
          <w:sz w:val="18"/>
          <w:szCs w:val="22"/>
        </w:rPr>
        <w:t>oxigénio</w:t>
      </w:r>
      <w:r w:rsidRPr="003B7012">
        <w:rPr>
          <w:rFonts w:ascii="Trebuchet MS" w:eastAsiaTheme="minorHAnsi" w:hAnsi="Trebuchet MS"/>
          <w:sz w:val="18"/>
          <w:szCs w:val="22"/>
        </w:rPr>
        <w:t xml:space="preserve"> (Adaptado de Liu </w:t>
      </w:r>
      <w:r w:rsidR="00F96813" w:rsidRPr="003B7012">
        <w:rPr>
          <w:rFonts w:ascii="Trebuchet MS" w:eastAsiaTheme="minorHAnsi" w:hAnsi="Trebuchet MS"/>
          <w:i/>
          <w:sz w:val="18"/>
          <w:szCs w:val="22"/>
        </w:rPr>
        <w:t>et al.</w:t>
      </w:r>
      <w:r w:rsidRPr="003B7012">
        <w:rPr>
          <w:rFonts w:ascii="Trebuchet MS" w:eastAsiaTheme="minorHAnsi" w:hAnsi="Trebuchet MS"/>
          <w:sz w:val="18"/>
          <w:szCs w:val="22"/>
        </w:rPr>
        <w:t xml:space="preserve">, 2000). </w:t>
      </w:r>
    </w:p>
    <w:p w:rsidR="009C4648" w:rsidRDefault="009C4648" w:rsidP="00AF12D7">
      <w:pPr>
        <w:spacing w:line="360" w:lineRule="auto"/>
        <w:jc w:val="both"/>
        <w:rPr>
          <w:rFonts w:ascii="Trebuchet MS" w:hAnsi="Trebuchet MS"/>
          <w:b/>
          <w:shadow/>
          <w:color w:val="333399"/>
          <w:sz w:val="28"/>
          <w:szCs w:val="28"/>
        </w:rPr>
      </w:pPr>
    </w:p>
    <w:p w:rsidR="00A1207A" w:rsidRDefault="00E8097D" w:rsidP="00B3286B">
      <w:pPr>
        <w:spacing w:line="480" w:lineRule="auto"/>
        <w:jc w:val="both"/>
        <w:rPr>
          <w:rFonts w:ascii="Trebuchet MS" w:hAnsi="Trebuchet MS"/>
          <w:b/>
          <w:smallCaps/>
          <w:shadow/>
          <w:color w:val="333399"/>
          <w:sz w:val="28"/>
          <w:szCs w:val="28"/>
        </w:rPr>
      </w:pPr>
      <w:r>
        <w:rPr>
          <w:rFonts w:ascii="Trebuchet MS" w:hAnsi="Trebuchet MS"/>
          <w:b/>
          <w:shadow/>
          <w:color w:val="333399"/>
          <w:sz w:val="28"/>
          <w:szCs w:val="28"/>
        </w:rPr>
        <w:t>1</w:t>
      </w:r>
      <w:r w:rsidR="00C0411D" w:rsidRPr="002861BA">
        <w:rPr>
          <w:rFonts w:ascii="Trebuchet MS" w:hAnsi="Trebuchet MS"/>
          <w:b/>
          <w:shadow/>
          <w:color w:val="333399"/>
          <w:sz w:val="28"/>
          <w:szCs w:val="28"/>
        </w:rPr>
        <w:t>.</w:t>
      </w:r>
      <w:r w:rsidR="004B0FE4">
        <w:rPr>
          <w:rFonts w:ascii="Trebuchet MS" w:hAnsi="Trebuchet MS"/>
          <w:b/>
          <w:shadow/>
          <w:color w:val="333399"/>
          <w:sz w:val="28"/>
          <w:szCs w:val="28"/>
        </w:rPr>
        <w:t>4</w:t>
      </w:r>
      <w:r w:rsidR="00C0411D" w:rsidRPr="002861BA">
        <w:rPr>
          <w:rFonts w:ascii="Trebuchet MS" w:hAnsi="Trebuchet MS"/>
          <w:b/>
          <w:shadow/>
          <w:color w:val="333399"/>
          <w:sz w:val="28"/>
          <w:szCs w:val="28"/>
        </w:rPr>
        <w:t xml:space="preserve">. </w:t>
      </w:r>
      <w:r w:rsidR="00C0411D" w:rsidRPr="002861BA">
        <w:rPr>
          <w:rFonts w:ascii="Trebuchet MS" w:hAnsi="Trebuchet MS"/>
          <w:b/>
          <w:smallCaps/>
          <w:shadow/>
          <w:color w:val="333399"/>
          <w:sz w:val="28"/>
          <w:szCs w:val="28"/>
        </w:rPr>
        <w:t>Metodologias</w:t>
      </w:r>
      <w:r w:rsidR="00A80388">
        <w:rPr>
          <w:rFonts w:ascii="Trebuchet MS" w:hAnsi="Trebuchet MS"/>
          <w:b/>
          <w:smallCaps/>
          <w:shadow/>
          <w:color w:val="333399"/>
          <w:sz w:val="28"/>
          <w:szCs w:val="28"/>
        </w:rPr>
        <w:t xml:space="preserve"> utilizadas no </w:t>
      </w:r>
      <w:r w:rsidR="004E279D">
        <w:rPr>
          <w:rFonts w:ascii="Trebuchet MS" w:hAnsi="Trebuchet MS"/>
          <w:b/>
          <w:smallCaps/>
          <w:shadow/>
          <w:color w:val="333399"/>
          <w:sz w:val="28"/>
          <w:szCs w:val="28"/>
        </w:rPr>
        <w:t xml:space="preserve">estudo do </w:t>
      </w:r>
      <w:r w:rsidR="00367675">
        <w:rPr>
          <w:rFonts w:ascii="Trebuchet MS" w:hAnsi="Trebuchet MS"/>
          <w:b/>
          <w:smallCaps/>
          <w:shadow/>
          <w:color w:val="333399"/>
          <w:sz w:val="28"/>
          <w:szCs w:val="28"/>
        </w:rPr>
        <w:t>Pré-Condicionamento</w:t>
      </w:r>
    </w:p>
    <w:p w:rsidR="00E81780" w:rsidRPr="003B7012" w:rsidRDefault="006C50E4" w:rsidP="00BE03DC">
      <w:pPr>
        <w:spacing w:line="480" w:lineRule="auto"/>
        <w:jc w:val="both"/>
        <w:rPr>
          <w:rFonts w:ascii="Trebuchet MS" w:hAnsi="Trebuchet MS"/>
          <w:sz w:val="20"/>
          <w:szCs w:val="20"/>
        </w:rPr>
      </w:pPr>
      <w:r w:rsidRPr="00751D14">
        <w:rPr>
          <w:rFonts w:ascii="Trebuchet MS" w:eastAsiaTheme="minorHAnsi" w:hAnsi="Trebuchet MS" w:cstheme="minorBidi"/>
          <w:b/>
          <w:smallCaps/>
          <w:shadow/>
          <w:sz w:val="20"/>
        </w:rPr>
        <w:t xml:space="preserve">    </w:t>
      </w:r>
      <w:r w:rsidR="00C54B9F" w:rsidRPr="003B7012">
        <w:rPr>
          <w:rFonts w:ascii="Trebuchet MS" w:eastAsiaTheme="minorHAnsi" w:hAnsi="Trebuchet MS" w:cstheme="minorBidi"/>
          <w:b/>
          <w:smallCaps/>
          <w:shadow/>
          <w:sz w:val="20"/>
          <w:szCs w:val="20"/>
        </w:rPr>
        <w:sym w:font="Wingdings" w:char="F0D6"/>
      </w:r>
      <w:r w:rsidR="00C54B9F" w:rsidRPr="003B7012">
        <w:rPr>
          <w:rFonts w:ascii="Trebuchet MS" w:eastAsiaTheme="minorHAnsi" w:hAnsi="Trebuchet MS" w:cstheme="minorBidi"/>
          <w:b/>
          <w:smallCaps/>
          <w:shadow/>
          <w:sz w:val="20"/>
          <w:szCs w:val="20"/>
          <w:u w:val="single"/>
        </w:rPr>
        <w:t>Modelo</w:t>
      </w:r>
      <w:r w:rsidR="00162644" w:rsidRPr="003B7012">
        <w:rPr>
          <w:rFonts w:ascii="Trebuchet MS" w:eastAsiaTheme="minorHAnsi" w:hAnsi="Trebuchet MS" w:cstheme="minorBidi"/>
          <w:b/>
          <w:smallCaps/>
          <w:shadow/>
          <w:sz w:val="20"/>
          <w:szCs w:val="20"/>
          <w:u w:val="single"/>
        </w:rPr>
        <w:t>s experimentais</w:t>
      </w:r>
      <w:r w:rsidR="00C54B9F" w:rsidRPr="003B7012">
        <w:rPr>
          <w:rFonts w:ascii="Trebuchet MS" w:eastAsiaTheme="minorHAnsi" w:hAnsi="Trebuchet MS" w:cstheme="minorBidi"/>
          <w:b/>
          <w:smallCaps/>
          <w:shadow/>
          <w:sz w:val="20"/>
          <w:szCs w:val="20"/>
          <w:u w:val="single"/>
        </w:rPr>
        <w:t xml:space="preserve"> de isquémia cerebral </w:t>
      </w:r>
      <w:r w:rsidR="00194A32" w:rsidRPr="003B7012">
        <w:rPr>
          <w:rFonts w:ascii="Trebuchet MS" w:eastAsiaTheme="minorHAnsi" w:hAnsi="Trebuchet MS" w:cstheme="minorBidi"/>
          <w:b/>
          <w:i/>
          <w:smallCaps/>
          <w:shadow/>
          <w:sz w:val="20"/>
          <w:szCs w:val="20"/>
          <w:u w:val="single"/>
        </w:rPr>
        <w:t xml:space="preserve">in </w:t>
      </w:r>
      <w:proofErr w:type="gramStart"/>
      <w:r w:rsidR="00194A32" w:rsidRPr="003B7012">
        <w:rPr>
          <w:rFonts w:ascii="Trebuchet MS" w:eastAsiaTheme="minorHAnsi" w:hAnsi="Trebuchet MS" w:cstheme="minorBidi"/>
          <w:b/>
          <w:i/>
          <w:smallCaps/>
          <w:shadow/>
          <w:sz w:val="20"/>
          <w:szCs w:val="20"/>
          <w:u w:val="single"/>
        </w:rPr>
        <w:t xml:space="preserve">vitro </w:t>
      </w:r>
      <w:r w:rsidR="00C54B9F" w:rsidRPr="003B7012">
        <w:rPr>
          <w:rFonts w:ascii="Trebuchet MS" w:eastAsiaTheme="minorHAnsi" w:hAnsi="Trebuchet MS" w:cstheme="minorBidi"/>
          <w:b/>
          <w:smallCaps/>
          <w:shadow/>
          <w:sz w:val="20"/>
          <w:szCs w:val="20"/>
          <w:u w:val="single"/>
        </w:rPr>
        <w:t xml:space="preserve"> </w:t>
      </w:r>
      <w:r w:rsidR="003268AA" w:rsidRPr="003268AA">
        <w:rPr>
          <w:rFonts w:ascii="Trebuchet MS" w:eastAsiaTheme="minorHAnsi" w:hAnsi="Trebuchet MS" w:cstheme="minorBidi"/>
          <w:b/>
          <w:i/>
          <w:smallCaps/>
          <w:shadow/>
          <w:sz w:val="20"/>
          <w:szCs w:val="20"/>
          <w:u w:val="single"/>
        </w:rPr>
        <w:t>versus</w:t>
      </w:r>
      <w:proofErr w:type="gramEnd"/>
      <w:r w:rsidR="00C54B9F" w:rsidRPr="003B7012">
        <w:rPr>
          <w:rFonts w:ascii="Trebuchet MS" w:eastAsiaTheme="minorHAnsi" w:hAnsi="Trebuchet MS" w:cstheme="minorBidi"/>
          <w:b/>
          <w:i/>
          <w:smallCaps/>
          <w:shadow/>
          <w:sz w:val="20"/>
          <w:szCs w:val="20"/>
          <w:u w:val="single"/>
        </w:rPr>
        <w:t xml:space="preserve"> </w:t>
      </w:r>
      <w:r w:rsidR="00C54B9F" w:rsidRPr="003B7012">
        <w:rPr>
          <w:rFonts w:ascii="Trebuchet MS" w:eastAsiaTheme="minorHAnsi" w:hAnsi="Trebuchet MS" w:cstheme="minorBidi"/>
          <w:b/>
          <w:smallCaps/>
          <w:shadow/>
          <w:sz w:val="20"/>
          <w:szCs w:val="20"/>
          <w:u w:val="single"/>
        </w:rPr>
        <w:t xml:space="preserve"> </w:t>
      </w:r>
      <w:r w:rsidR="00194A32" w:rsidRPr="003B7012">
        <w:rPr>
          <w:rFonts w:ascii="Trebuchet MS" w:eastAsiaTheme="minorHAnsi" w:hAnsi="Trebuchet MS" w:cstheme="minorBidi"/>
          <w:b/>
          <w:i/>
          <w:smallCaps/>
          <w:shadow/>
          <w:sz w:val="20"/>
          <w:szCs w:val="20"/>
          <w:u w:val="single"/>
        </w:rPr>
        <w:t xml:space="preserve">in vivo </w:t>
      </w:r>
    </w:p>
    <w:p w:rsidR="00BE03DC" w:rsidRPr="003B7012" w:rsidRDefault="00BE03DC" w:rsidP="00BE03DC">
      <w:pPr>
        <w:autoSpaceDE w:val="0"/>
        <w:autoSpaceDN w:val="0"/>
        <w:adjustRightInd w:val="0"/>
        <w:spacing w:line="360" w:lineRule="auto"/>
        <w:ind w:firstLine="708"/>
        <w:jc w:val="both"/>
        <w:rPr>
          <w:rFonts w:ascii="Trebuchet MS" w:eastAsiaTheme="minorHAnsi" w:hAnsi="Trebuchet MS" w:cs="AdvTT5843c571"/>
          <w:sz w:val="20"/>
          <w:szCs w:val="20"/>
        </w:rPr>
      </w:pPr>
      <w:r w:rsidRPr="003B7012">
        <w:rPr>
          <w:rFonts w:ascii="Trebuchet MS" w:eastAsiaTheme="minorHAnsi" w:hAnsi="Trebuchet MS" w:cs="AdvTT5843c571"/>
          <w:sz w:val="20"/>
          <w:szCs w:val="20"/>
        </w:rPr>
        <w:t>As propriedades neuroprotectoras do IPC têm sido bem estabelecidas em vários mod</w:t>
      </w:r>
      <w:r w:rsidRPr="003B7012">
        <w:rPr>
          <w:rFonts w:ascii="Trebuchet MS" w:eastAsiaTheme="minorHAnsi" w:hAnsi="Trebuchet MS" w:cs="AdvTT5843c571"/>
          <w:sz w:val="20"/>
          <w:szCs w:val="20"/>
        </w:rPr>
        <w:t>e</w:t>
      </w:r>
      <w:r w:rsidRPr="003B7012">
        <w:rPr>
          <w:rFonts w:ascii="Trebuchet MS" w:eastAsiaTheme="minorHAnsi" w:hAnsi="Trebuchet MS" w:cs="AdvTT5843c571"/>
          <w:sz w:val="20"/>
          <w:szCs w:val="20"/>
        </w:rPr>
        <w:t xml:space="preserve">los de isquémia cerebral, </w:t>
      </w:r>
      <w:r w:rsidR="00194A32" w:rsidRPr="003B7012">
        <w:rPr>
          <w:rFonts w:ascii="Trebuchet MS" w:eastAsiaTheme="minorHAnsi" w:hAnsi="Trebuchet MS" w:cs="AdvTT5843c571"/>
          <w:i/>
          <w:sz w:val="20"/>
          <w:szCs w:val="20"/>
          <w:u w:val="single"/>
        </w:rPr>
        <w:t>in vivo</w:t>
      </w:r>
      <w:r w:rsidRPr="003B7012">
        <w:rPr>
          <w:rFonts w:ascii="Trebuchet MS" w:eastAsiaTheme="minorHAnsi" w:hAnsi="Trebuchet MS" w:cs="AdvTT5843c571"/>
          <w:sz w:val="20"/>
          <w:szCs w:val="20"/>
          <w:u w:val="single"/>
        </w:rPr>
        <w:t xml:space="preserve"> e </w:t>
      </w:r>
      <w:proofErr w:type="gramStart"/>
      <w:r w:rsidR="00194A32" w:rsidRPr="003B7012">
        <w:rPr>
          <w:rFonts w:ascii="Trebuchet MS" w:eastAsiaTheme="minorHAnsi" w:hAnsi="Trebuchet MS" w:cs="AdvTT5843c571"/>
          <w:i/>
          <w:sz w:val="20"/>
          <w:szCs w:val="20"/>
          <w:u w:val="single"/>
        </w:rPr>
        <w:t>in vitro</w:t>
      </w:r>
      <w:proofErr w:type="gramEnd"/>
      <w:r w:rsidR="00AD6BC8" w:rsidRPr="003B7012">
        <w:rPr>
          <w:rFonts w:ascii="Trebuchet MS" w:eastAsiaTheme="minorHAnsi" w:hAnsi="Trebuchet MS" w:cs="AdvTT5843c571"/>
          <w:i/>
          <w:sz w:val="20"/>
          <w:szCs w:val="20"/>
        </w:rPr>
        <w:t xml:space="preserve"> </w:t>
      </w:r>
      <w:r w:rsidRPr="003B7012">
        <w:rPr>
          <w:rFonts w:ascii="Trebuchet MS" w:eastAsiaTheme="minorHAnsi" w:hAnsi="Trebuchet MS"/>
          <w:sz w:val="20"/>
          <w:szCs w:val="20"/>
        </w:rPr>
        <w:t xml:space="preserve">(Xu </w:t>
      </w:r>
      <w:r w:rsidR="00F96813" w:rsidRPr="003B7012">
        <w:rPr>
          <w:rFonts w:ascii="Trebuchet MS" w:eastAsiaTheme="minorHAnsi" w:hAnsi="Trebuchet MS"/>
          <w:i/>
          <w:sz w:val="20"/>
          <w:szCs w:val="20"/>
        </w:rPr>
        <w:t>et al.</w:t>
      </w:r>
      <w:r w:rsidRPr="003B7012">
        <w:rPr>
          <w:rFonts w:ascii="Trebuchet MS" w:eastAsiaTheme="minorHAnsi" w:hAnsi="Trebuchet MS"/>
          <w:sz w:val="20"/>
          <w:szCs w:val="20"/>
        </w:rPr>
        <w:t>, 2002).</w:t>
      </w:r>
    </w:p>
    <w:p w:rsidR="00BE03DC" w:rsidRPr="003B7012" w:rsidRDefault="00BE03DC" w:rsidP="00BE03DC">
      <w:pPr>
        <w:autoSpaceDE w:val="0"/>
        <w:autoSpaceDN w:val="0"/>
        <w:adjustRightInd w:val="0"/>
        <w:spacing w:line="360" w:lineRule="auto"/>
        <w:ind w:firstLine="708"/>
        <w:jc w:val="both"/>
        <w:rPr>
          <w:rFonts w:ascii="Trebuchet MS" w:eastAsiaTheme="minorHAnsi" w:hAnsi="Trebuchet MS" w:cs="AdvTT5843c571"/>
          <w:sz w:val="20"/>
          <w:szCs w:val="20"/>
        </w:rPr>
      </w:pPr>
      <w:r w:rsidRPr="003B7012">
        <w:rPr>
          <w:rFonts w:ascii="Trebuchet MS" w:eastAsiaTheme="minorHAnsi" w:hAnsi="Trebuchet MS" w:cs="AdvTT5843c571"/>
          <w:sz w:val="20"/>
          <w:szCs w:val="20"/>
        </w:rPr>
        <w:t xml:space="preserve">O ATP diminui </w:t>
      </w:r>
      <w:r w:rsidR="005D1E96">
        <w:rPr>
          <w:rFonts w:ascii="Trebuchet MS" w:eastAsiaTheme="minorHAnsi" w:hAnsi="Trebuchet MS" w:cs="AdvTT5843c571"/>
          <w:sz w:val="20"/>
          <w:szCs w:val="20"/>
        </w:rPr>
        <w:t>mais</w:t>
      </w:r>
      <w:r w:rsidRPr="003B7012">
        <w:rPr>
          <w:rFonts w:ascii="Trebuchet MS" w:eastAsiaTheme="minorHAnsi" w:hAnsi="Trebuchet MS" w:cs="AdvTT5843c571"/>
          <w:sz w:val="20"/>
          <w:szCs w:val="20"/>
        </w:rPr>
        <w:t xml:space="preserve"> durante a isquémia </w:t>
      </w:r>
      <w:proofErr w:type="gramStart"/>
      <w:r w:rsidR="00194A32" w:rsidRPr="003B7012">
        <w:rPr>
          <w:rFonts w:ascii="Trebuchet MS" w:eastAsiaTheme="minorHAnsi" w:hAnsi="Trebuchet MS" w:cs="AdvTT5843c571"/>
          <w:i/>
          <w:sz w:val="20"/>
          <w:szCs w:val="20"/>
        </w:rPr>
        <w:t>in vitro</w:t>
      </w:r>
      <w:proofErr w:type="gramEnd"/>
      <w:r w:rsidR="001B6AEF" w:rsidRPr="003B7012">
        <w:rPr>
          <w:rFonts w:ascii="Trebuchet MS" w:eastAsiaTheme="minorHAnsi" w:hAnsi="Trebuchet MS" w:cs="AdvTT5843c571"/>
          <w:i/>
          <w:sz w:val="20"/>
          <w:szCs w:val="20"/>
        </w:rPr>
        <w:t xml:space="preserve"> </w:t>
      </w:r>
      <w:r w:rsidRPr="003B7012">
        <w:rPr>
          <w:rFonts w:ascii="Trebuchet MS" w:eastAsiaTheme="minorHAnsi" w:hAnsi="Trebuchet MS" w:cs="AdvTT5843c571"/>
          <w:sz w:val="20"/>
          <w:szCs w:val="20"/>
        </w:rPr>
        <w:t>do que durante a isquémia global</w:t>
      </w:r>
      <w:r w:rsidR="00CF3025">
        <w:rPr>
          <w:rFonts w:ascii="Trebuchet MS" w:eastAsiaTheme="minorHAnsi" w:hAnsi="Trebuchet MS" w:cs="AdvTT5843c571"/>
          <w:sz w:val="20"/>
          <w:szCs w:val="20"/>
        </w:rPr>
        <w:t xml:space="preserve"> </w:t>
      </w:r>
      <w:r w:rsidR="00CF3025" w:rsidRPr="00CF3025">
        <w:rPr>
          <w:rFonts w:ascii="Trebuchet MS" w:eastAsiaTheme="minorHAnsi" w:hAnsi="Trebuchet MS" w:cs="AdvTT5843c571"/>
          <w:sz w:val="20"/>
          <w:szCs w:val="20"/>
        </w:rPr>
        <w:t>(</w:t>
      </w:r>
      <w:r w:rsidR="00CF3025" w:rsidRPr="00CF3025">
        <w:rPr>
          <w:rFonts w:ascii="Trebuchet MS" w:eastAsiaTheme="minorHAnsi" w:hAnsi="Trebuchet MS" w:cs="AdvTT5843c571"/>
          <w:i/>
          <w:sz w:val="20"/>
          <w:szCs w:val="20"/>
        </w:rPr>
        <w:t>in vivo</w:t>
      </w:r>
      <w:r w:rsidR="00CF3025" w:rsidRPr="00CF3025">
        <w:rPr>
          <w:rFonts w:ascii="Trebuchet MS" w:eastAsiaTheme="minorHAnsi" w:hAnsi="Trebuchet MS" w:cs="AdvTT5843c571"/>
          <w:sz w:val="20"/>
          <w:szCs w:val="20"/>
        </w:rPr>
        <w:t>)</w:t>
      </w:r>
      <w:r w:rsidR="00CF3025">
        <w:rPr>
          <w:rFonts w:ascii="Trebuchet MS" w:eastAsiaTheme="minorHAnsi" w:hAnsi="Trebuchet MS" w:cs="AdvTT5843c571"/>
          <w:i/>
          <w:sz w:val="20"/>
          <w:szCs w:val="20"/>
        </w:rPr>
        <w:t xml:space="preserve"> </w:t>
      </w:r>
      <w:r w:rsidRPr="003B7012">
        <w:rPr>
          <w:rFonts w:ascii="Trebuchet MS" w:eastAsiaTheme="minorHAnsi" w:hAnsi="Trebuchet MS" w:cs="AdvTT5843c571"/>
          <w:sz w:val="20"/>
          <w:szCs w:val="20"/>
        </w:rPr>
        <w:t>e diminuiu mais lentamente na presença de glucose (</w:t>
      </w:r>
      <w:r w:rsidR="004149DC">
        <w:rPr>
          <w:rFonts w:ascii="Trebuchet MS" w:eastAsiaTheme="minorHAnsi" w:hAnsi="Trebuchet MS" w:cs="AdvTT5843c571"/>
          <w:sz w:val="20"/>
          <w:szCs w:val="20"/>
        </w:rPr>
        <w:t>Para revisão ver</w:t>
      </w:r>
      <w:r w:rsidRPr="003B7012">
        <w:rPr>
          <w:rFonts w:ascii="Trebuchet MS" w:eastAsiaTheme="minorHAnsi" w:hAnsi="Trebuchet MS" w:cs="AdvTT5843c571"/>
          <w:sz w:val="20"/>
          <w:szCs w:val="20"/>
        </w:rPr>
        <w:t xml:space="preserve"> Lipton, 1999).</w:t>
      </w:r>
    </w:p>
    <w:p w:rsidR="004D521D" w:rsidRPr="00C65DA3" w:rsidRDefault="00BE03DC" w:rsidP="004D521D">
      <w:pPr>
        <w:spacing w:line="360" w:lineRule="auto"/>
        <w:ind w:firstLine="708"/>
        <w:jc w:val="both"/>
        <w:rPr>
          <w:rFonts w:ascii="Trebuchet MS" w:eastAsiaTheme="minorHAnsi" w:hAnsi="Trebuchet MS" w:cstheme="minorBidi"/>
          <w:sz w:val="20"/>
        </w:rPr>
      </w:pPr>
      <w:r w:rsidRPr="003B7012">
        <w:rPr>
          <w:rFonts w:ascii="Trebuchet MS" w:eastAsiaTheme="minorHAnsi" w:hAnsi="Trebuchet MS" w:cs="AdvTT5843c571"/>
          <w:sz w:val="20"/>
          <w:szCs w:val="20"/>
        </w:rPr>
        <w:t xml:space="preserve">Os </w:t>
      </w:r>
      <w:r w:rsidRPr="003B7012">
        <w:rPr>
          <w:rFonts w:ascii="Trebuchet MS" w:eastAsiaTheme="minorHAnsi" w:hAnsi="Trebuchet MS" w:cs="AdvTT5843c571"/>
          <w:b/>
          <w:sz w:val="20"/>
          <w:szCs w:val="20"/>
        </w:rPr>
        <w:t xml:space="preserve">modelos </w:t>
      </w:r>
      <w:proofErr w:type="gramStart"/>
      <w:r w:rsidR="00194A32" w:rsidRPr="003B7012">
        <w:rPr>
          <w:rFonts w:ascii="Trebuchet MS" w:eastAsiaTheme="minorHAnsi" w:hAnsi="Trebuchet MS" w:cs="AdvTT5843c571"/>
          <w:b/>
          <w:i/>
          <w:sz w:val="20"/>
          <w:szCs w:val="20"/>
        </w:rPr>
        <w:t>in vitro</w:t>
      </w:r>
      <w:proofErr w:type="gramEnd"/>
      <w:r w:rsidR="00194A32" w:rsidRPr="003B7012">
        <w:rPr>
          <w:rFonts w:ascii="Trebuchet MS" w:eastAsiaTheme="minorHAnsi" w:hAnsi="Trebuchet MS" w:cs="AdvTT5843c571"/>
          <w:b/>
          <w:i/>
          <w:sz w:val="20"/>
          <w:szCs w:val="20"/>
        </w:rPr>
        <w:t xml:space="preserve"> </w:t>
      </w:r>
      <w:r w:rsidRPr="003B7012">
        <w:rPr>
          <w:rFonts w:ascii="Trebuchet MS" w:eastAsiaTheme="minorHAnsi" w:hAnsi="Trebuchet MS" w:cs="AdvTT5843c571"/>
          <w:sz w:val="20"/>
          <w:szCs w:val="20"/>
        </w:rPr>
        <w:t xml:space="preserve">de IPC, </w:t>
      </w:r>
      <w:r w:rsidRPr="003B7012">
        <w:rPr>
          <w:rFonts w:ascii="Trebuchet MS" w:eastAsiaTheme="minorHAnsi" w:hAnsi="Trebuchet MS" w:cs="AdvTT5843c571"/>
          <w:sz w:val="20"/>
          <w:szCs w:val="20"/>
          <w:u w:val="single"/>
        </w:rPr>
        <w:t xml:space="preserve">com culturas de fatias de </w:t>
      </w:r>
      <w:r w:rsidR="00966028">
        <w:rPr>
          <w:rFonts w:ascii="Trebuchet MS" w:eastAsiaTheme="minorHAnsi" w:hAnsi="Trebuchet MS" w:cs="AdvTT5843c571"/>
          <w:sz w:val="20"/>
          <w:szCs w:val="20"/>
          <w:u w:val="single"/>
        </w:rPr>
        <w:t>cérebro</w:t>
      </w:r>
      <w:r w:rsidRPr="003B7012">
        <w:rPr>
          <w:rFonts w:ascii="Trebuchet MS" w:eastAsiaTheme="minorHAnsi" w:hAnsi="Trebuchet MS" w:cs="AdvTT5843c571"/>
          <w:sz w:val="20"/>
          <w:szCs w:val="20"/>
        </w:rPr>
        <w:t>, permitem um grande número de amostras a serem tratados e analisados em apenas uma experiência. Também of</w:t>
      </w:r>
      <w:r w:rsidRPr="003B7012">
        <w:rPr>
          <w:rFonts w:ascii="Trebuchet MS" w:eastAsiaTheme="minorHAnsi" w:hAnsi="Trebuchet MS" w:cs="AdvTT5843c571"/>
          <w:sz w:val="20"/>
          <w:szCs w:val="20"/>
        </w:rPr>
        <w:t>e</w:t>
      </w:r>
      <w:r w:rsidRPr="003B7012">
        <w:rPr>
          <w:rFonts w:ascii="Trebuchet MS" w:eastAsiaTheme="minorHAnsi" w:hAnsi="Trebuchet MS" w:cs="AdvTT5843c571"/>
          <w:sz w:val="20"/>
          <w:szCs w:val="20"/>
        </w:rPr>
        <w:t>recem um ambiente mais controlado para o teste de fármacos potencialmente neuroprotect</w:t>
      </w:r>
      <w:r w:rsidRPr="003B7012">
        <w:rPr>
          <w:rFonts w:ascii="Trebuchet MS" w:eastAsiaTheme="minorHAnsi" w:hAnsi="Trebuchet MS" w:cs="AdvTT5843c571"/>
          <w:sz w:val="20"/>
          <w:szCs w:val="20"/>
        </w:rPr>
        <w:t>o</w:t>
      </w:r>
      <w:r w:rsidRPr="003B7012">
        <w:rPr>
          <w:rFonts w:ascii="Trebuchet MS" w:eastAsiaTheme="minorHAnsi" w:hAnsi="Trebuchet MS" w:cs="AdvTT5843c571"/>
          <w:sz w:val="20"/>
          <w:szCs w:val="20"/>
        </w:rPr>
        <w:t xml:space="preserve">res (Hassen </w:t>
      </w:r>
      <w:r w:rsidR="00F96813" w:rsidRPr="003B7012">
        <w:rPr>
          <w:rFonts w:ascii="Trebuchet MS" w:eastAsiaTheme="minorHAnsi" w:hAnsi="Trebuchet MS" w:cs="AdvTT5843c571"/>
          <w:i/>
          <w:sz w:val="20"/>
          <w:szCs w:val="20"/>
        </w:rPr>
        <w:t>et al.</w:t>
      </w:r>
      <w:r w:rsidRPr="003B7012">
        <w:rPr>
          <w:rFonts w:ascii="Trebuchet MS" w:eastAsiaTheme="minorHAnsi" w:hAnsi="Trebuchet MS" w:cs="AdvTT5843c571"/>
          <w:sz w:val="20"/>
          <w:szCs w:val="20"/>
        </w:rPr>
        <w:t>, 2004).</w:t>
      </w:r>
      <w:r w:rsidRPr="003B7012">
        <w:rPr>
          <w:rFonts w:ascii="Trebuchet MS" w:eastAsiaTheme="minorHAnsi" w:hAnsi="Trebuchet MS" w:cs="AdvTT5843c571"/>
          <w:color w:val="CC6600"/>
          <w:sz w:val="20"/>
          <w:szCs w:val="20"/>
        </w:rPr>
        <w:t xml:space="preserve"> </w:t>
      </w:r>
      <w:r w:rsidRPr="003B7012">
        <w:rPr>
          <w:rFonts w:ascii="Trebuchet MS" w:eastAsiaTheme="minorHAnsi" w:hAnsi="Trebuchet MS" w:cs="AdvTT5843c571"/>
          <w:sz w:val="20"/>
          <w:szCs w:val="20"/>
        </w:rPr>
        <w:t xml:space="preserve">Os modelos </w:t>
      </w:r>
      <w:proofErr w:type="gramStart"/>
      <w:r w:rsidR="001B6AEF" w:rsidRPr="003B7012">
        <w:rPr>
          <w:rFonts w:ascii="Trebuchet MS" w:eastAsiaTheme="minorHAnsi" w:hAnsi="Trebuchet MS" w:cs="AdvTT5843c571"/>
          <w:i/>
          <w:sz w:val="20"/>
          <w:szCs w:val="20"/>
        </w:rPr>
        <w:t>in vitro</w:t>
      </w:r>
      <w:proofErr w:type="gramEnd"/>
      <w:r w:rsidR="003B17A7" w:rsidRPr="003B7012">
        <w:rPr>
          <w:rFonts w:ascii="Trebuchet MS" w:eastAsiaTheme="minorHAnsi" w:hAnsi="Trebuchet MS" w:cs="AdvTT5843c571"/>
          <w:i/>
          <w:sz w:val="20"/>
          <w:szCs w:val="20"/>
        </w:rPr>
        <w:t xml:space="preserve"> </w:t>
      </w:r>
      <w:r w:rsidRPr="003B7012">
        <w:rPr>
          <w:rFonts w:ascii="Trebuchet MS" w:eastAsiaTheme="minorHAnsi" w:hAnsi="Trebuchet MS" w:cs="AdvTT5843c571"/>
          <w:sz w:val="20"/>
          <w:szCs w:val="20"/>
        </w:rPr>
        <w:t>fornecem dados mais uniformes, porque: um número maior de experiências pode ser realizado simultaneamente; a temperatura e a pre</w:t>
      </w:r>
      <w:r w:rsidRPr="003B7012">
        <w:rPr>
          <w:rFonts w:ascii="Trebuchet MS" w:eastAsiaTheme="minorHAnsi" w:hAnsi="Trebuchet MS" w:cs="AdvTT5843c571"/>
          <w:sz w:val="20"/>
          <w:szCs w:val="20"/>
        </w:rPr>
        <w:t>s</w:t>
      </w:r>
      <w:r w:rsidRPr="003B7012">
        <w:rPr>
          <w:rFonts w:ascii="Trebuchet MS" w:eastAsiaTheme="minorHAnsi" w:hAnsi="Trebuchet MS" w:cs="AdvTT5843c571"/>
          <w:sz w:val="20"/>
          <w:szCs w:val="20"/>
        </w:rPr>
        <w:t xml:space="preserve">são parcial de oxigénio são </w:t>
      </w:r>
      <w:r w:rsidR="00466BBE" w:rsidRPr="003B7012">
        <w:rPr>
          <w:rFonts w:ascii="Trebuchet MS" w:eastAsiaTheme="minorHAnsi" w:hAnsi="Trebuchet MS" w:cs="AdvTT5843c571"/>
          <w:sz w:val="20"/>
          <w:szCs w:val="20"/>
        </w:rPr>
        <w:t xml:space="preserve">melhor </w:t>
      </w:r>
      <w:r w:rsidR="00911ECB">
        <w:rPr>
          <w:rFonts w:ascii="Trebuchet MS" w:eastAsiaTheme="minorHAnsi" w:hAnsi="Trebuchet MS" w:cs="AdvTT5843c571"/>
          <w:sz w:val="20"/>
          <w:szCs w:val="20"/>
        </w:rPr>
        <w:t>monitorizadas</w:t>
      </w:r>
      <w:r w:rsidR="00466BBE" w:rsidRPr="003B7012">
        <w:rPr>
          <w:rFonts w:ascii="Trebuchet MS" w:eastAsiaTheme="minorHAnsi" w:hAnsi="Trebuchet MS" w:cs="AdvTT5843c571"/>
          <w:sz w:val="20"/>
          <w:szCs w:val="20"/>
        </w:rPr>
        <w:t xml:space="preserve"> e a aplicação/</w:t>
      </w:r>
      <w:r w:rsidRPr="003B7012">
        <w:rPr>
          <w:rFonts w:ascii="Trebuchet MS" w:eastAsiaTheme="minorHAnsi" w:hAnsi="Trebuchet MS" w:cs="AdvTT5843c571"/>
          <w:sz w:val="20"/>
          <w:szCs w:val="20"/>
        </w:rPr>
        <w:t>remoção de fármacos pote</w:t>
      </w:r>
      <w:r w:rsidRPr="003B7012">
        <w:rPr>
          <w:rFonts w:ascii="Trebuchet MS" w:eastAsiaTheme="minorHAnsi" w:hAnsi="Trebuchet MS" w:cs="AdvTT5843c571"/>
          <w:sz w:val="20"/>
          <w:szCs w:val="20"/>
        </w:rPr>
        <w:t>n</w:t>
      </w:r>
      <w:r w:rsidRPr="003B7012">
        <w:rPr>
          <w:rFonts w:ascii="Trebuchet MS" w:eastAsiaTheme="minorHAnsi" w:hAnsi="Trebuchet MS" w:cs="AdvTT5843c571"/>
          <w:sz w:val="20"/>
          <w:szCs w:val="20"/>
        </w:rPr>
        <w:t xml:space="preserve">cialmente neuroprotectores é mais controlada (Hassen </w:t>
      </w:r>
      <w:r w:rsidR="00F96813" w:rsidRPr="003B7012">
        <w:rPr>
          <w:rFonts w:ascii="Trebuchet MS" w:eastAsiaTheme="minorHAnsi" w:hAnsi="Trebuchet MS" w:cs="AdvTT5843c571"/>
          <w:i/>
          <w:sz w:val="20"/>
          <w:szCs w:val="20"/>
        </w:rPr>
        <w:t>et al.</w:t>
      </w:r>
      <w:r w:rsidRPr="003B7012">
        <w:rPr>
          <w:rFonts w:ascii="Trebuchet MS" w:eastAsiaTheme="minorHAnsi" w:hAnsi="Trebuchet MS" w:cs="AdvTT5843c571"/>
          <w:sz w:val="20"/>
          <w:szCs w:val="20"/>
        </w:rPr>
        <w:t xml:space="preserve">, 2004). No modelo </w:t>
      </w:r>
      <w:proofErr w:type="gramStart"/>
      <w:r w:rsidR="001B6AEF" w:rsidRPr="003B7012">
        <w:rPr>
          <w:rFonts w:ascii="Trebuchet MS" w:eastAsiaTheme="minorHAnsi" w:hAnsi="Trebuchet MS" w:cs="AdvTT5843c571"/>
          <w:i/>
          <w:sz w:val="20"/>
          <w:szCs w:val="20"/>
        </w:rPr>
        <w:t>in vitro</w:t>
      </w:r>
      <w:proofErr w:type="gramEnd"/>
      <w:r w:rsidR="00466BBE" w:rsidRPr="003B7012">
        <w:rPr>
          <w:rFonts w:ascii="Trebuchet MS" w:eastAsiaTheme="minorHAnsi" w:hAnsi="Trebuchet MS" w:cs="AdvTT5843c571"/>
          <w:i/>
          <w:sz w:val="20"/>
          <w:szCs w:val="20"/>
        </w:rPr>
        <w:t>,</w:t>
      </w:r>
      <w:r w:rsidR="00E1618A" w:rsidRPr="003B7012">
        <w:rPr>
          <w:rFonts w:ascii="Trebuchet MS" w:eastAsiaTheme="minorHAnsi" w:hAnsi="Trebuchet MS" w:cs="AdvTT5843c571"/>
          <w:i/>
          <w:sz w:val="20"/>
          <w:szCs w:val="20"/>
        </w:rPr>
        <w:t xml:space="preserve"> </w:t>
      </w:r>
      <w:r w:rsidRPr="003B7012">
        <w:rPr>
          <w:rFonts w:ascii="Trebuchet MS" w:eastAsiaTheme="minorHAnsi" w:hAnsi="Trebuchet MS" w:cs="AdvTT5843c571"/>
          <w:sz w:val="20"/>
          <w:szCs w:val="20"/>
        </w:rPr>
        <w:t>os danos ocorrem dentro dos primeiros 30 minutos e persistem ao longo do período de reperf</w:t>
      </w:r>
      <w:r w:rsidRPr="003B7012">
        <w:rPr>
          <w:rFonts w:ascii="Trebuchet MS" w:eastAsiaTheme="minorHAnsi" w:hAnsi="Trebuchet MS" w:cs="AdvTT5843c571"/>
          <w:sz w:val="20"/>
          <w:szCs w:val="20"/>
        </w:rPr>
        <w:t>u</w:t>
      </w:r>
      <w:r w:rsidRPr="003B7012">
        <w:rPr>
          <w:rFonts w:ascii="Trebuchet MS" w:eastAsiaTheme="minorHAnsi" w:hAnsi="Trebuchet MS" w:cs="AdvTT5843c571"/>
          <w:sz w:val="20"/>
          <w:szCs w:val="20"/>
        </w:rPr>
        <w:t>s</w:t>
      </w:r>
      <w:r w:rsidR="004D521D">
        <w:rPr>
          <w:rFonts w:ascii="Trebuchet MS" w:eastAsiaTheme="minorHAnsi" w:hAnsi="Trebuchet MS" w:cs="AdvTT5843c571"/>
          <w:sz w:val="20"/>
          <w:szCs w:val="20"/>
        </w:rPr>
        <w:t>ão (</w:t>
      </w:r>
      <w:r w:rsidR="004149DC">
        <w:rPr>
          <w:rFonts w:ascii="Trebuchet MS" w:eastAsiaTheme="minorHAnsi" w:hAnsi="Trebuchet MS" w:cs="AdvTT5843c571"/>
          <w:sz w:val="20"/>
          <w:szCs w:val="20"/>
        </w:rPr>
        <w:t>Para revisão ver</w:t>
      </w:r>
      <w:r w:rsidR="004D521D">
        <w:rPr>
          <w:rFonts w:ascii="Trebuchet MS" w:eastAsiaTheme="minorHAnsi" w:hAnsi="Trebuchet MS" w:cs="AdvTT5843c571"/>
          <w:sz w:val="20"/>
          <w:szCs w:val="20"/>
        </w:rPr>
        <w:t xml:space="preserve"> Lipton, 1999). </w:t>
      </w:r>
      <w:r w:rsidR="00AF12D7">
        <w:rPr>
          <w:rFonts w:ascii="Trebuchet MS" w:eastAsiaTheme="minorHAnsi" w:hAnsi="Trebuchet MS" w:cs="AdvTT5843c571"/>
          <w:sz w:val="20"/>
          <w:szCs w:val="20"/>
        </w:rPr>
        <w:t xml:space="preserve">Assim sendo, </w:t>
      </w:r>
      <w:proofErr w:type="gramStart"/>
      <w:r w:rsidR="00AF12D7">
        <w:rPr>
          <w:rFonts w:ascii="Trebuchet MS" w:eastAsiaTheme="minorHAnsi" w:hAnsi="Trebuchet MS" w:cs="AdvTT5843c571"/>
          <w:sz w:val="20"/>
          <w:szCs w:val="20"/>
        </w:rPr>
        <w:t>o</w:t>
      </w:r>
      <w:r w:rsidR="004D521D" w:rsidRPr="00C65DA3">
        <w:rPr>
          <w:rFonts w:ascii="Trebuchet MS" w:eastAsiaTheme="minorHAnsi" w:hAnsi="Trebuchet MS" w:cstheme="minorBidi"/>
          <w:sz w:val="20"/>
        </w:rPr>
        <w:t xml:space="preserve">s modelos de isquémia cerebral </w:t>
      </w:r>
      <w:r w:rsidR="004D521D" w:rsidRPr="00C65DA3">
        <w:rPr>
          <w:rFonts w:ascii="Trebuchet MS" w:eastAsiaTheme="minorHAnsi" w:hAnsi="Trebuchet MS" w:cstheme="minorBidi"/>
          <w:i/>
          <w:sz w:val="20"/>
        </w:rPr>
        <w:t xml:space="preserve">in vitro </w:t>
      </w:r>
      <w:r w:rsidR="004D521D" w:rsidRPr="00C65DA3">
        <w:rPr>
          <w:rFonts w:ascii="Trebuchet MS" w:eastAsiaTheme="minorHAnsi" w:hAnsi="Trebuchet MS" w:cstheme="minorBidi"/>
          <w:sz w:val="20"/>
        </w:rPr>
        <w:t xml:space="preserve">com ratos apresenta várias vantagens relativamente aos modelos </w:t>
      </w:r>
      <w:r w:rsidR="004D521D" w:rsidRPr="00C65DA3">
        <w:rPr>
          <w:rFonts w:ascii="Trebuchet MS" w:eastAsiaTheme="minorHAnsi" w:hAnsi="Trebuchet MS" w:cstheme="minorBidi"/>
          <w:i/>
          <w:sz w:val="20"/>
        </w:rPr>
        <w:t>in vivo</w:t>
      </w:r>
      <w:proofErr w:type="gramEnd"/>
      <w:r w:rsidR="004D521D" w:rsidRPr="00C65DA3">
        <w:rPr>
          <w:rFonts w:ascii="Trebuchet MS" w:eastAsiaTheme="minorHAnsi" w:hAnsi="Trebuchet MS" w:cstheme="minorBidi"/>
          <w:sz w:val="20"/>
        </w:rPr>
        <w:t xml:space="preserve">. </w:t>
      </w:r>
      <w:r w:rsidR="00AF12D7">
        <w:rPr>
          <w:rFonts w:ascii="Trebuchet MS" w:eastAsiaTheme="minorHAnsi" w:hAnsi="Trebuchet MS" w:cstheme="minorBidi"/>
          <w:sz w:val="20"/>
        </w:rPr>
        <w:t>Como p</w:t>
      </w:r>
      <w:r w:rsidR="004D521D" w:rsidRPr="00C65DA3">
        <w:rPr>
          <w:rFonts w:ascii="Trebuchet MS" w:eastAsiaTheme="minorHAnsi" w:hAnsi="Trebuchet MS" w:cstheme="minorBidi"/>
          <w:sz w:val="20"/>
        </w:rPr>
        <w:t xml:space="preserve">or exemplo, </w:t>
      </w:r>
      <w:r w:rsidR="00AF12D7">
        <w:rPr>
          <w:rFonts w:ascii="Trebuchet MS" w:eastAsiaTheme="minorHAnsi" w:hAnsi="Trebuchet MS" w:cstheme="minorBidi"/>
          <w:sz w:val="20"/>
        </w:rPr>
        <w:lastRenderedPageBreak/>
        <w:t xml:space="preserve">as </w:t>
      </w:r>
      <w:r w:rsidR="004D521D" w:rsidRPr="00C65DA3">
        <w:rPr>
          <w:rFonts w:ascii="Trebuchet MS" w:eastAsiaTheme="minorHAnsi" w:hAnsi="Trebuchet MS" w:cstheme="minorBidi"/>
          <w:sz w:val="20"/>
        </w:rPr>
        <w:t>pequenas variações de temperatura podem afectar significativamente o resultado da lesão isquémica, bem como, influenciar a reprodutibilidade do método (Dietrich, 1992).</w:t>
      </w:r>
    </w:p>
    <w:p w:rsidR="00AF12D7" w:rsidRDefault="00AF12D7" w:rsidP="00AF12D7">
      <w:pPr>
        <w:autoSpaceDE w:val="0"/>
        <w:autoSpaceDN w:val="0"/>
        <w:adjustRightInd w:val="0"/>
        <w:spacing w:line="360" w:lineRule="auto"/>
        <w:jc w:val="both"/>
        <w:rPr>
          <w:rFonts w:ascii="Trebuchet MS" w:eastAsiaTheme="minorHAnsi" w:hAnsi="Trebuchet MS"/>
          <w:sz w:val="20"/>
          <w:szCs w:val="20"/>
        </w:rPr>
      </w:pPr>
      <w:r w:rsidRPr="003B7012">
        <w:rPr>
          <w:rFonts w:ascii="Trebuchet MS" w:eastAsiaTheme="minorHAnsi" w:hAnsi="Trebuchet MS"/>
          <w:sz w:val="20"/>
          <w:szCs w:val="20"/>
        </w:rPr>
        <w:tab/>
        <w:t xml:space="preserve">Os </w:t>
      </w:r>
      <w:r w:rsidRPr="003B7012">
        <w:rPr>
          <w:rFonts w:ascii="Trebuchet MS" w:eastAsiaTheme="minorHAnsi" w:hAnsi="Trebuchet MS"/>
          <w:b/>
          <w:sz w:val="20"/>
          <w:szCs w:val="20"/>
        </w:rPr>
        <w:t xml:space="preserve">modelos </w:t>
      </w:r>
      <w:proofErr w:type="gramStart"/>
      <w:r w:rsidRPr="003B7012">
        <w:rPr>
          <w:rFonts w:ascii="Trebuchet MS" w:eastAsiaTheme="minorHAnsi" w:hAnsi="Trebuchet MS"/>
          <w:b/>
          <w:i/>
          <w:sz w:val="20"/>
          <w:szCs w:val="20"/>
        </w:rPr>
        <w:t>in vitro</w:t>
      </w:r>
      <w:proofErr w:type="gramEnd"/>
      <w:r w:rsidRPr="003B7012">
        <w:rPr>
          <w:rFonts w:ascii="Trebuchet MS" w:eastAsiaTheme="minorHAnsi" w:hAnsi="Trebuchet MS"/>
          <w:b/>
          <w:sz w:val="20"/>
          <w:szCs w:val="20"/>
        </w:rPr>
        <w:t xml:space="preserve">, com culturas de fatias frescas de </w:t>
      </w:r>
      <w:r w:rsidR="00F432FB">
        <w:rPr>
          <w:rFonts w:ascii="Trebuchet MS" w:eastAsiaTheme="minorHAnsi" w:hAnsi="Trebuchet MS"/>
          <w:b/>
          <w:sz w:val="20"/>
          <w:szCs w:val="20"/>
        </w:rPr>
        <w:t>cérebro</w:t>
      </w:r>
      <w:r w:rsidRPr="003B7012">
        <w:rPr>
          <w:rFonts w:ascii="Trebuchet MS" w:eastAsiaTheme="minorHAnsi" w:hAnsi="Trebuchet MS"/>
          <w:b/>
          <w:sz w:val="20"/>
          <w:szCs w:val="20"/>
        </w:rPr>
        <w:t>,</w:t>
      </w:r>
      <w:r w:rsidRPr="003B7012">
        <w:rPr>
          <w:rFonts w:ascii="Trebuchet MS" w:eastAsiaTheme="minorHAnsi" w:hAnsi="Trebuchet MS" w:cstheme="minorBidi"/>
          <w:sz w:val="20"/>
          <w:szCs w:val="20"/>
        </w:rPr>
        <w:t xml:space="preserve"> </w:t>
      </w:r>
      <w:r w:rsidRPr="003B7012">
        <w:rPr>
          <w:rFonts w:ascii="Trebuchet MS" w:eastAsiaTheme="minorHAnsi" w:hAnsi="Trebuchet MS"/>
          <w:sz w:val="20"/>
          <w:szCs w:val="20"/>
        </w:rPr>
        <w:t>fornecem inform</w:t>
      </w:r>
      <w:r w:rsidRPr="003B7012">
        <w:rPr>
          <w:rFonts w:ascii="Trebuchet MS" w:eastAsiaTheme="minorHAnsi" w:hAnsi="Trebuchet MS"/>
          <w:sz w:val="20"/>
          <w:szCs w:val="20"/>
        </w:rPr>
        <w:t>a</w:t>
      </w:r>
      <w:r w:rsidRPr="003B7012">
        <w:rPr>
          <w:rFonts w:ascii="Trebuchet MS" w:eastAsiaTheme="minorHAnsi" w:hAnsi="Trebuchet MS"/>
          <w:sz w:val="20"/>
          <w:szCs w:val="20"/>
        </w:rPr>
        <w:t xml:space="preserve">ção suplementar à já existente </w:t>
      </w:r>
      <w:r w:rsidR="00F432FB" w:rsidRPr="00F432FB">
        <w:rPr>
          <w:rFonts w:ascii="Trebuchet MS" w:eastAsiaTheme="minorHAnsi" w:hAnsi="Trebuchet MS"/>
          <w:i/>
          <w:sz w:val="20"/>
          <w:szCs w:val="20"/>
        </w:rPr>
        <w:t>in</w:t>
      </w:r>
      <w:r w:rsidRPr="003B7012">
        <w:rPr>
          <w:rFonts w:ascii="Trebuchet MS" w:eastAsiaTheme="minorHAnsi" w:hAnsi="Trebuchet MS"/>
          <w:sz w:val="20"/>
          <w:szCs w:val="20"/>
        </w:rPr>
        <w:t xml:space="preserve"> vivo e em modelos </w:t>
      </w:r>
      <w:r w:rsidRPr="003B7012">
        <w:rPr>
          <w:rFonts w:ascii="Trebuchet MS" w:eastAsiaTheme="minorHAnsi" w:hAnsi="Trebuchet MS"/>
          <w:i/>
          <w:sz w:val="20"/>
          <w:szCs w:val="20"/>
        </w:rPr>
        <w:t xml:space="preserve">in vitro </w:t>
      </w:r>
      <w:r w:rsidRPr="003B7012">
        <w:rPr>
          <w:rFonts w:ascii="Trebuchet MS" w:eastAsiaTheme="minorHAnsi" w:hAnsi="Trebuchet MS"/>
          <w:sz w:val="20"/>
          <w:szCs w:val="20"/>
        </w:rPr>
        <w:t xml:space="preserve">de IPC. Os </w:t>
      </w:r>
      <w:proofErr w:type="gramStart"/>
      <w:r w:rsidRPr="003B7012">
        <w:rPr>
          <w:rFonts w:ascii="Trebuchet MS" w:eastAsiaTheme="minorHAnsi" w:hAnsi="Trebuchet MS"/>
          <w:sz w:val="20"/>
          <w:szCs w:val="20"/>
        </w:rPr>
        <w:t xml:space="preserve">modelos </w:t>
      </w:r>
      <w:r w:rsidRPr="003B7012">
        <w:rPr>
          <w:rFonts w:ascii="Trebuchet MS" w:eastAsiaTheme="minorHAnsi" w:hAnsi="Trebuchet MS"/>
          <w:i/>
          <w:sz w:val="20"/>
          <w:szCs w:val="20"/>
        </w:rPr>
        <w:t xml:space="preserve">in vivo </w:t>
      </w:r>
      <w:r w:rsidRPr="003B7012">
        <w:rPr>
          <w:rFonts w:ascii="Trebuchet MS" w:eastAsiaTheme="minorHAnsi" w:hAnsi="Trebuchet MS"/>
          <w:sz w:val="20"/>
          <w:szCs w:val="20"/>
        </w:rPr>
        <w:t>im</w:t>
      </w:r>
      <w:r w:rsidRPr="003B7012">
        <w:rPr>
          <w:rFonts w:ascii="Trebuchet MS" w:eastAsiaTheme="minorHAnsi" w:hAnsi="Trebuchet MS"/>
          <w:sz w:val="20"/>
          <w:szCs w:val="20"/>
        </w:rPr>
        <w:t>i</w:t>
      </w:r>
      <w:r w:rsidRPr="003B7012">
        <w:rPr>
          <w:rFonts w:ascii="Trebuchet MS" w:eastAsiaTheme="minorHAnsi" w:hAnsi="Trebuchet MS"/>
          <w:sz w:val="20"/>
          <w:szCs w:val="20"/>
        </w:rPr>
        <w:t>tam</w:t>
      </w:r>
      <w:proofErr w:type="gramEnd"/>
      <w:r w:rsidRPr="003B7012">
        <w:rPr>
          <w:rFonts w:ascii="Trebuchet MS" w:eastAsiaTheme="minorHAnsi" w:hAnsi="Trebuchet MS"/>
          <w:sz w:val="20"/>
          <w:szCs w:val="20"/>
        </w:rPr>
        <w:t xml:space="preserve"> (quase integralmente) a fisiopatologia do pré-condicionamento </w:t>
      </w:r>
      <w:r w:rsidR="00F432FB">
        <w:rPr>
          <w:rFonts w:ascii="Trebuchet MS" w:eastAsiaTheme="minorHAnsi" w:hAnsi="Trebuchet MS"/>
          <w:sz w:val="20"/>
          <w:szCs w:val="20"/>
        </w:rPr>
        <w:t>em animais</w:t>
      </w:r>
      <w:r w:rsidRPr="003B7012">
        <w:rPr>
          <w:rFonts w:ascii="Trebuchet MS" w:eastAsiaTheme="minorHAnsi" w:hAnsi="Trebuchet MS"/>
          <w:sz w:val="20"/>
          <w:szCs w:val="20"/>
        </w:rPr>
        <w:t>. As fatias agudas</w:t>
      </w:r>
      <w:r w:rsidR="00A40DF9">
        <w:rPr>
          <w:rFonts w:ascii="Trebuchet MS" w:eastAsiaTheme="minorHAnsi" w:hAnsi="Trebuchet MS"/>
          <w:sz w:val="20"/>
          <w:szCs w:val="20"/>
        </w:rPr>
        <w:t>/frescas</w:t>
      </w:r>
      <w:r w:rsidRPr="003B7012">
        <w:rPr>
          <w:rFonts w:ascii="Trebuchet MS" w:eastAsiaTheme="minorHAnsi" w:hAnsi="Trebuchet MS"/>
          <w:sz w:val="20"/>
          <w:szCs w:val="20"/>
        </w:rPr>
        <w:t xml:space="preserve"> </w:t>
      </w:r>
      <w:r w:rsidR="00F432FB">
        <w:rPr>
          <w:rFonts w:ascii="Trebuchet MS" w:eastAsiaTheme="minorHAnsi" w:hAnsi="Trebuchet MS"/>
          <w:sz w:val="20"/>
          <w:szCs w:val="20"/>
        </w:rPr>
        <w:t xml:space="preserve">são mais </w:t>
      </w:r>
      <w:r w:rsidR="00F432FB" w:rsidRPr="003B7012">
        <w:rPr>
          <w:rFonts w:ascii="Trebuchet MS" w:eastAsiaTheme="minorHAnsi" w:hAnsi="Trebuchet MS"/>
          <w:sz w:val="20"/>
          <w:szCs w:val="20"/>
        </w:rPr>
        <w:t xml:space="preserve">sensíveis à POG </w:t>
      </w:r>
      <w:r w:rsidR="00F432FB">
        <w:rPr>
          <w:rFonts w:ascii="Trebuchet MS" w:eastAsiaTheme="minorHAnsi" w:hAnsi="Trebuchet MS"/>
          <w:sz w:val="20"/>
          <w:szCs w:val="20"/>
        </w:rPr>
        <w:t>do que a</w:t>
      </w:r>
      <w:r w:rsidRPr="003B7012">
        <w:rPr>
          <w:rFonts w:ascii="Trebuchet MS" w:eastAsiaTheme="minorHAnsi" w:hAnsi="Trebuchet MS"/>
          <w:sz w:val="20"/>
          <w:szCs w:val="20"/>
        </w:rPr>
        <w:t xml:space="preserve">s culturas de fatias de animais. As fatias frescas podem ser usadas para estudar mudanças de curto prazo na sequência de pré-condicionamento, mas a sua curta vida </w:t>
      </w:r>
      <w:proofErr w:type="gramStart"/>
      <w:r w:rsidRPr="003B7012">
        <w:rPr>
          <w:rFonts w:ascii="Trebuchet MS" w:eastAsiaTheme="minorHAnsi" w:hAnsi="Trebuchet MS"/>
          <w:i/>
          <w:sz w:val="20"/>
          <w:szCs w:val="20"/>
        </w:rPr>
        <w:t>in vitro</w:t>
      </w:r>
      <w:proofErr w:type="gramEnd"/>
      <w:r w:rsidRPr="003B7012">
        <w:rPr>
          <w:rFonts w:ascii="Trebuchet MS" w:eastAsiaTheme="minorHAnsi" w:hAnsi="Trebuchet MS"/>
          <w:sz w:val="20"/>
          <w:szCs w:val="20"/>
        </w:rPr>
        <w:t xml:space="preserve"> impede a sua utilização para o estudo de alt</w:t>
      </w:r>
      <w:r w:rsidRPr="003B7012">
        <w:rPr>
          <w:rFonts w:ascii="Trebuchet MS" w:eastAsiaTheme="minorHAnsi" w:hAnsi="Trebuchet MS"/>
          <w:sz w:val="20"/>
          <w:szCs w:val="20"/>
        </w:rPr>
        <w:t>e</w:t>
      </w:r>
      <w:r w:rsidRPr="003B7012">
        <w:rPr>
          <w:rFonts w:ascii="Trebuchet MS" w:eastAsiaTheme="minorHAnsi" w:hAnsi="Trebuchet MS"/>
          <w:sz w:val="20"/>
          <w:szCs w:val="20"/>
        </w:rPr>
        <w:t>rações de longo praz</w:t>
      </w:r>
      <w:r w:rsidR="00A0544B">
        <w:rPr>
          <w:rFonts w:ascii="Trebuchet MS" w:eastAsiaTheme="minorHAnsi" w:hAnsi="Trebuchet MS"/>
          <w:sz w:val="20"/>
          <w:szCs w:val="20"/>
        </w:rPr>
        <w:t>o. Investigadores consideram que ao usarem</w:t>
      </w:r>
      <w:r w:rsidR="00142070">
        <w:rPr>
          <w:rFonts w:ascii="Trebuchet MS" w:eastAsiaTheme="minorHAnsi" w:hAnsi="Trebuchet MS"/>
          <w:sz w:val="20"/>
          <w:szCs w:val="20"/>
        </w:rPr>
        <w:t>-se</w:t>
      </w:r>
      <w:r w:rsidR="00A0544B">
        <w:rPr>
          <w:rFonts w:ascii="Trebuchet MS" w:eastAsiaTheme="minorHAnsi" w:hAnsi="Trebuchet MS"/>
          <w:sz w:val="20"/>
          <w:szCs w:val="20"/>
        </w:rPr>
        <w:t xml:space="preserve"> fatias como</w:t>
      </w:r>
      <w:r w:rsidRPr="003B7012">
        <w:rPr>
          <w:rFonts w:ascii="Trebuchet MS" w:eastAsiaTheme="minorHAnsi" w:hAnsi="Trebuchet MS"/>
          <w:sz w:val="20"/>
          <w:szCs w:val="20"/>
        </w:rPr>
        <w:t xml:space="preserve"> modelo ta</w:t>
      </w:r>
      <w:r w:rsidRPr="003B7012">
        <w:rPr>
          <w:rFonts w:ascii="Trebuchet MS" w:eastAsiaTheme="minorHAnsi" w:hAnsi="Trebuchet MS"/>
          <w:sz w:val="20"/>
          <w:szCs w:val="20"/>
        </w:rPr>
        <w:t>m</w:t>
      </w:r>
      <w:r w:rsidRPr="003B7012">
        <w:rPr>
          <w:rFonts w:ascii="Trebuchet MS" w:eastAsiaTheme="minorHAnsi" w:hAnsi="Trebuchet MS"/>
          <w:sz w:val="20"/>
          <w:szCs w:val="20"/>
        </w:rPr>
        <w:t xml:space="preserve">bém </w:t>
      </w:r>
      <w:r w:rsidR="00142070">
        <w:rPr>
          <w:rFonts w:ascii="Trebuchet MS" w:eastAsiaTheme="minorHAnsi" w:hAnsi="Trebuchet MS"/>
          <w:sz w:val="20"/>
          <w:szCs w:val="20"/>
        </w:rPr>
        <w:t>se</w:t>
      </w:r>
      <w:r w:rsidR="00142070" w:rsidRPr="003B7012">
        <w:rPr>
          <w:rFonts w:ascii="Trebuchet MS" w:eastAsiaTheme="minorHAnsi" w:hAnsi="Trebuchet MS"/>
          <w:sz w:val="20"/>
          <w:szCs w:val="20"/>
        </w:rPr>
        <w:t xml:space="preserve"> </w:t>
      </w:r>
      <w:r w:rsidRPr="003B7012">
        <w:rPr>
          <w:rFonts w:ascii="Trebuchet MS" w:eastAsiaTheme="minorHAnsi" w:hAnsi="Trebuchet MS"/>
          <w:sz w:val="20"/>
          <w:szCs w:val="20"/>
        </w:rPr>
        <w:t xml:space="preserve">deve estar consciente das suas desvantagens, pelo que, a remoção e corte transversal do hipocampo remove todas as conexões neuronais extrínsecas e intrínsecas (Hassen </w:t>
      </w:r>
      <w:r w:rsidRPr="003B7012">
        <w:rPr>
          <w:rFonts w:ascii="Trebuchet MS" w:eastAsiaTheme="minorHAnsi" w:hAnsi="Trebuchet MS"/>
          <w:i/>
          <w:sz w:val="20"/>
          <w:szCs w:val="20"/>
        </w:rPr>
        <w:t>et al.</w:t>
      </w:r>
      <w:r w:rsidRPr="003B7012">
        <w:rPr>
          <w:rFonts w:ascii="Trebuchet MS" w:eastAsiaTheme="minorHAnsi" w:hAnsi="Trebuchet MS"/>
          <w:sz w:val="20"/>
          <w:szCs w:val="20"/>
        </w:rPr>
        <w:t>, 2004).</w:t>
      </w:r>
    </w:p>
    <w:p w:rsidR="00BE03DC" w:rsidRPr="003B7012" w:rsidRDefault="00BE03DC" w:rsidP="00BE03DC">
      <w:pPr>
        <w:autoSpaceDE w:val="0"/>
        <w:autoSpaceDN w:val="0"/>
        <w:adjustRightInd w:val="0"/>
        <w:spacing w:line="360" w:lineRule="auto"/>
        <w:ind w:firstLine="708"/>
        <w:jc w:val="both"/>
        <w:rPr>
          <w:rFonts w:ascii="Trebuchet MS" w:eastAsiaTheme="minorHAnsi" w:hAnsi="Trebuchet MS"/>
          <w:sz w:val="20"/>
          <w:szCs w:val="20"/>
        </w:rPr>
      </w:pPr>
      <w:r w:rsidRPr="003B7012">
        <w:rPr>
          <w:rFonts w:ascii="Trebuchet MS" w:eastAsiaTheme="minorHAnsi" w:hAnsi="Trebuchet MS" w:cs="AdvTT5843c571"/>
          <w:sz w:val="20"/>
          <w:szCs w:val="20"/>
        </w:rPr>
        <w:t xml:space="preserve">Os </w:t>
      </w:r>
      <w:r w:rsidRPr="003B7012">
        <w:rPr>
          <w:rFonts w:ascii="Trebuchet MS" w:eastAsiaTheme="minorHAnsi" w:hAnsi="Trebuchet MS" w:cs="AdvTT5843c571"/>
          <w:b/>
          <w:sz w:val="20"/>
          <w:szCs w:val="20"/>
        </w:rPr>
        <w:t xml:space="preserve">modelos </w:t>
      </w:r>
      <w:r w:rsidR="00194A32" w:rsidRPr="003B7012">
        <w:rPr>
          <w:rFonts w:ascii="Trebuchet MS" w:eastAsiaTheme="minorHAnsi" w:hAnsi="Trebuchet MS" w:cs="AdvTT5843c571"/>
          <w:b/>
          <w:i/>
          <w:sz w:val="20"/>
          <w:szCs w:val="20"/>
        </w:rPr>
        <w:t xml:space="preserve">in vivo </w:t>
      </w:r>
      <w:r w:rsidRPr="003B7012">
        <w:rPr>
          <w:rFonts w:ascii="Trebuchet MS" w:eastAsiaTheme="minorHAnsi" w:hAnsi="Trebuchet MS" w:cs="AdvTT5843c571"/>
          <w:sz w:val="20"/>
          <w:szCs w:val="20"/>
        </w:rPr>
        <w:t xml:space="preserve">sofrem os inconvenientes </w:t>
      </w:r>
      <w:r w:rsidR="00B57E41">
        <w:rPr>
          <w:rFonts w:ascii="Trebuchet MS" w:eastAsiaTheme="minorHAnsi" w:hAnsi="Trebuchet MS" w:cs="AdvTT5843c571"/>
          <w:sz w:val="20"/>
          <w:szCs w:val="20"/>
        </w:rPr>
        <w:t>da</w:t>
      </w:r>
      <w:r w:rsidRPr="003B7012">
        <w:rPr>
          <w:rFonts w:ascii="Trebuchet MS" w:eastAsiaTheme="minorHAnsi" w:hAnsi="Trebuchet MS" w:cs="AdvTT5843c571"/>
          <w:sz w:val="20"/>
          <w:szCs w:val="20"/>
        </w:rPr>
        <w:t xml:space="preserve"> influência sistémica ou vascular que podem afectar as propriedades neuronais intrínsecas e </w:t>
      </w:r>
      <w:r w:rsidR="00B57E41">
        <w:rPr>
          <w:rFonts w:ascii="Trebuchet MS" w:eastAsiaTheme="minorHAnsi" w:hAnsi="Trebuchet MS" w:cs="AdvTT5843c571"/>
          <w:sz w:val="20"/>
          <w:szCs w:val="20"/>
        </w:rPr>
        <w:t xml:space="preserve">a </w:t>
      </w:r>
      <w:r w:rsidRPr="003B7012">
        <w:rPr>
          <w:rFonts w:ascii="Trebuchet MS" w:eastAsiaTheme="minorHAnsi" w:hAnsi="Trebuchet MS" w:cs="AdvTT5843c571"/>
          <w:sz w:val="20"/>
          <w:szCs w:val="20"/>
        </w:rPr>
        <w:t>administração de drogas é mais co</w:t>
      </w:r>
      <w:r w:rsidRPr="003B7012">
        <w:rPr>
          <w:rFonts w:ascii="Trebuchet MS" w:eastAsiaTheme="minorHAnsi" w:hAnsi="Trebuchet MS" w:cs="AdvTT5843c571"/>
          <w:sz w:val="20"/>
          <w:szCs w:val="20"/>
        </w:rPr>
        <w:t>m</w:t>
      </w:r>
      <w:r w:rsidRPr="003B7012">
        <w:rPr>
          <w:rFonts w:ascii="Trebuchet MS" w:eastAsiaTheme="minorHAnsi" w:hAnsi="Trebuchet MS" w:cs="AdvTT5843c571"/>
          <w:sz w:val="20"/>
          <w:szCs w:val="20"/>
        </w:rPr>
        <w:t>plicada. Estas limitações tornam</w:t>
      </w:r>
      <w:r w:rsidR="00056F93" w:rsidRPr="003B7012">
        <w:rPr>
          <w:rFonts w:ascii="Trebuchet MS" w:eastAsiaTheme="minorHAnsi" w:hAnsi="Trebuchet MS" w:cs="AdvTT5843c571"/>
          <w:sz w:val="20"/>
          <w:szCs w:val="20"/>
        </w:rPr>
        <w:t xml:space="preserve"> os</w:t>
      </w:r>
      <w:r w:rsidRPr="003B7012">
        <w:rPr>
          <w:rFonts w:ascii="Trebuchet MS" w:eastAsiaTheme="minorHAnsi" w:hAnsi="Trebuchet MS" w:cs="AdvTT5843c571"/>
          <w:sz w:val="20"/>
          <w:szCs w:val="20"/>
        </w:rPr>
        <w:t xml:space="preserve"> modelos </w:t>
      </w:r>
      <w:r w:rsidR="00194A32" w:rsidRPr="003B7012">
        <w:rPr>
          <w:rFonts w:ascii="Trebuchet MS" w:eastAsiaTheme="minorHAnsi" w:hAnsi="Trebuchet MS" w:cs="AdvTT5843c571"/>
          <w:i/>
          <w:sz w:val="20"/>
          <w:szCs w:val="20"/>
        </w:rPr>
        <w:t xml:space="preserve">in vivo </w:t>
      </w:r>
      <w:r w:rsidRPr="003B7012">
        <w:rPr>
          <w:rFonts w:ascii="Trebuchet MS" w:eastAsiaTheme="minorHAnsi" w:hAnsi="Trebuchet MS" w:cs="AdvTT5843c571"/>
          <w:sz w:val="20"/>
          <w:szCs w:val="20"/>
        </w:rPr>
        <w:t xml:space="preserve">menos adequados que os modelos </w:t>
      </w:r>
      <w:proofErr w:type="gramStart"/>
      <w:r w:rsidR="001B6AEF" w:rsidRPr="003B7012">
        <w:rPr>
          <w:rFonts w:ascii="Trebuchet MS" w:eastAsiaTheme="minorHAnsi" w:hAnsi="Trebuchet MS" w:cs="AdvTT5843c571"/>
          <w:i/>
          <w:sz w:val="20"/>
          <w:szCs w:val="20"/>
        </w:rPr>
        <w:t>in</w:t>
      </w:r>
      <w:r w:rsidR="00AF12D7">
        <w:rPr>
          <w:rFonts w:ascii="Trebuchet MS" w:eastAsiaTheme="minorHAnsi" w:hAnsi="Trebuchet MS" w:cs="AdvTT5843c571"/>
          <w:i/>
          <w:sz w:val="20"/>
          <w:szCs w:val="20"/>
        </w:rPr>
        <w:t xml:space="preserve"> </w:t>
      </w:r>
      <w:r w:rsidR="001B6AEF" w:rsidRPr="003B7012">
        <w:rPr>
          <w:rFonts w:ascii="Trebuchet MS" w:eastAsiaTheme="minorHAnsi" w:hAnsi="Trebuchet MS" w:cs="AdvTT5843c571"/>
          <w:i/>
          <w:sz w:val="20"/>
          <w:szCs w:val="20"/>
        </w:rPr>
        <w:t>vitro</w:t>
      </w:r>
      <w:proofErr w:type="gramEnd"/>
      <w:r w:rsidR="001E0DFA" w:rsidRPr="003B7012">
        <w:rPr>
          <w:rFonts w:ascii="Trebuchet MS" w:eastAsiaTheme="minorHAnsi" w:hAnsi="Trebuchet MS" w:cs="AdvTT5843c571"/>
          <w:i/>
          <w:sz w:val="20"/>
          <w:szCs w:val="20"/>
        </w:rPr>
        <w:t>,</w:t>
      </w:r>
      <w:r w:rsidR="00AD6BC8" w:rsidRPr="003B7012">
        <w:rPr>
          <w:rFonts w:ascii="Trebuchet MS" w:eastAsiaTheme="minorHAnsi" w:hAnsi="Trebuchet MS" w:cs="AdvTT5843c571"/>
          <w:i/>
          <w:sz w:val="20"/>
          <w:szCs w:val="20"/>
        </w:rPr>
        <w:t xml:space="preserve"> </w:t>
      </w:r>
      <w:r w:rsidRPr="003B7012">
        <w:rPr>
          <w:rFonts w:ascii="Trebuchet MS" w:eastAsiaTheme="minorHAnsi" w:hAnsi="Trebuchet MS" w:cs="AdvTT5843c571"/>
          <w:sz w:val="20"/>
          <w:szCs w:val="20"/>
        </w:rPr>
        <w:t xml:space="preserve">para o estudo dos mecanismos moleculares subjacentes à morte celular isquémica (Xu </w:t>
      </w:r>
      <w:r w:rsidR="00F96813" w:rsidRPr="003B7012">
        <w:rPr>
          <w:rFonts w:ascii="Trebuchet MS" w:eastAsiaTheme="minorHAnsi" w:hAnsi="Trebuchet MS" w:cs="AdvTT5843c571"/>
          <w:i/>
          <w:sz w:val="20"/>
          <w:szCs w:val="20"/>
        </w:rPr>
        <w:t>et al.</w:t>
      </w:r>
      <w:r w:rsidRPr="003B7012">
        <w:rPr>
          <w:rFonts w:ascii="Trebuchet MS" w:eastAsiaTheme="minorHAnsi" w:hAnsi="Trebuchet MS" w:cs="AdvTT5843c571"/>
          <w:sz w:val="20"/>
          <w:szCs w:val="20"/>
        </w:rPr>
        <w:t xml:space="preserve">, 2002). Os </w:t>
      </w:r>
      <w:r w:rsidRPr="003B7012">
        <w:rPr>
          <w:rFonts w:ascii="Trebuchet MS" w:eastAsiaTheme="minorHAnsi" w:hAnsi="Trebuchet MS" w:cs="AdvTT5843c571"/>
          <w:sz w:val="20"/>
          <w:szCs w:val="20"/>
          <w:u w:val="single"/>
        </w:rPr>
        <w:t xml:space="preserve">modelos experimentais de isquémia </w:t>
      </w:r>
      <w:r w:rsidR="00194A32" w:rsidRPr="003B7012">
        <w:rPr>
          <w:rFonts w:ascii="Trebuchet MS" w:eastAsiaTheme="minorHAnsi" w:hAnsi="Trebuchet MS" w:cs="AdvTT5843c571"/>
          <w:i/>
          <w:sz w:val="20"/>
          <w:szCs w:val="20"/>
          <w:u w:val="single"/>
        </w:rPr>
        <w:t>in vivo</w:t>
      </w:r>
      <w:r w:rsidRPr="003B7012">
        <w:rPr>
          <w:rFonts w:ascii="Trebuchet MS" w:eastAsiaTheme="minorHAnsi" w:hAnsi="Trebuchet MS" w:cs="AdvTT5843c571"/>
          <w:sz w:val="20"/>
          <w:szCs w:val="20"/>
        </w:rPr>
        <w:t xml:space="preserve"> podem ser </w:t>
      </w:r>
      <w:r w:rsidRPr="003B7012">
        <w:rPr>
          <w:rFonts w:ascii="Trebuchet MS" w:eastAsiaTheme="minorHAnsi" w:hAnsi="Trebuchet MS" w:cs="AdvTT5843c571"/>
          <w:b/>
          <w:sz w:val="20"/>
          <w:szCs w:val="20"/>
        </w:rPr>
        <w:t>globais</w:t>
      </w:r>
      <w:r w:rsidRPr="003B7012">
        <w:rPr>
          <w:rFonts w:ascii="Trebuchet MS" w:eastAsiaTheme="minorHAnsi" w:hAnsi="Trebuchet MS" w:cs="AdvTT5843c571"/>
          <w:sz w:val="20"/>
          <w:szCs w:val="20"/>
        </w:rPr>
        <w:t xml:space="preserve">, </w:t>
      </w:r>
      <w:r w:rsidRPr="003B7012">
        <w:rPr>
          <w:rFonts w:ascii="Trebuchet MS" w:eastAsiaTheme="minorHAnsi" w:hAnsi="Trebuchet MS" w:cs="AdvTT5843c571"/>
          <w:sz w:val="20"/>
          <w:szCs w:val="20"/>
          <w:u w:val="single"/>
        </w:rPr>
        <w:t>quando afe</w:t>
      </w:r>
      <w:r w:rsidRPr="003B7012">
        <w:rPr>
          <w:rFonts w:ascii="Trebuchet MS" w:eastAsiaTheme="minorHAnsi" w:hAnsi="Trebuchet MS" w:cs="AdvTT5843c571"/>
          <w:sz w:val="20"/>
          <w:szCs w:val="20"/>
          <w:u w:val="single"/>
        </w:rPr>
        <w:t>c</w:t>
      </w:r>
      <w:r w:rsidRPr="003B7012">
        <w:rPr>
          <w:rFonts w:ascii="Trebuchet MS" w:eastAsiaTheme="minorHAnsi" w:hAnsi="Trebuchet MS" w:cs="AdvTT5843c571"/>
          <w:sz w:val="20"/>
          <w:szCs w:val="20"/>
          <w:u w:val="single"/>
        </w:rPr>
        <w:t>tam todo o cérebro</w:t>
      </w:r>
      <w:r w:rsidRPr="003B7012">
        <w:rPr>
          <w:rFonts w:ascii="Trebuchet MS" w:eastAsiaTheme="minorHAnsi" w:hAnsi="Trebuchet MS" w:cs="AdvTT5843c571"/>
          <w:sz w:val="20"/>
          <w:szCs w:val="20"/>
        </w:rPr>
        <w:t xml:space="preserve">, ou </w:t>
      </w:r>
      <w:r w:rsidRPr="003B7012">
        <w:rPr>
          <w:rFonts w:ascii="Trebuchet MS" w:eastAsiaTheme="minorHAnsi" w:hAnsi="Trebuchet MS" w:cs="AdvTT5843c571"/>
          <w:b/>
          <w:sz w:val="20"/>
          <w:szCs w:val="20"/>
        </w:rPr>
        <w:t>focais</w:t>
      </w:r>
      <w:r w:rsidRPr="003B7012">
        <w:rPr>
          <w:rFonts w:ascii="Trebuchet MS" w:eastAsiaTheme="minorHAnsi" w:hAnsi="Trebuchet MS" w:cs="AdvTT5843c571"/>
          <w:sz w:val="20"/>
          <w:szCs w:val="20"/>
        </w:rPr>
        <w:t xml:space="preserve">, </w:t>
      </w:r>
      <w:r w:rsidRPr="003B7012">
        <w:rPr>
          <w:rFonts w:ascii="Trebuchet MS" w:eastAsiaTheme="minorHAnsi" w:hAnsi="Trebuchet MS" w:cs="AdvTT5843c571"/>
          <w:sz w:val="20"/>
          <w:szCs w:val="20"/>
          <w:u w:val="single"/>
        </w:rPr>
        <w:t>quando afectam uma pequena região</w:t>
      </w:r>
      <w:r w:rsidRPr="003B7012">
        <w:rPr>
          <w:rFonts w:ascii="Trebuchet MS" w:eastAsiaTheme="minorHAnsi" w:hAnsi="Trebuchet MS" w:cs="AdvTT5843c571"/>
          <w:sz w:val="20"/>
          <w:szCs w:val="20"/>
        </w:rPr>
        <w:t>; permanentes quando sem reperfusão ou transitórios quando seguidos de reperfusão. Nos modelos experimentais para a isquémia cerebral global são interrompidos os grandes vasos extra-cranianos, simula</w:t>
      </w:r>
      <w:r w:rsidRPr="003B7012">
        <w:rPr>
          <w:rFonts w:ascii="Trebuchet MS" w:eastAsiaTheme="minorHAnsi" w:hAnsi="Trebuchet MS" w:cs="AdvTT5843c571"/>
          <w:sz w:val="20"/>
          <w:szCs w:val="20"/>
        </w:rPr>
        <w:t>n</w:t>
      </w:r>
      <w:r w:rsidRPr="003B7012">
        <w:rPr>
          <w:rFonts w:ascii="Trebuchet MS" w:eastAsiaTheme="minorHAnsi" w:hAnsi="Trebuchet MS" w:cs="AdvTT5843c571"/>
          <w:sz w:val="20"/>
          <w:szCs w:val="20"/>
        </w:rPr>
        <w:t>do distúrbios circulatórios globais que acontecem durante um ataque cardíaco ou hipotensão severa (</w:t>
      </w:r>
      <w:r w:rsidR="004149DC">
        <w:rPr>
          <w:rFonts w:ascii="Trebuchet MS" w:eastAsiaTheme="minorHAnsi" w:hAnsi="Trebuchet MS" w:cs="AdvTT5843c571"/>
          <w:sz w:val="20"/>
          <w:szCs w:val="20"/>
        </w:rPr>
        <w:t>Para revisão ver</w:t>
      </w:r>
      <w:r w:rsidRPr="003B7012">
        <w:rPr>
          <w:rFonts w:ascii="Trebuchet MS" w:eastAsiaTheme="minorHAnsi" w:hAnsi="Trebuchet MS" w:cs="AdvTT5843c571"/>
          <w:sz w:val="20"/>
          <w:szCs w:val="20"/>
        </w:rPr>
        <w:t xml:space="preserve"> Lipton </w:t>
      </w:r>
      <w:r w:rsidR="00F96813" w:rsidRPr="003B7012">
        <w:rPr>
          <w:rFonts w:ascii="Trebuchet MS" w:eastAsiaTheme="minorHAnsi" w:hAnsi="Trebuchet MS" w:cs="AdvTT5843c571"/>
          <w:i/>
          <w:sz w:val="20"/>
          <w:szCs w:val="20"/>
        </w:rPr>
        <w:t>et al.</w:t>
      </w:r>
      <w:r w:rsidRPr="003B7012">
        <w:rPr>
          <w:rFonts w:ascii="Trebuchet MS" w:eastAsiaTheme="minorHAnsi" w:hAnsi="Trebuchet MS" w:cs="AdvTT5843c571"/>
          <w:sz w:val="20"/>
          <w:szCs w:val="20"/>
        </w:rPr>
        <w:t xml:space="preserve">, 1999). </w:t>
      </w:r>
      <w:r w:rsidRPr="003B7012">
        <w:rPr>
          <w:rFonts w:ascii="Trebuchet MS" w:eastAsiaTheme="minorHAnsi" w:hAnsi="Trebuchet MS"/>
          <w:sz w:val="20"/>
          <w:szCs w:val="20"/>
        </w:rPr>
        <w:t>E</w:t>
      </w:r>
      <w:r w:rsidR="00B57E41">
        <w:rPr>
          <w:rFonts w:ascii="Trebuchet MS" w:eastAsiaTheme="minorHAnsi" w:hAnsi="Trebuchet MS"/>
          <w:sz w:val="20"/>
          <w:szCs w:val="20"/>
        </w:rPr>
        <w:t>stes</w:t>
      </w:r>
      <w:r w:rsidRPr="003B7012">
        <w:rPr>
          <w:rFonts w:ascii="Trebuchet MS" w:eastAsiaTheme="minorHAnsi" w:hAnsi="Trebuchet MS"/>
          <w:sz w:val="20"/>
          <w:szCs w:val="20"/>
        </w:rPr>
        <w:t xml:space="preserve"> </w:t>
      </w:r>
      <w:proofErr w:type="gramStart"/>
      <w:r w:rsidRPr="003B7012">
        <w:rPr>
          <w:rFonts w:ascii="Trebuchet MS" w:eastAsiaTheme="minorHAnsi" w:hAnsi="Trebuchet MS"/>
          <w:sz w:val="20"/>
          <w:szCs w:val="20"/>
        </w:rPr>
        <w:t xml:space="preserve">modelos </w:t>
      </w:r>
      <w:r w:rsidR="00194A32" w:rsidRPr="003B7012">
        <w:rPr>
          <w:rFonts w:ascii="Trebuchet MS" w:eastAsiaTheme="minorHAnsi" w:hAnsi="Trebuchet MS"/>
          <w:i/>
          <w:sz w:val="20"/>
          <w:szCs w:val="20"/>
        </w:rPr>
        <w:t>in vivo</w:t>
      </w:r>
      <w:proofErr w:type="gramEnd"/>
      <w:r w:rsidRPr="003B7012">
        <w:rPr>
          <w:rFonts w:ascii="Trebuchet MS" w:eastAsiaTheme="minorHAnsi" w:hAnsi="Trebuchet MS"/>
          <w:sz w:val="20"/>
          <w:szCs w:val="20"/>
        </w:rPr>
        <w:t xml:space="preserve">, mostram exactamente o pré-condicionamento, no entanto, são tecnicamente difíceis, demorados e dispendiosos, ao passo que, </w:t>
      </w:r>
      <w:r w:rsidR="00B57E41">
        <w:rPr>
          <w:rFonts w:ascii="Trebuchet MS" w:eastAsiaTheme="minorHAnsi" w:hAnsi="Trebuchet MS"/>
          <w:sz w:val="20"/>
          <w:szCs w:val="20"/>
        </w:rPr>
        <w:t>os</w:t>
      </w:r>
      <w:r w:rsidRPr="003B7012">
        <w:rPr>
          <w:rFonts w:ascii="Trebuchet MS" w:eastAsiaTheme="minorHAnsi" w:hAnsi="Trebuchet MS"/>
          <w:sz w:val="20"/>
          <w:szCs w:val="20"/>
        </w:rPr>
        <w:t xml:space="preserve"> modelos </w:t>
      </w:r>
      <w:r w:rsidR="00194A32" w:rsidRPr="003B7012">
        <w:rPr>
          <w:rFonts w:ascii="Trebuchet MS" w:eastAsiaTheme="minorHAnsi" w:hAnsi="Trebuchet MS"/>
          <w:i/>
          <w:sz w:val="20"/>
          <w:szCs w:val="20"/>
        </w:rPr>
        <w:t xml:space="preserve">in vitro </w:t>
      </w:r>
      <w:r w:rsidRPr="003B7012">
        <w:rPr>
          <w:rFonts w:ascii="Trebuchet MS" w:eastAsiaTheme="minorHAnsi" w:hAnsi="Trebuchet MS"/>
          <w:sz w:val="20"/>
          <w:szCs w:val="20"/>
        </w:rPr>
        <w:t>de pré-condicionamento são tecnicamente mais fác</w:t>
      </w:r>
      <w:r w:rsidR="00B57E41">
        <w:rPr>
          <w:rFonts w:ascii="Trebuchet MS" w:eastAsiaTheme="minorHAnsi" w:hAnsi="Trebuchet MS"/>
          <w:sz w:val="20"/>
          <w:szCs w:val="20"/>
        </w:rPr>
        <w:t>eis</w:t>
      </w:r>
      <w:r w:rsidRPr="003B7012">
        <w:rPr>
          <w:rFonts w:ascii="Trebuchet MS" w:eastAsiaTheme="minorHAnsi" w:hAnsi="Trebuchet MS"/>
          <w:sz w:val="20"/>
          <w:szCs w:val="20"/>
        </w:rPr>
        <w:t xml:space="preserve"> e menos dispendiosos (Goldberg </w:t>
      </w:r>
      <w:r w:rsidR="00F96813" w:rsidRPr="003B7012">
        <w:rPr>
          <w:rFonts w:ascii="Trebuchet MS" w:eastAsiaTheme="minorHAnsi" w:hAnsi="Trebuchet MS"/>
          <w:i/>
          <w:sz w:val="20"/>
          <w:szCs w:val="20"/>
        </w:rPr>
        <w:t>et al.</w:t>
      </w:r>
      <w:r w:rsidRPr="003B7012">
        <w:rPr>
          <w:rFonts w:ascii="Trebuchet MS" w:eastAsiaTheme="minorHAnsi" w:hAnsi="Trebuchet MS"/>
          <w:sz w:val="20"/>
          <w:szCs w:val="20"/>
        </w:rPr>
        <w:t xml:space="preserve">, 1997; Hassen </w:t>
      </w:r>
      <w:r w:rsidR="00F96813" w:rsidRPr="003B7012">
        <w:rPr>
          <w:rFonts w:ascii="Trebuchet MS" w:eastAsiaTheme="minorHAnsi" w:hAnsi="Trebuchet MS"/>
          <w:i/>
          <w:sz w:val="20"/>
          <w:szCs w:val="20"/>
        </w:rPr>
        <w:t>et al.</w:t>
      </w:r>
      <w:r w:rsidRPr="003B7012">
        <w:rPr>
          <w:rFonts w:ascii="Trebuchet MS" w:eastAsiaTheme="minorHAnsi" w:hAnsi="Trebuchet MS"/>
          <w:sz w:val="20"/>
          <w:szCs w:val="20"/>
        </w:rPr>
        <w:t>, 2004).</w:t>
      </w:r>
    </w:p>
    <w:p w:rsidR="005D72A2" w:rsidRPr="00C65DA3" w:rsidRDefault="005D72A2" w:rsidP="005D72A2">
      <w:pPr>
        <w:spacing w:line="360" w:lineRule="auto"/>
        <w:ind w:firstLine="708"/>
        <w:jc w:val="both"/>
        <w:rPr>
          <w:rFonts w:ascii="Trebuchet MS" w:eastAsiaTheme="minorHAnsi" w:hAnsi="Trebuchet MS" w:cstheme="minorBidi"/>
          <w:sz w:val="20"/>
        </w:rPr>
      </w:pPr>
      <w:r w:rsidRPr="00C65DA3">
        <w:rPr>
          <w:rFonts w:ascii="Trebuchet MS" w:eastAsiaTheme="minorHAnsi" w:hAnsi="Trebuchet MS" w:cstheme="minorBidi"/>
          <w:sz w:val="20"/>
        </w:rPr>
        <w:t xml:space="preserve">Os modelos </w:t>
      </w:r>
      <w:proofErr w:type="gramStart"/>
      <w:r w:rsidRPr="00C65DA3">
        <w:rPr>
          <w:rFonts w:ascii="Trebuchet MS" w:eastAsiaTheme="minorHAnsi" w:hAnsi="Trebuchet MS" w:cstheme="minorBidi"/>
          <w:i/>
          <w:sz w:val="20"/>
        </w:rPr>
        <w:t>in vitro</w:t>
      </w:r>
      <w:proofErr w:type="gramEnd"/>
      <w:r w:rsidRPr="00C65DA3">
        <w:rPr>
          <w:rFonts w:ascii="Trebuchet MS" w:eastAsiaTheme="minorHAnsi" w:hAnsi="Trebuchet MS" w:cstheme="minorBidi"/>
          <w:i/>
          <w:sz w:val="20"/>
        </w:rPr>
        <w:t xml:space="preserve"> </w:t>
      </w:r>
      <w:r w:rsidRPr="00C65DA3">
        <w:rPr>
          <w:rFonts w:ascii="Trebuchet MS" w:eastAsiaTheme="minorHAnsi" w:hAnsi="Trebuchet MS" w:cstheme="minorBidi"/>
          <w:sz w:val="20"/>
        </w:rPr>
        <w:t xml:space="preserve">diferem em muitos aspectos do cérebro intacto, pelo que, a extrapolação dos resultados obtidos </w:t>
      </w:r>
      <w:r w:rsidRPr="00C65DA3">
        <w:rPr>
          <w:rFonts w:ascii="Trebuchet MS" w:eastAsiaTheme="minorHAnsi" w:hAnsi="Trebuchet MS" w:cstheme="minorBidi"/>
          <w:i/>
          <w:sz w:val="20"/>
        </w:rPr>
        <w:t xml:space="preserve">in vitro </w:t>
      </w:r>
      <w:r w:rsidRPr="00C65DA3">
        <w:rPr>
          <w:rFonts w:ascii="Trebuchet MS" w:eastAsiaTheme="minorHAnsi" w:hAnsi="Trebuchet MS" w:cstheme="minorBidi"/>
          <w:sz w:val="20"/>
        </w:rPr>
        <w:t xml:space="preserve">para animais em condições </w:t>
      </w:r>
      <w:r w:rsidR="0008489E">
        <w:rPr>
          <w:rFonts w:ascii="Trebuchet MS" w:eastAsiaTheme="minorHAnsi" w:hAnsi="Trebuchet MS" w:cstheme="minorBidi"/>
          <w:i/>
          <w:sz w:val="20"/>
        </w:rPr>
        <w:t xml:space="preserve">in vivo </w:t>
      </w:r>
      <w:r w:rsidR="0008489E" w:rsidRPr="0008489E">
        <w:rPr>
          <w:rFonts w:ascii="Trebuchet MS" w:eastAsiaTheme="minorHAnsi" w:hAnsi="Trebuchet MS" w:cstheme="minorBidi"/>
          <w:sz w:val="20"/>
        </w:rPr>
        <w:t>nem sempr</w:t>
      </w:r>
      <w:r w:rsidR="0008489E">
        <w:rPr>
          <w:rFonts w:ascii="Trebuchet MS" w:eastAsiaTheme="minorHAnsi" w:hAnsi="Trebuchet MS" w:cstheme="minorBidi"/>
          <w:sz w:val="20"/>
        </w:rPr>
        <w:t xml:space="preserve">e </w:t>
      </w:r>
      <w:r w:rsidRPr="00C65DA3">
        <w:rPr>
          <w:rFonts w:ascii="Trebuchet MS" w:eastAsiaTheme="minorHAnsi" w:hAnsi="Trebuchet MS" w:cstheme="minorBidi"/>
          <w:sz w:val="20"/>
        </w:rPr>
        <w:t xml:space="preserve">é apropriada (Popovic </w:t>
      </w:r>
      <w:r w:rsidRPr="00C65DA3">
        <w:rPr>
          <w:rFonts w:ascii="Trebuchet MS" w:eastAsiaTheme="minorHAnsi" w:hAnsi="Trebuchet MS" w:cstheme="minorBidi"/>
          <w:i/>
          <w:sz w:val="20"/>
        </w:rPr>
        <w:t>et al.</w:t>
      </w:r>
      <w:r w:rsidRPr="00C65DA3">
        <w:rPr>
          <w:rFonts w:ascii="Trebuchet MS" w:eastAsiaTheme="minorHAnsi" w:hAnsi="Trebuchet MS" w:cstheme="minorBidi"/>
          <w:sz w:val="20"/>
        </w:rPr>
        <w:t xml:space="preserve">, 2000; Yuan </w:t>
      </w:r>
      <w:r w:rsidRPr="00C65DA3">
        <w:rPr>
          <w:rFonts w:ascii="Trebuchet MS" w:eastAsiaTheme="minorHAnsi" w:hAnsi="Trebuchet MS" w:cstheme="minorBidi"/>
          <w:i/>
          <w:sz w:val="20"/>
        </w:rPr>
        <w:t>et al.</w:t>
      </w:r>
      <w:r w:rsidRPr="00C65DA3">
        <w:rPr>
          <w:rFonts w:ascii="Trebuchet MS" w:eastAsiaTheme="minorHAnsi" w:hAnsi="Trebuchet MS" w:cstheme="minorBidi"/>
          <w:sz w:val="20"/>
        </w:rPr>
        <w:t xml:space="preserve">, 2004), bem como, </w:t>
      </w:r>
      <w:r w:rsidR="00E442C7">
        <w:rPr>
          <w:rFonts w:ascii="Trebuchet MS" w:eastAsiaTheme="minorHAnsi" w:hAnsi="Trebuchet MS" w:cstheme="minorBidi"/>
          <w:sz w:val="20"/>
        </w:rPr>
        <w:t>nem sempre</w:t>
      </w:r>
      <w:r w:rsidRPr="00C65DA3">
        <w:rPr>
          <w:rFonts w:ascii="Trebuchet MS" w:eastAsiaTheme="minorHAnsi" w:hAnsi="Trebuchet MS" w:cstheme="minorBidi"/>
          <w:sz w:val="20"/>
        </w:rPr>
        <w:t xml:space="preserve"> é apropriado a extrapolação para humanos </w:t>
      </w:r>
      <w:r w:rsidR="00E62677">
        <w:rPr>
          <w:rFonts w:ascii="Trebuchet MS" w:eastAsiaTheme="minorHAnsi" w:hAnsi="Trebuchet MS" w:cstheme="minorBidi"/>
          <w:sz w:val="20"/>
        </w:rPr>
        <w:t xml:space="preserve">dos resultados obtidos em experiências </w:t>
      </w:r>
      <w:r w:rsidRPr="00C65DA3">
        <w:rPr>
          <w:rFonts w:ascii="Trebuchet MS" w:eastAsiaTheme="minorHAnsi" w:hAnsi="Trebuchet MS" w:cstheme="minorBidi"/>
          <w:sz w:val="20"/>
        </w:rPr>
        <w:t xml:space="preserve">realizadas em tecido cerebral de ratos (Yuan </w:t>
      </w:r>
      <w:r w:rsidRPr="00C65DA3">
        <w:rPr>
          <w:rFonts w:ascii="Trebuchet MS" w:eastAsiaTheme="minorHAnsi" w:hAnsi="Trebuchet MS" w:cstheme="minorBidi"/>
          <w:i/>
          <w:sz w:val="20"/>
        </w:rPr>
        <w:t>et al.</w:t>
      </w:r>
      <w:r w:rsidRPr="00C65DA3">
        <w:rPr>
          <w:rFonts w:ascii="Trebuchet MS" w:eastAsiaTheme="minorHAnsi" w:hAnsi="Trebuchet MS" w:cstheme="minorBidi"/>
          <w:sz w:val="20"/>
        </w:rPr>
        <w:t>, 2004).</w:t>
      </w:r>
    </w:p>
    <w:p w:rsidR="005D72A2" w:rsidRPr="00C65DA3" w:rsidRDefault="005D72A2" w:rsidP="005D72A2">
      <w:pPr>
        <w:spacing w:line="360" w:lineRule="auto"/>
        <w:ind w:firstLine="708"/>
        <w:jc w:val="both"/>
        <w:rPr>
          <w:rFonts w:ascii="Trebuchet MS" w:eastAsiaTheme="minorHAnsi" w:hAnsi="Trebuchet MS" w:cstheme="minorBidi"/>
          <w:sz w:val="20"/>
        </w:rPr>
      </w:pPr>
      <w:r w:rsidRPr="00C65DA3">
        <w:rPr>
          <w:rFonts w:ascii="Trebuchet MS" w:eastAsiaTheme="minorHAnsi" w:hAnsi="Trebuchet MS" w:cstheme="minorBidi"/>
          <w:sz w:val="20"/>
        </w:rPr>
        <w:t xml:space="preserve"> Entre os vários aspectos que diferem entre os modelos </w:t>
      </w:r>
      <w:proofErr w:type="gramStart"/>
      <w:r w:rsidRPr="00C65DA3">
        <w:rPr>
          <w:rFonts w:ascii="Trebuchet MS" w:eastAsiaTheme="minorHAnsi" w:hAnsi="Trebuchet MS" w:cstheme="minorBidi"/>
          <w:i/>
          <w:sz w:val="20"/>
        </w:rPr>
        <w:t>in vitro</w:t>
      </w:r>
      <w:proofErr w:type="gramEnd"/>
      <w:r w:rsidRPr="00C65DA3">
        <w:rPr>
          <w:rFonts w:ascii="Trebuchet MS" w:eastAsiaTheme="minorHAnsi" w:hAnsi="Trebuchet MS" w:cstheme="minorBidi"/>
          <w:i/>
          <w:sz w:val="20"/>
        </w:rPr>
        <w:t xml:space="preserve"> </w:t>
      </w:r>
      <w:r w:rsidRPr="00C65DA3">
        <w:rPr>
          <w:rFonts w:ascii="Trebuchet MS" w:eastAsiaTheme="minorHAnsi" w:hAnsi="Trebuchet MS" w:cstheme="minorBidi"/>
          <w:sz w:val="20"/>
        </w:rPr>
        <w:t xml:space="preserve">e </w:t>
      </w:r>
      <w:r w:rsidRPr="00C65DA3">
        <w:rPr>
          <w:rFonts w:ascii="Trebuchet MS" w:eastAsiaTheme="minorHAnsi" w:hAnsi="Trebuchet MS" w:cstheme="minorBidi"/>
          <w:i/>
          <w:sz w:val="20"/>
        </w:rPr>
        <w:t>in vivo</w:t>
      </w:r>
      <w:r w:rsidRPr="00C65DA3">
        <w:rPr>
          <w:rFonts w:ascii="Trebuchet MS" w:eastAsiaTheme="minorHAnsi" w:hAnsi="Trebuchet MS" w:cstheme="minorBidi"/>
          <w:sz w:val="20"/>
        </w:rPr>
        <w:t xml:space="preserve">, </w:t>
      </w:r>
      <w:r w:rsidR="000C749E">
        <w:rPr>
          <w:rFonts w:ascii="Trebuchet MS" w:eastAsiaTheme="minorHAnsi" w:hAnsi="Trebuchet MS" w:cstheme="minorBidi"/>
          <w:sz w:val="20"/>
        </w:rPr>
        <w:t>refira-se que</w:t>
      </w:r>
      <w:r w:rsidRPr="00C65DA3">
        <w:rPr>
          <w:rFonts w:ascii="Trebuchet MS" w:eastAsiaTheme="minorHAnsi" w:hAnsi="Trebuchet MS" w:cstheme="minorBidi"/>
          <w:sz w:val="20"/>
        </w:rPr>
        <w:t xml:space="preserve"> durante a simulação de isquémia, a PCO</w:t>
      </w:r>
      <w:r w:rsidRPr="00C65DA3">
        <w:rPr>
          <w:rFonts w:ascii="Trebuchet MS" w:eastAsiaTheme="minorHAnsi" w:hAnsi="Trebuchet MS" w:cstheme="minorBidi"/>
          <w:sz w:val="20"/>
          <w:vertAlign w:val="subscript"/>
        </w:rPr>
        <w:t>2</w:t>
      </w:r>
      <w:r w:rsidRPr="00C65DA3">
        <w:rPr>
          <w:rFonts w:ascii="Trebuchet MS" w:eastAsiaTheme="minorHAnsi" w:hAnsi="Trebuchet MS" w:cstheme="minorBidi"/>
          <w:sz w:val="20"/>
        </w:rPr>
        <w:t>, [H</w:t>
      </w:r>
      <w:r w:rsidRPr="00C65DA3">
        <w:rPr>
          <w:rFonts w:ascii="Trebuchet MS" w:eastAsiaTheme="minorHAnsi" w:hAnsi="Trebuchet MS" w:cstheme="minorBidi"/>
          <w:sz w:val="20"/>
          <w:vertAlign w:val="superscript"/>
        </w:rPr>
        <w:t>+</w:t>
      </w:r>
      <w:r w:rsidRPr="00C65DA3">
        <w:rPr>
          <w:rFonts w:ascii="Trebuchet MS" w:eastAsiaTheme="minorHAnsi" w:hAnsi="Trebuchet MS" w:cstheme="minorBidi"/>
          <w:sz w:val="20"/>
        </w:rPr>
        <w:t xml:space="preserve">] e os níveis de lactato não são alterados como sucede </w:t>
      </w:r>
      <w:r w:rsidRPr="00C65DA3">
        <w:rPr>
          <w:rFonts w:ascii="Trebuchet MS" w:eastAsiaTheme="minorHAnsi" w:hAnsi="Trebuchet MS" w:cstheme="minorBidi"/>
          <w:i/>
          <w:sz w:val="20"/>
        </w:rPr>
        <w:t>in vivo</w:t>
      </w:r>
      <w:r w:rsidR="000C749E">
        <w:rPr>
          <w:rFonts w:ascii="Trebuchet MS" w:eastAsiaTheme="minorHAnsi" w:hAnsi="Trebuchet MS" w:cstheme="minorBidi"/>
          <w:sz w:val="20"/>
        </w:rPr>
        <w:t xml:space="preserve">, devido à </w:t>
      </w:r>
      <w:r w:rsidRPr="00C65DA3">
        <w:rPr>
          <w:rFonts w:ascii="Trebuchet MS" w:eastAsiaTheme="minorHAnsi" w:hAnsi="Trebuchet MS" w:cstheme="minorBidi"/>
          <w:sz w:val="20"/>
        </w:rPr>
        <w:t xml:space="preserve">separação das fatias que permite </w:t>
      </w:r>
      <w:r w:rsidR="000C749E">
        <w:rPr>
          <w:rFonts w:ascii="Trebuchet MS" w:eastAsiaTheme="minorHAnsi" w:hAnsi="Trebuchet MS" w:cstheme="minorBidi"/>
          <w:sz w:val="20"/>
        </w:rPr>
        <w:t xml:space="preserve">a </w:t>
      </w:r>
      <w:r w:rsidRPr="00C65DA3">
        <w:rPr>
          <w:rFonts w:ascii="Trebuchet MS" w:eastAsiaTheme="minorHAnsi" w:hAnsi="Trebuchet MS" w:cstheme="minorBidi"/>
          <w:sz w:val="20"/>
        </w:rPr>
        <w:t xml:space="preserve">difusão (Popovic </w:t>
      </w:r>
      <w:r w:rsidRPr="00C65DA3">
        <w:rPr>
          <w:rFonts w:ascii="Trebuchet MS" w:eastAsiaTheme="minorHAnsi" w:hAnsi="Trebuchet MS" w:cstheme="minorBidi"/>
          <w:i/>
          <w:sz w:val="20"/>
        </w:rPr>
        <w:t>et al.</w:t>
      </w:r>
      <w:r w:rsidRPr="00C65DA3">
        <w:rPr>
          <w:rFonts w:ascii="Trebuchet MS" w:eastAsiaTheme="minorHAnsi" w:hAnsi="Trebuchet MS" w:cstheme="minorBidi"/>
          <w:sz w:val="20"/>
        </w:rPr>
        <w:t xml:space="preserve">, 2000). </w:t>
      </w:r>
    </w:p>
    <w:p w:rsidR="000C749E" w:rsidRDefault="005D72A2" w:rsidP="005D72A2">
      <w:pPr>
        <w:autoSpaceDE w:val="0"/>
        <w:autoSpaceDN w:val="0"/>
        <w:adjustRightInd w:val="0"/>
        <w:spacing w:line="360" w:lineRule="auto"/>
        <w:jc w:val="both"/>
        <w:rPr>
          <w:rFonts w:ascii="Trebuchet MS" w:eastAsiaTheme="minorHAnsi" w:hAnsi="Trebuchet MS" w:cs="Garamond-Book"/>
          <w:sz w:val="20"/>
        </w:rPr>
      </w:pPr>
      <w:r w:rsidRPr="00C65DA3">
        <w:rPr>
          <w:rFonts w:ascii="Trebuchet MS" w:eastAsiaTheme="minorHAnsi" w:hAnsi="Trebuchet MS" w:cs="Garamond-Book"/>
          <w:sz w:val="20"/>
          <w:szCs w:val="22"/>
        </w:rPr>
        <w:tab/>
        <w:t xml:space="preserve">Os modelos </w:t>
      </w:r>
      <w:r w:rsidRPr="00C65DA3">
        <w:rPr>
          <w:rFonts w:ascii="Trebuchet MS" w:eastAsiaTheme="minorHAnsi" w:hAnsi="Trebuchet MS" w:cs="Garamond-Book"/>
          <w:i/>
          <w:sz w:val="20"/>
          <w:szCs w:val="22"/>
        </w:rPr>
        <w:t xml:space="preserve">in vitro </w:t>
      </w:r>
      <w:r w:rsidRPr="00C65DA3">
        <w:rPr>
          <w:rFonts w:ascii="Trebuchet MS" w:eastAsiaTheme="minorHAnsi" w:hAnsi="Trebuchet MS" w:cs="Garamond-Book"/>
          <w:sz w:val="20"/>
          <w:szCs w:val="22"/>
        </w:rPr>
        <w:t xml:space="preserve">oferecem </w:t>
      </w:r>
      <w:r w:rsidR="000C749E">
        <w:rPr>
          <w:rFonts w:ascii="Trebuchet MS" w:eastAsiaTheme="minorHAnsi" w:hAnsi="Trebuchet MS" w:cs="Garamond-Book"/>
          <w:sz w:val="20"/>
          <w:szCs w:val="22"/>
        </w:rPr>
        <w:t xml:space="preserve">algumas </w:t>
      </w:r>
      <w:r w:rsidRPr="00C65DA3">
        <w:rPr>
          <w:rFonts w:ascii="Trebuchet MS" w:eastAsiaTheme="minorHAnsi" w:hAnsi="Trebuchet MS" w:cs="Garamond-Book"/>
          <w:sz w:val="20"/>
          <w:szCs w:val="22"/>
        </w:rPr>
        <w:t xml:space="preserve">vantagens quando </w:t>
      </w:r>
      <w:proofErr w:type="gramStart"/>
      <w:r w:rsidRPr="00C65DA3">
        <w:rPr>
          <w:rFonts w:ascii="Trebuchet MS" w:eastAsiaTheme="minorHAnsi" w:hAnsi="Trebuchet MS" w:cs="Garamond-Book"/>
          <w:sz w:val="20"/>
          <w:szCs w:val="22"/>
        </w:rPr>
        <w:t xml:space="preserve">comparados com os modelos </w:t>
      </w:r>
      <w:r w:rsidRPr="00C65DA3">
        <w:rPr>
          <w:rFonts w:ascii="Trebuchet MS" w:eastAsiaTheme="minorHAnsi" w:hAnsi="Trebuchet MS" w:cs="Garamond-Book"/>
          <w:i/>
          <w:sz w:val="20"/>
          <w:szCs w:val="22"/>
        </w:rPr>
        <w:t>in vivo</w:t>
      </w:r>
      <w:proofErr w:type="gramEnd"/>
      <w:r w:rsidRPr="00C65DA3">
        <w:rPr>
          <w:rFonts w:ascii="Trebuchet MS" w:eastAsiaTheme="minorHAnsi" w:hAnsi="Trebuchet MS" w:cs="Garamond-Book"/>
          <w:i/>
          <w:sz w:val="20"/>
          <w:szCs w:val="22"/>
        </w:rPr>
        <w:t xml:space="preserve"> </w:t>
      </w:r>
      <w:r w:rsidRPr="00C65DA3">
        <w:rPr>
          <w:rFonts w:ascii="Trebuchet MS" w:eastAsiaTheme="minorHAnsi" w:hAnsi="Trebuchet MS" w:cs="Garamond-Book"/>
          <w:sz w:val="20"/>
        </w:rPr>
        <w:t xml:space="preserve">(Yuan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2004)</w:t>
      </w:r>
      <w:r w:rsidRPr="00C65DA3">
        <w:rPr>
          <w:rFonts w:ascii="Trebuchet MS" w:eastAsiaTheme="minorHAnsi" w:hAnsi="Trebuchet MS" w:cs="Garamond-Book"/>
          <w:sz w:val="20"/>
          <w:szCs w:val="22"/>
        </w:rPr>
        <w:t xml:space="preserve">. </w:t>
      </w:r>
      <w:r w:rsidRPr="00C65DA3">
        <w:rPr>
          <w:rFonts w:ascii="Trebuchet MS" w:eastAsiaTheme="minorHAnsi" w:hAnsi="Trebuchet MS" w:cs="Garamond-Book"/>
          <w:sz w:val="20"/>
        </w:rPr>
        <w:t xml:space="preserve">Os modelos </w:t>
      </w:r>
      <w:proofErr w:type="gramStart"/>
      <w:r w:rsidRPr="00C65DA3">
        <w:rPr>
          <w:rFonts w:ascii="Trebuchet MS" w:eastAsiaTheme="minorHAnsi" w:hAnsi="Trebuchet MS" w:cs="Garamond-Book"/>
          <w:i/>
          <w:sz w:val="20"/>
        </w:rPr>
        <w:t>in vitro</w:t>
      </w:r>
      <w:proofErr w:type="gramEnd"/>
      <w:r w:rsidRPr="00C65DA3">
        <w:rPr>
          <w:rFonts w:ascii="Trebuchet MS" w:eastAsiaTheme="minorHAnsi" w:hAnsi="Trebuchet MS" w:cs="Garamond-Book"/>
          <w:i/>
          <w:sz w:val="20"/>
        </w:rPr>
        <w:t xml:space="preserve"> </w:t>
      </w:r>
      <w:r w:rsidRPr="00C65DA3">
        <w:rPr>
          <w:rFonts w:ascii="Trebuchet MS" w:eastAsiaTheme="minorHAnsi" w:hAnsi="Trebuchet MS" w:cs="Garamond-Book"/>
          <w:sz w:val="20"/>
        </w:rPr>
        <w:t>permitem a comparação entre vários trat</w:t>
      </w:r>
      <w:r w:rsidRPr="00C65DA3">
        <w:rPr>
          <w:rFonts w:ascii="Trebuchet MS" w:eastAsiaTheme="minorHAnsi" w:hAnsi="Trebuchet MS" w:cs="Garamond-Book"/>
          <w:sz w:val="20"/>
        </w:rPr>
        <w:t>a</w:t>
      </w:r>
      <w:r w:rsidRPr="00C65DA3">
        <w:rPr>
          <w:rFonts w:ascii="Trebuchet MS" w:eastAsiaTheme="minorHAnsi" w:hAnsi="Trebuchet MS" w:cs="Garamond-Book"/>
          <w:sz w:val="20"/>
        </w:rPr>
        <w:t xml:space="preserve">mentos sem os problemas associados aos modelos </w:t>
      </w:r>
      <w:r w:rsidRPr="00C65DA3">
        <w:rPr>
          <w:rFonts w:ascii="Trebuchet MS" w:eastAsiaTheme="minorHAnsi" w:hAnsi="Trebuchet MS" w:cs="Garamond-Book"/>
          <w:i/>
          <w:sz w:val="20"/>
        </w:rPr>
        <w:t>in vivo</w:t>
      </w:r>
      <w:r w:rsidRPr="00C65DA3">
        <w:rPr>
          <w:rFonts w:ascii="Trebuchet MS" w:eastAsiaTheme="minorHAnsi" w:hAnsi="Trebuchet MS" w:cs="Garamond-Book"/>
          <w:sz w:val="20"/>
        </w:rPr>
        <w:t>, como as diferenças no fluxo sangu</w:t>
      </w:r>
      <w:r w:rsidRPr="00C65DA3">
        <w:rPr>
          <w:rFonts w:ascii="Trebuchet MS" w:eastAsiaTheme="minorHAnsi" w:hAnsi="Trebuchet MS" w:cs="Garamond-Book"/>
          <w:sz w:val="20"/>
        </w:rPr>
        <w:t>í</w:t>
      </w:r>
      <w:r w:rsidRPr="00C65DA3">
        <w:rPr>
          <w:rFonts w:ascii="Trebuchet MS" w:eastAsiaTheme="minorHAnsi" w:hAnsi="Trebuchet MS" w:cs="Garamond-Book"/>
          <w:sz w:val="20"/>
        </w:rPr>
        <w:t xml:space="preserve">neo cerebral entre os grupos de tratamento (Popovic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xml:space="preserve">, 2000). Isto é, o modelo </w:t>
      </w:r>
      <w:proofErr w:type="gramStart"/>
      <w:r w:rsidRPr="00C65DA3">
        <w:rPr>
          <w:rFonts w:ascii="Trebuchet MS" w:eastAsiaTheme="minorHAnsi" w:hAnsi="Trebuchet MS" w:cs="Garamond-Book"/>
          <w:i/>
          <w:sz w:val="20"/>
        </w:rPr>
        <w:t>in vitro</w:t>
      </w:r>
      <w:proofErr w:type="gramEnd"/>
      <w:r w:rsidRPr="00C65DA3">
        <w:rPr>
          <w:rFonts w:ascii="Trebuchet MS" w:eastAsiaTheme="minorHAnsi" w:hAnsi="Trebuchet MS" w:cs="Garamond-Book"/>
          <w:i/>
          <w:sz w:val="20"/>
        </w:rPr>
        <w:t xml:space="preserve"> </w:t>
      </w:r>
      <w:r w:rsidRPr="00C65DA3">
        <w:rPr>
          <w:rFonts w:ascii="Trebuchet MS" w:eastAsiaTheme="minorHAnsi" w:hAnsi="Trebuchet MS" w:cs="Garamond-Book"/>
          <w:sz w:val="20"/>
        </w:rPr>
        <w:t>elimina a interferência de variáveis sistémicas, como pressão arterial e fluxo sanguíneo cer</w:t>
      </w:r>
      <w:r w:rsidRPr="00C65DA3">
        <w:rPr>
          <w:rFonts w:ascii="Trebuchet MS" w:eastAsiaTheme="minorHAnsi" w:hAnsi="Trebuchet MS" w:cs="Garamond-Book"/>
          <w:sz w:val="20"/>
        </w:rPr>
        <w:t>e</w:t>
      </w:r>
      <w:r w:rsidRPr="00C65DA3">
        <w:rPr>
          <w:rFonts w:ascii="Trebuchet MS" w:eastAsiaTheme="minorHAnsi" w:hAnsi="Trebuchet MS" w:cs="Garamond-Book"/>
          <w:sz w:val="20"/>
        </w:rPr>
        <w:t xml:space="preserve">bral existentes nos modelos </w:t>
      </w:r>
      <w:r w:rsidRPr="00C65DA3">
        <w:rPr>
          <w:rFonts w:ascii="Trebuchet MS" w:eastAsiaTheme="minorHAnsi" w:hAnsi="Trebuchet MS" w:cs="Garamond-Book"/>
          <w:i/>
          <w:sz w:val="20"/>
        </w:rPr>
        <w:t xml:space="preserve">in vivo </w:t>
      </w:r>
      <w:r w:rsidRPr="00C65DA3">
        <w:rPr>
          <w:rFonts w:ascii="Trebuchet MS" w:eastAsiaTheme="minorHAnsi" w:hAnsi="Trebuchet MS" w:cs="Garamond-Book"/>
          <w:sz w:val="20"/>
        </w:rPr>
        <w:t xml:space="preserve">(Yuan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2004). Além disso, é mais fácil realizar man</w:t>
      </w:r>
      <w:r w:rsidRPr="00C65DA3">
        <w:rPr>
          <w:rFonts w:ascii="Trebuchet MS" w:eastAsiaTheme="minorHAnsi" w:hAnsi="Trebuchet MS" w:cs="Garamond-Book"/>
          <w:sz w:val="20"/>
        </w:rPr>
        <w:t>i</w:t>
      </w:r>
      <w:r w:rsidRPr="00C65DA3">
        <w:rPr>
          <w:rFonts w:ascii="Trebuchet MS" w:eastAsiaTheme="minorHAnsi" w:hAnsi="Trebuchet MS" w:cs="Garamond-Book"/>
          <w:sz w:val="20"/>
        </w:rPr>
        <w:lastRenderedPageBreak/>
        <w:t>pulações farmacológicas para averiguar os mecanismos de neuroprotecção em fatias de cér</w:t>
      </w:r>
      <w:r w:rsidRPr="00C65DA3">
        <w:rPr>
          <w:rFonts w:ascii="Trebuchet MS" w:eastAsiaTheme="minorHAnsi" w:hAnsi="Trebuchet MS" w:cs="Garamond-Book"/>
          <w:sz w:val="20"/>
        </w:rPr>
        <w:t>e</w:t>
      </w:r>
      <w:r w:rsidRPr="00C65DA3">
        <w:rPr>
          <w:rFonts w:ascii="Trebuchet MS" w:eastAsiaTheme="minorHAnsi" w:hAnsi="Trebuchet MS" w:cs="Garamond-Book"/>
          <w:sz w:val="20"/>
        </w:rPr>
        <w:t xml:space="preserve">bro do que </w:t>
      </w:r>
      <w:proofErr w:type="gramStart"/>
      <w:r w:rsidRPr="00C65DA3">
        <w:rPr>
          <w:rFonts w:ascii="Trebuchet MS" w:eastAsiaTheme="minorHAnsi" w:hAnsi="Trebuchet MS" w:cs="Garamond-Book"/>
          <w:sz w:val="20"/>
        </w:rPr>
        <w:t xml:space="preserve">modelos </w:t>
      </w:r>
      <w:r w:rsidRPr="00C65DA3">
        <w:rPr>
          <w:rFonts w:ascii="Trebuchet MS" w:eastAsiaTheme="minorHAnsi" w:hAnsi="Trebuchet MS" w:cs="Garamond-Book"/>
          <w:i/>
          <w:sz w:val="20"/>
        </w:rPr>
        <w:t>in vivo</w:t>
      </w:r>
      <w:proofErr w:type="gramEnd"/>
      <w:r w:rsidRPr="00C65DA3">
        <w:rPr>
          <w:rFonts w:ascii="Trebuchet MS" w:eastAsiaTheme="minorHAnsi" w:hAnsi="Trebuchet MS" w:cs="Garamond-Book"/>
          <w:i/>
          <w:sz w:val="20"/>
        </w:rPr>
        <w:t xml:space="preserve"> </w:t>
      </w:r>
      <w:r w:rsidRPr="00C65DA3">
        <w:rPr>
          <w:rFonts w:ascii="Trebuchet MS" w:eastAsiaTheme="minorHAnsi" w:hAnsi="Trebuchet MS" w:cs="Garamond-Book"/>
          <w:sz w:val="20"/>
        </w:rPr>
        <w:t xml:space="preserve">(Popovic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xml:space="preserve">, 2000; Yuan </w:t>
      </w:r>
      <w:r w:rsidRPr="00C65DA3">
        <w:rPr>
          <w:rFonts w:ascii="Trebuchet MS" w:eastAsiaTheme="minorHAnsi" w:hAnsi="Trebuchet MS" w:cs="Garamond-Book"/>
          <w:i/>
          <w:sz w:val="20"/>
        </w:rPr>
        <w:t>et al.</w:t>
      </w:r>
      <w:r w:rsidRPr="00C65DA3">
        <w:rPr>
          <w:rFonts w:ascii="Trebuchet MS" w:eastAsiaTheme="minorHAnsi" w:hAnsi="Trebuchet MS" w:cs="Garamond-Book"/>
          <w:sz w:val="20"/>
        </w:rPr>
        <w:t>, 2004). Além do facto de que variáveis como pressão parcial de oxigénio do tecido cerebral, temperatura e ambiente qu</w:t>
      </w:r>
      <w:r w:rsidRPr="00C65DA3">
        <w:rPr>
          <w:rFonts w:ascii="Trebuchet MS" w:eastAsiaTheme="minorHAnsi" w:hAnsi="Trebuchet MS" w:cs="Garamond-Book"/>
          <w:sz w:val="20"/>
        </w:rPr>
        <w:t>í</w:t>
      </w:r>
      <w:r w:rsidRPr="00C65DA3">
        <w:rPr>
          <w:rFonts w:ascii="Trebuchet MS" w:eastAsiaTheme="minorHAnsi" w:hAnsi="Trebuchet MS" w:cs="Garamond-Book"/>
          <w:sz w:val="20"/>
        </w:rPr>
        <w:t xml:space="preserve">mico podem ser controladas com precisão. </w:t>
      </w:r>
    </w:p>
    <w:p w:rsidR="005D72A2" w:rsidRPr="00C65DA3" w:rsidRDefault="000C749E" w:rsidP="005D72A2">
      <w:pPr>
        <w:autoSpaceDE w:val="0"/>
        <w:autoSpaceDN w:val="0"/>
        <w:adjustRightInd w:val="0"/>
        <w:spacing w:line="360" w:lineRule="auto"/>
        <w:jc w:val="both"/>
        <w:rPr>
          <w:rFonts w:ascii="Trebuchet MS" w:eastAsiaTheme="minorHAnsi" w:hAnsi="Trebuchet MS" w:cs="Garamond-Book"/>
          <w:sz w:val="18"/>
          <w:szCs w:val="22"/>
        </w:rPr>
      </w:pPr>
      <w:r>
        <w:rPr>
          <w:rFonts w:ascii="Trebuchet MS" w:eastAsiaTheme="minorHAnsi" w:hAnsi="Trebuchet MS" w:cs="Garamond-Book"/>
          <w:sz w:val="20"/>
        </w:rPr>
        <w:tab/>
        <w:t>Po</w:t>
      </w:r>
      <w:r w:rsidR="005D72A2" w:rsidRPr="00C65DA3">
        <w:rPr>
          <w:rFonts w:ascii="Trebuchet MS" w:eastAsiaTheme="minorHAnsi" w:hAnsi="Trebuchet MS" w:cs="Garamond-Book"/>
          <w:sz w:val="20"/>
        </w:rPr>
        <w:t xml:space="preserve">r último, umas das vantagens do modelo de fatias de hipocampo </w:t>
      </w:r>
      <w:proofErr w:type="gramStart"/>
      <w:r w:rsidR="005D72A2" w:rsidRPr="00C65DA3">
        <w:rPr>
          <w:rFonts w:ascii="Trebuchet MS" w:eastAsiaTheme="minorHAnsi" w:hAnsi="Trebuchet MS" w:cs="Garamond-Book"/>
          <w:i/>
          <w:sz w:val="20"/>
        </w:rPr>
        <w:t>in vitro</w:t>
      </w:r>
      <w:proofErr w:type="gramEnd"/>
      <w:r w:rsidR="005D72A2" w:rsidRPr="00C65DA3">
        <w:rPr>
          <w:rFonts w:ascii="Trebuchet MS" w:eastAsiaTheme="minorHAnsi" w:hAnsi="Trebuchet MS" w:cs="Garamond-Book"/>
          <w:i/>
          <w:sz w:val="20"/>
        </w:rPr>
        <w:t xml:space="preserve"> </w:t>
      </w:r>
      <w:r w:rsidR="005D72A2" w:rsidRPr="00C65DA3">
        <w:rPr>
          <w:rFonts w:ascii="Trebuchet MS" w:eastAsiaTheme="minorHAnsi" w:hAnsi="Trebuchet MS" w:cs="Garamond-Book"/>
          <w:sz w:val="20"/>
        </w:rPr>
        <w:t xml:space="preserve">sobre as culturas de neurónios, é que os neurónios nas fatias apresentam sensibilidade semelhante à hipóxia como os neurónios em cérebro intactos (Popovic </w:t>
      </w:r>
      <w:r w:rsidR="005D72A2" w:rsidRPr="00C65DA3">
        <w:rPr>
          <w:rFonts w:ascii="Trebuchet MS" w:eastAsiaTheme="minorHAnsi" w:hAnsi="Trebuchet MS" w:cs="Garamond-Book"/>
          <w:i/>
          <w:sz w:val="20"/>
        </w:rPr>
        <w:t>et al.</w:t>
      </w:r>
      <w:r w:rsidR="005D72A2" w:rsidRPr="00C65DA3">
        <w:rPr>
          <w:rFonts w:ascii="Trebuchet MS" w:eastAsiaTheme="minorHAnsi" w:hAnsi="Trebuchet MS" w:cs="Garamond-Book"/>
          <w:sz w:val="20"/>
        </w:rPr>
        <w:t>, 2000).</w:t>
      </w:r>
    </w:p>
    <w:p w:rsidR="00D2211C" w:rsidRDefault="00AF12D7" w:rsidP="00BE03DC">
      <w:pPr>
        <w:autoSpaceDE w:val="0"/>
        <w:autoSpaceDN w:val="0"/>
        <w:adjustRightInd w:val="0"/>
        <w:spacing w:line="360" w:lineRule="auto"/>
        <w:ind w:firstLine="708"/>
        <w:jc w:val="both"/>
        <w:textAlignment w:val="top"/>
        <w:rPr>
          <w:rFonts w:ascii="Trebuchet MS" w:hAnsi="Trebuchet MS" w:cs="Arial"/>
          <w:color w:val="000000"/>
          <w:sz w:val="20"/>
          <w:szCs w:val="20"/>
          <w:lang w:eastAsia="pt-PT"/>
        </w:rPr>
      </w:pPr>
      <w:r>
        <w:rPr>
          <w:rFonts w:ascii="Trebuchet MS" w:eastAsiaTheme="minorHAnsi" w:hAnsi="Trebuchet MS" w:cs="AdvTT5843c571"/>
          <w:b/>
          <w:sz w:val="20"/>
          <w:szCs w:val="20"/>
        </w:rPr>
        <w:t>As f</w:t>
      </w:r>
      <w:r w:rsidR="00BE03DC" w:rsidRPr="003B7012">
        <w:rPr>
          <w:rFonts w:ascii="Trebuchet MS" w:eastAsiaTheme="minorHAnsi" w:hAnsi="Trebuchet MS" w:cs="AdvTT5843c571"/>
          <w:b/>
          <w:sz w:val="20"/>
          <w:szCs w:val="20"/>
        </w:rPr>
        <w:t>atias de cérebro</w:t>
      </w:r>
      <w:r w:rsidR="00BE03DC" w:rsidRPr="003B7012">
        <w:rPr>
          <w:rFonts w:ascii="Trebuchet MS" w:eastAsiaTheme="minorHAnsi" w:hAnsi="Trebuchet MS" w:cs="AdvTT5843c571"/>
          <w:sz w:val="20"/>
          <w:szCs w:val="20"/>
        </w:rPr>
        <w:t xml:space="preserve">, particularmente, fatias de hipocampo, tornaram-se modelos amplamente utilizados para estudar os danos anóxicos ou isquémicos. As propriedades que estão </w:t>
      </w:r>
      <w:r w:rsidR="00641713">
        <w:rPr>
          <w:rFonts w:ascii="Trebuchet MS" w:eastAsiaTheme="minorHAnsi" w:hAnsi="Trebuchet MS" w:cs="AdvTT5843c571"/>
          <w:sz w:val="20"/>
          <w:szCs w:val="20"/>
        </w:rPr>
        <w:t>alteradas</w:t>
      </w:r>
      <w:r w:rsidR="00BE03DC" w:rsidRPr="003B7012">
        <w:rPr>
          <w:rFonts w:ascii="Trebuchet MS" w:eastAsiaTheme="minorHAnsi" w:hAnsi="Trebuchet MS" w:cs="AdvTT5843c571"/>
          <w:sz w:val="20"/>
          <w:szCs w:val="20"/>
        </w:rPr>
        <w:t xml:space="preserve"> incluem: a transmissão sináptica, a síntese de proteínas, a manutenção dos níveis de ATP, a integridade do citoesqueleto e </w:t>
      </w:r>
      <w:r w:rsidR="00641713">
        <w:rPr>
          <w:rFonts w:ascii="Trebuchet MS" w:eastAsiaTheme="minorHAnsi" w:hAnsi="Trebuchet MS" w:cs="AdvTT5843c571"/>
          <w:sz w:val="20"/>
          <w:szCs w:val="20"/>
        </w:rPr>
        <w:t xml:space="preserve">a </w:t>
      </w:r>
      <w:r w:rsidR="00BE03DC" w:rsidRPr="003B7012">
        <w:rPr>
          <w:rFonts w:ascii="Trebuchet MS" w:eastAsiaTheme="minorHAnsi" w:hAnsi="Trebuchet MS" w:cs="AdvTT5843c571"/>
          <w:sz w:val="20"/>
          <w:szCs w:val="20"/>
        </w:rPr>
        <w:t xml:space="preserve">morfologia neuronal. </w:t>
      </w:r>
      <w:r w:rsidR="00BE03DC" w:rsidRPr="003B7012">
        <w:rPr>
          <w:rFonts w:ascii="Trebuchet MS" w:hAnsi="Trebuchet MS" w:cs="Arial"/>
          <w:color w:val="000000"/>
          <w:sz w:val="20"/>
          <w:szCs w:val="20"/>
          <w:lang w:eastAsia="pt-PT"/>
        </w:rPr>
        <w:t>A composição d</w:t>
      </w:r>
      <w:r w:rsidR="00056F93" w:rsidRPr="003B7012">
        <w:rPr>
          <w:rFonts w:ascii="Trebuchet MS" w:hAnsi="Trebuchet MS" w:cs="Arial"/>
          <w:color w:val="000000"/>
          <w:sz w:val="20"/>
          <w:szCs w:val="20"/>
          <w:lang w:eastAsia="pt-PT"/>
        </w:rPr>
        <w:t>as</w:t>
      </w:r>
      <w:r w:rsidR="00BE03DC" w:rsidRPr="003B7012">
        <w:rPr>
          <w:rFonts w:ascii="Trebuchet MS" w:hAnsi="Trebuchet MS" w:cs="Arial"/>
          <w:color w:val="000000"/>
          <w:sz w:val="20"/>
          <w:szCs w:val="20"/>
          <w:lang w:eastAsia="pt-PT"/>
        </w:rPr>
        <w:t xml:space="preserve"> fatias do cérebro é mais próximo ao do tecido </w:t>
      </w:r>
      <w:r w:rsidR="00194A32" w:rsidRPr="003B7012">
        <w:rPr>
          <w:rFonts w:ascii="Trebuchet MS" w:hAnsi="Trebuchet MS" w:cs="Arial"/>
          <w:i/>
          <w:color w:val="000000"/>
          <w:sz w:val="20"/>
          <w:szCs w:val="20"/>
          <w:lang w:eastAsia="pt-PT"/>
        </w:rPr>
        <w:t>in vivo</w:t>
      </w:r>
      <w:r w:rsidR="00641713">
        <w:rPr>
          <w:rFonts w:ascii="Trebuchet MS" w:hAnsi="Trebuchet MS" w:cs="Arial"/>
          <w:color w:val="000000"/>
          <w:sz w:val="20"/>
          <w:szCs w:val="20"/>
          <w:lang w:eastAsia="pt-PT"/>
        </w:rPr>
        <w:t xml:space="preserve"> do que as culturas </w:t>
      </w:r>
      <w:r w:rsidR="00F06309">
        <w:rPr>
          <w:rFonts w:ascii="Trebuchet MS" w:hAnsi="Trebuchet MS" w:cs="Arial"/>
          <w:color w:val="000000"/>
          <w:sz w:val="20"/>
          <w:szCs w:val="20"/>
          <w:lang w:eastAsia="pt-PT"/>
        </w:rPr>
        <w:t>de</w:t>
      </w:r>
      <w:r w:rsidR="00641713">
        <w:rPr>
          <w:rFonts w:ascii="Trebuchet MS" w:hAnsi="Trebuchet MS" w:cs="Arial"/>
          <w:color w:val="000000"/>
          <w:sz w:val="20"/>
          <w:szCs w:val="20"/>
          <w:lang w:eastAsia="pt-PT"/>
        </w:rPr>
        <w:t xml:space="preserve"> células</w:t>
      </w:r>
      <w:r w:rsidR="00BE03DC" w:rsidRPr="003B7012">
        <w:rPr>
          <w:rFonts w:ascii="Trebuchet MS" w:hAnsi="Trebuchet MS" w:cs="Arial"/>
          <w:color w:val="000000"/>
          <w:sz w:val="20"/>
          <w:szCs w:val="20"/>
          <w:lang w:eastAsia="pt-PT"/>
        </w:rPr>
        <w:t>.</w:t>
      </w:r>
      <w:r w:rsidR="001E0DFA" w:rsidRPr="003B7012">
        <w:rPr>
          <w:rFonts w:ascii="Trebuchet MS" w:hAnsi="Trebuchet MS" w:cs="Arial"/>
          <w:color w:val="000000"/>
          <w:sz w:val="20"/>
          <w:szCs w:val="20"/>
          <w:lang w:eastAsia="pt-PT"/>
        </w:rPr>
        <w:t xml:space="preserve"> </w:t>
      </w:r>
      <w:r w:rsidR="00BE03DC" w:rsidRPr="003B7012">
        <w:rPr>
          <w:rFonts w:ascii="Trebuchet MS" w:hAnsi="Trebuchet MS" w:cs="Arial"/>
          <w:color w:val="000000"/>
          <w:sz w:val="20"/>
          <w:szCs w:val="20"/>
          <w:lang w:eastAsia="pt-PT"/>
        </w:rPr>
        <w:t>No enta</w:t>
      </w:r>
      <w:r w:rsidR="00BE03DC" w:rsidRPr="003B7012">
        <w:rPr>
          <w:rFonts w:ascii="Trebuchet MS" w:hAnsi="Trebuchet MS" w:cs="Arial"/>
          <w:color w:val="000000"/>
          <w:sz w:val="20"/>
          <w:szCs w:val="20"/>
          <w:lang w:eastAsia="pt-PT"/>
        </w:rPr>
        <w:t>n</w:t>
      </w:r>
      <w:r w:rsidR="00BE03DC" w:rsidRPr="003B7012">
        <w:rPr>
          <w:rFonts w:ascii="Trebuchet MS" w:hAnsi="Trebuchet MS" w:cs="Arial"/>
          <w:color w:val="000000"/>
          <w:sz w:val="20"/>
          <w:szCs w:val="20"/>
          <w:lang w:eastAsia="pt-PT"/>
        </w:rPr>
        <w:t>to, as fatias estão num estado metabólico comprometido, com baixos valores de ATP e glicól</w:t>
      </w:r>
      <w:r w:rsidR="00BE03DC" w:rsidRPr="003B7012">
        <w:rPr>
          <w:rFonts w:ascii="Trebuchet MS" w:hAnsi="Trebuchet MS" w:cs="Arial"/>
          <w:color w:val="000000"/>
          <w:sz w:val="20"/>
          <w:szCs w:val="20"/>
          <w:lang w:eastAsia="pt-PT"/>
        </w:rPr>
        <w:t>i</w:t>
      </w:r>
      <w:r w:rsidR="00BE03DC" w:rsidRPr="003B7012">
        <w:rPr>
          <w:rFonts w:ascii="Trebuchet MS" w:hAnsi="Trebuchet MS" w:cs="Arial"/>
          <w:color w:val="000000"/>
          <w:sz w:val="20"/>
          <w:szCs w:val="20"/>
          <w:lang w:eastAsia="pt-PT"/>
        </w:rPr>
        <w:t>se aeróbia elevada e são hipersensíveis a insultos isquémicos (</w:t>
      </w:r>
      <w:r w:rsidR="004149DC">
        <w:rPr>
          <w:rFonts w:ascii="Trebuchet MS" w:hAnsi="Trebuchet MS" w:cs="Arial"/>
          <w:color w:val="000000"/>
          <w:sz w:val="20"/>
          <w:szCs w:val="20"/>
          <w:lang w:eastAsia="pt-PT"/>
        </w:rPr>
        <w:t>Para revisão ver</w:t>
      </w:r>
      <w:r w:rsidR="00BE03DC" w:rsidRPr="003B7012">
        <w:rPr>
          <w:rFonts w:ascii="Trebuchet MS" w:hAnsi="Trebuchet MS" w:cs="Arial"/>
          <w:color w:val="000000"/>
          <w:sz w:val="20"/>
          <w:szCs w:val="20"/>
          <w:lang w:eastAsia="pt-PT"/>
        </w:rPr>
        <w:t xml:space="preserve"> Lipton, 1999)</w:t>
      </w:r>
      <w:r w:rsidR="00D2211C">
        <w:rPr>
          <w:rFonts w:ascii="Trebuchet MS" w:hAnsi="Trebuchet MS" w:cs="Arial"/>
          <w:color w:val="000000"/>
          <w:sz w:val="20"/>
          <w:szCs w:val="20"/>
          <w:lang w:eastAsia="pt-PT"/>
        </w:rPr>
        <w:t>.</w:t>
      </w:r>
    </w:p>
    <w:p w:rsidR="00BE03DC" w:rsidRPr="003B7012" w:rsidRDefault="00D2211C" w:rsidP="00BE03DC">
      <w:pPr>
        <w:spacing w:line="360" w:lineRule="auto"/>
        <w:ind w:firstLine="708"/>
        <w:jc w:val="both"/>
        <w:textAlignment w:val="top"/>
        <w:rPr>
          <w:rFonts w:ascii="Trebuchet MS" w:eastAsiaTheme="minorHAnsi" w:hAnsi="Trebuchet MS"/>
          <w:sz w:val="20"/>
          <w:szCs w:val="20"/>
        </w:rPr>
      </w:pPr>
      <w:r w:rsidRPr="003B7012">
        <w:rPr>
          <w:rFonts w:ascii="Trebuchet MS" w:hAnsi="Trebuchet MS" w:cs="Arial"/>
          <w:color w:val="000000"/>
          <w:sz w:val="20"/>
          <w:szCs w:val="20"/>
          <w:lang w:eastAsia="pt-PT"/>
        </w:rPr>
        <w:t xml:space="preserve">A </w:t>
      </w:r>
      <w:r w:rsidRPr="003B7012">
        <w:rPr>
          <w:rFonts w:ascii="Trebuchet MS" w:hAnsi="Trebuchet MS" w:cs="Arial"/>
          <w:color w:val="000000"/>
          <w:sz w:val="20"/>
          <w:szCs w:val="20"/>
          <w:u w:val="single"/>
          <w:lang w:eastAsia="pt-PT"/>
        </w:rPr>
        <w:t>preparação de fatias de cérebro frescas</w:t>
      </w:r>
      <w:r w:rsidRPr="003B7012">
        <w:rPr>
          <w:rFonts w:ascii="Trebuchet MS" w:hAnsi="Trebuchet MS" w:cs="Arial"/>
          <w:color w:val="000000"/>
          <w:sz w:val="20"/>
          <w:szCs w:val="20"/>
          <w:lang w:eastAsia="pt-PT"/>
        </w:rPr>
        <w:t xml:space="preserve"> oferece</w:t>
      </w:r>
      <w:r w:rsidR="00BE03DC" w:rsidRPr="003B7012">
        <w:rPr>
          <w:rFonts w:ascii="Trebuchet MS" w:hAnsi="Trebuchet MS" w:cs="Arial"/>
          <w:color w:val="000000"/>
          <w:sz w:val="20"/>
          <w:szCs w:val="20"/>
          <w:lang w:eastAsia="pt-PT"/>
        </w:rPr>
        <w:t xml:space="preserve"> muitas</w:t>
      </w:r>
      <w:r w:rsidR="002F5E83" w:rsidRPr="003B7012">
        <w:rPr>
          <w:rFonts w:ascii="Trebuchet MS" w:hAnsi="Trebuchet MS" w:cs="Arial"/>
          <w:color w:val="000000"/>
          <w:sz w:val="20"/>
          <w:szCs w:val="20"/>
          <w:lang w:eastAsia="pt-PT"/>
        </w:rPr>
        <w:t xml:space="preserve"> d</w:t>
      </w:r>
      <w:r w:rsidR="00BE03DC" w:rsidRPr="003B7012">
        <w:rPr>
          <w:rFonts w:ascii="Trebuchet MS" w:hAnsi="Trebuchet MS" w:cs="Arial"/>
          <w:color w:val="000000"/>
          <w:sz w:val="20"/>
          <w:szCs w:val="20"/>
          <w:lang w:eastAsia="pt-PT"/>
        </w:rPr>
        <w:t xml:space="preserve">as vantagens </w:t>
      </w:r>
      <w:r w:rsidR="00B64EE2">
        <w:rPr>
          <w:rFonts w:ascii="Trebuchet MS" w:hAnsi="Trebuchet MS" w:cs="Arial"/>
          <w:color w:val="000000"/>
          <w:sz w:val="20"/>
          <w:szCs w:val="20"/>
          <w:lang w:eastAsia="pt-PT"/>
        </w:rPr>
        <w:t>relativamente</w:t>
      </w:r>
      <w:r w:rsidR="00BE03DC" w:rsidRPr="003B7012">
        <w:rPr>
          <w:rFonts w:ascii="Trebuchet MS" w:hAnsi="Trebuchet MS" w:cs="Arial"/>
          <w:color w:val="000000"/>
          <w:sz w:val="20"/>
          <w:szCs w:val="20"/>
          <w:lang w:eastAsia="pt-PT"/>
        </w:rPr>
        <w:t xml:space="preserve"> à cultura de células, especialmente no estudo agudo de inibição metabólica (isquémia </w:t>
      </w:r>
      <w:r w:rsidR="00194A32" w:rsidRPr="003B7012">
        <w:rPr>
          <w:rFonts w:ascii="Trebuchet MS" w:hAnsi="Trebuchet MS" w:cs="Arial"/>
          <w:i/>
          <w:color w:val="000000"/>
          <w:sz w:val="20"/>
          <w:szCs w:val="20"/>
          <w:lang w:eastAsia="pt-PT"/>
        </w:rPr>
        <w:t>in vitro</w:t>
      </w:r>
      <w:r w:rsidR="00BE03DC" w:rsidRPr="003B7012">
        <w:rPr>
          <w:rFonts w:ascii="Trebuchet MS" w:hAnsi="Trebuchet MS" w:cs="Arial"/>
          <w:color w:val="000000"/>
          <w:sz w:val="20"/>
          <w:szCs w:val="20"/>
          <w:lang w:eastAsia="pt-PT"/>
        </w:rPr>
        <w:t>). No entanto, as fatias deterioram-se durante um período de 12-24</w:t>
      </w:r>
      <w:r w:rsidR="0076708A" w:rsidRPr="003B7012">
        <w:rPr>
          <w:rFonts w:ascii="Trebuchet MS" w:hAnsi="Trebuchet MS" w:cs="Arial"/>
          <w:color w:val="000000"/>
          <w:sz w:val="20"/>
          <w:szCs w:val="20"/>
          <w:lang w:eastAsia="pt-PT"/>
        </w:rPr>
        <w:t xml:space="preserve"> horas</w:t>
      </w:r>
      <w:r w:rsidR="00BE03DC" w:rsidRPr="003B7012">
        <w:rPr>
          <w:rFonts w:ascii="Trebuchet MS" w:hAnsi="Trebuchet MS" w:cs="Arial"/>
          <w:color w:val="000000"/>
          <w:sz w:val="20"/>
          <w:szCs w:val="20"/>
          <w:lang w:eastAsia="pt-PT"/>
        </w:rPr>
        <w:t xml:space="preserve">, resultando numa mistura de células lesadas e </w:t>
      </w:r>
      <w:r w:rsidR="00466BBE" w:rsidRPr="003B7012">
        <w:rPr>
          <w:rFonts w:ascii="Trebuchet MS" w:hAnsi="Trebuchet MS" w:cs="Arial"/>
          <w:color w:val="000000"/>
          <w:sz w:val="20"/>
          <w:szCs w:val="20"/>
          <w:lang w:eastAsia="pt-PT"/>
        </w:rPr>
        <w:t>saudáveis</w:t>
      </w:r>
      <w:r w:rsidR="00BE03DC" w:rsidRPr="003B7012">
        <w:rPr>
          <w:rFonts w:ascii="Trebuchet MS" w:hAnsi="Trebuchet MS" w:cs="Arial"/>
          <w:color w:val="000000"/>
          <w:sz w:val="20"/>
          <w:szCs w:val="20"/>
          <w:lang w:eastAsia="pt-PT"/>
        </w:rPr>
        <w:t>. Esta deterioração torna o modelo pouco ad</w:t>
      </w:r>
      <w:r w:rsidR="00BE03DC" w:rsidRPr="003B7012">
        <w:rPr>
          <w:rFonts w:ascii="Trebuchet MS" w:hAnsi="Trebuchet MS" w:cs="Arial"/>
          <w:color w:val="000000"/>
          <w:sz w:val="20"/>
          <w:szCs w:val="20"/>
          <w:lang w:eastAsia="pt-PT"/>
        </w:rPr>
        <w:t>e</w:t>
      </w:r>
      <w:r w:rsidR="00BE03DC" w:rsidRPr="003B7012">
        <w:rPr>
          <w:rFonts w:ascii="Trebuchet MS" w:hAnsi="Trebuchet MS" w:cs="Arial"/>
          <w:color w:val="000000"/>
          <w:sz w:val="20"/>
          <w:szCs w:val="20"/>
          <w:lang w:eastAsia="pt-PT"/>
        </w:rPr>
        <w:t xml:space="preserve">quado para experiências de morte celular, particularmente morte celular tardia (Xu </w:t>
      </w:r>
      <w:r w:rsidR="00F96813" w:rsidRPr="003B7012">
        <w:rPr>
          <w:rFonts w:ascii="Trebuchet MS" w:hAnsi="Trebuchet MS" w:cs="Arial"/>
          <w:i/>
          <w:color w:val="000000"/>
          <w:sz w:val="20"/>
          <w:szCs w:val="20"/>
          <w:lang w:eastAsia="pt-PT"/>
        </w:rPr>
        <w:t>et al.</w:t>
      </w:r>
      <w:r w:rsidR="00BE03DC" w:rsidRPr="003B7012">
        <w:rPr>
          <w:rFonts w:ascii="Trebuchet MS" w:hAnsi="Trebuchet MS" w:cs="Arial"/>
          <w:color w:val="000000"/>
          <w:sz w:val="20"/>
          <w:szCs w:val="20"/>
          <w:lang w:eastAsia="pt-PT"/>
        </w:rPr>
        <w:t>, 2002).</w:t>
      </w:r>
      <w:r w:rsidR="00BE03DC" w:rsidRPr="003B7012">
        <w:rPr>
          <w:rFonts w:ascii="Trebuchet MS" w:eastAsiaTheme="minorHAnsi" w:hAnsi="Trebuchet MS"/>
          <w:sz w:val="20"/>
          <w:szCs w:val="20"/>
        </w:rPr>
        <w:t xml:space="preserve"> </w:t>
      </w:r>
    </w:p>
    <w:p w:rsidR="005D72A2" w:rsidRPr="00C65DA3" w:rsidRDefault="00BE03DC" w:rsidP="005D72A2">
      <w:pPr>
        <w:spacing w:line="360" w:lineRule="auto"/>
        <w:ind w:firstLine="708"/>
        <w:jc w:val="both"/>
        <w:textAlignment w:val="top"/>
        <w:rPr>
          <w:rFonts w:ascii="Trebuchet MS" w:eastAsiaTheme="minorHAnsi" w:hAnsi="Trebuchet MS" w:cstheme="minorBidi"/>
          <w:sz w:val="20"/>
          <w:szCs w:val="22"/>
        </w:rPr>
      </w:pPr>
      <w:r w:rsidRPr="00BC349D">
        <w:rPr>
          <w:rFonts w:ascii="Trebuchet MS" w:eastAsiaTheme="minorHAnsi" w:hAnsi="Trebuchet MS"/>
          <w:sz w:val="20"/>
          <w:szCs w:val="20"/>
          <w:lang w:val="es-ES_tradnl"/>
        </w:rPr>
        <w:t xml:space="preserve">Xu </w:t>
      </w:r>
      <w:r w:rsidR="00194A32" w:rsidRPr="00BC349D">
        <w:rPr>
          <w:rFonts w:ascii="Trebuchet MS" w:eastAsiaTheme="minorHAnsi" w:hAnsi="Trebuchet MS"/>
          <w:i/>
          <w:sz w:val="20"/>
          <w:szCs w:val="20"/>
          <w:lang w:val="es-ES_tradnl"/>
        </w:rPr>
        <w:t xml:space="preserve">et al. </w:t>
      </w:r>
      <w:r w:rsidRPr="00BC349D">
        <w:rPr>
          <w:rFonts w:ascii="Trebuchet MS" w:eastAsiaTheme="minorHAnsi" w:hAnsi="Trebuchet MS"/>
          <w:sz w:val="20"/>
          <w:szCs w:val="20"/>
          <w:lang w:val="es-ES_tradnl"/>
        </w:rPr>
        <w:t>(2002)</w:t>
      </w:r>
      <w:r w:rsidR="003F144B" w:rsidRPr="00BC349D">
        <w:rPr>
          <w:rFonts w:ascii="Trebuchet MS" w:eastAsiaTheme="minorHAnsi" w:hAnsi="Trebuchet MS"/>
          <w:sz w:val="20"/>
          <w:szCs w:val="20"/>
          <w:lang w:val="es-ES_tradnl"/>
        </w:rPr>
        <w:t xml:space="preserve"> e Popovic </w:t>
      </w:r>
      <w:r w:rsidR="003F144B" w:rsidRPr="00BC349D">
        <w:rPr>
          <w:rFonts w:ascii="Trebuchet MS" w:eastAsiaTheme="minorHAnsi" w:hAnsi="Trebuchet MS"/>
          <w:i/>
          <w:sz w:val="20"/>
          <w:szCs w:val="20"/>
          <w:lang w:val="es-ES_tradnl"/>
        </w:rPr>
        <w:t xml:space="preserve">et al. </w:t>
      </w:r>
      <w:r w:rsidR="003F144B">
        <w:rPr>
          <w:rFonts w:ascii="Trebuchet MS" w:eastAsiaTheme="minorHAnsi" w:hAnsi="Trebuchet MS"/>
          <w:sz w:val="20"/>
          <w:szCs w:val="20"/>
        </w:rPr>
        <w:t>(2000)</w:t>
      </w:r>
      <w:r w:rsidRPr="003B7012">
        <w:rPr>
          <w:rFonts w:ascii="Trebuchet MS" w:eastAsiaTheme="minorHAnsi" w:hAnsi="Trebuchet MS"/>
          <w:sz w:val="20"/>
          <w:szCs w:val="20"/>
        </w:rPr>
        <w:t xml:space="preserve"> </w:t>
      </w:r>
      <w:proofErr w:type="gramStart"/>
      <w:r w:rsidRPr="003B7012">
        <w:rPr>
          <w:rFonts w:ascii="Trebuchet MS" w:eastAsiaTheme="minorHAnsi" w:hAnsi="Trebuchet MS"/>
          <w:sz w:val="20"/>
          <w:szCs w:val="20"/>
        </w:rPr>
        <w:t>concluíram</w:t>
      </w:r>
      <w:proofErr w:type="gramEnd"/>
      <w:r w:rsidRPr="003B7012">
        <w:rPr>
          <w:rFonts w:ascii="Trebuchet MS" w:eastAsiaTheme="minorHAnsi" w:hAnsi="Trebuchet MS"/>
          <w:sz w:val="20"/>
          <w:szCs w:val="20"/>
        </w:rPr>
        <w:t xml:space="preserve"> que o modelo experimental com fatias organotípicas de hipocampo de ratos é eficaz para estudar o pré-condicionamento isquémico tardio (prolongado), em que se </w:t>
      </w:r>
      <w:r w:rsidR="00B64EE2">
        <w:rPr>
          <w:rFonts w:ascii="Trebuchet MS" w:eastAsiaTheme="minorHAnsi" w:hAnsi="Trebuchet MS"/>
          <w:sz w:val="20"/>
          <w:szCs w:val="20"/>
        </w:rPr>
        <w:t>estuda</w:t>
      </w:r>
      <w:r w:rsidRPr="003B7012">
        <w:rPr>
          <w:rFonts w:ascii="Trebuchet MS" w:eastAsiaTheme="minorHAnsi" w:hAnsi="Trebuchet MS"/>
          <w:sz w:val="20"/>
          <w:szCs w:val="20"/>
        </w:rPr>
        <w:t xml:space="preserve"> o </w:t>
      </w:r>
      <w:r w:rsidR="005D72A2" w:rsidRPr="003B7012">
        <w:rPr>
          <w:rFonts w:ascii="Trebuchet MS" w:eastAsiaTheme="minorHAnsi" w:hAnsi="Trebuchet MS"/>
          <w:sz w:val="20"/>
          <w:szCs w:val="20"/>
        </w:rPr>
        <w:t xml:space="preserve">fenómeno </w:t>
      </w:r>
      <w:r w:rsidR="005D72A2">
        <w:rPr>
          <w:rFonts w:ascii="Trebuchet MS" w:eastAsiaTheme="minorHAnsi" w:hAnsi="Trebuchet MS"/>
          <w:sz w:val="20"/>
          <w:szCs w:val="20"/>
        </w:rPr>
        <w:t xml:space="preserve">de </w:t>
      </w:r>
      <w:r w:rsidRPr="003B7012">
        <w:rPr>
          <w:rFonts w:ascii="Trebuchet MS" w:eastAsiaTheme="minorHAnsi" w:hAnsi="Trebuchet MS"/>
          <w:sz w:val="20"/>
          <w:szCs w:val="20"/>
        </w:rPr>
        <w:t>pré-condicionamento desde horas a dias</w:t>
      </w:r>
      <w:r w:rsidR="0046357E">
        <w:rPr>
          <w:rFonts w:ascii="Trebuchet MS" w:eastAsiaTheme="minorHAnsi" w:hAnsi="Trebuchet MS"/>
          <w:sz w:val="20"/>
          <w:szCs w:val="20"/>
        </w:rPr>
        <w:t>.</w:t>
      </w:r>
    </w:p>
    <w:p w:rsidR="004D521D" w:rsidRPr="00C65DA3" w:rsidRDefault="004D521D" w:rsidP="004D521D">
      <w:pPr>
        <w:autoSpaceDE w:val="0"/>
        <w:autoSpaceDN w:val="0"/>
        <w:adjustRightInd w:val="0"/>
        <w:spacing w:line="360" w:lineRule="auto"/>
        <w:ind w:firstLine="708"/>
        <w:jc w:val="both"/>
        <w:rPr>
          <w:rFonts w:ascii="Trebuchet MS" w:eastAsiaTheme="minorHAnsi" w:hAnsi="Trebuchet MS" w:cstheme="minorBidi"/>
          <w:sz w:val="20"/>
        </w:rPr>
      </w:pPr>
      <w:r w:rsidRPr="00C65DA3">
        <w:rPr>
          <w:rFonts w:ascii="Trebuchet MS" w:eastAsiaTheme="minorHAnsi" w:hAnsi="Trebuchet MS" w:cstheme="minorBidi"/>
          <w:sz w:val="20"/>
        </w:rPr>
        <w:t>A viabilidade das fatias e a severidade do insulto isquémico (POG) são factores-chave que determinam o sucesso deste método. É importante garantir que o insulto seja severo o suficiente para permitir a diferença entre os grupos controlo e em estudo, embora não tão severo que coloque em risco a perda</w:t>
      </w:r>
      <w:r w:rsidR="00CC6A06">
        <w:rPr>
          <w:rFonts w:ascii="Trebuchet MS" w:eastAsiaTheme="minorHAnsi" w:hAnsi="Trebuchet MS" w:cstheme="minorBidi"/>
          <w:sz w:val="20"/>
        </w:rPr>
        <w:t xml:space="preserve"> total</w:t>
      </w:r>
      <w:r w:rsidRPr="00C65DA3">
        <w:rPr>
          <w:rFonts w:ascii="Trebuchet MS" w:eastAsiaTheme="minorHAnsi" w:hAnsi="Trebuchet MS" w:cstheme="minorBidi"/>
          <w:sz w:val="20"/>
        </w:rPr>
        <w:t xml:space="preserve"> das células na região de interesse (Monette </w:t>
      </w:r>
      <w:r w:rsidRPr="00C65DA3">
        <w:rPr>
          <w:rFonts w:ascii="Trebuchet MS" w:eastAsiaTheme="minorHAnsi" w:hAnsi="Trebuchet MS" w:cstheme="minorBidi"/>
          <w:i/>
          <w:sz w:val="20"/>
        </w:rPr>
        <w:t>et al.</w:t>
      </w:r>
      <w:r w:rsidRPr="00C65DA3">
        <w:rPr>
          <w:rFonts w:ascii="Trebuchet MS" w:eastAsiaTheme="minorHAnsi" w:hAnsi="Trebuchet MS" w:cstheme="minorBidi"/>
          <w:sz w:val="20"/>
        </w:rPr>
        <w:t>, 1998).</w:t>
      </w:r>
    </w:p>
    <w:p w:rsidR="004D521D" w:rsidRDefault="004D521D" w:rsidP="004D521D">
      <w:pPr>
        <w:autoSpaceDE w:val="0"/>
        <w:autoSpaceDN w:val="0"/>
        <w:adjustRightInd w:val="0"/>
        <w:spacing w:line="360" w:lineRule="auto"/>
        <w:ind w:firstLine="708"/>
        <w:jc w:val="both"/>
        <w:rPr>
          <w:rFonts w:ascii="Trebuchet MS" w:eastAsiaTheme="minorHAnsi" w:hAnsi="Trebuchet MS" w:cs="Palatino-Roman"/>
          <w:sz w:val="20"/>
        </w:rPr>
      </w:pPr>
      <w:r w:rsidRPr="00A851AB">
        <w:rPr>
          <w:rFonts w:ascii="Trebuchet MS" w:eastAsiaTheme="minorHAnsi" w:hAnsi="Trebuchet MS" w:cs="Palatino-Roman"/>
          <w:sz w:val="20"/>
        </w:rPr>
        <w:t xml:space="preserve">De acordo </w:t>
      </w:r>
      <w:r w:rsidR="0048071E" w:rsidRPr="00A851AB">
        <w:rPr>
          <w:rFonts w:ascii="Trebuchet MS" w:eastAsiaTheme="minorHAnsi" w:hAnsi="Trebuchet MS" w:cs="Palatino-Roman"/>
          <w:sz w:val="20"/>
        </w:rPr>
        <w:t xml:space="preserve">com </w:t>
      </w:r>
      <w:r w:rsidRPr="00A851AB">
        <w:rPr>
          <w:rFonts w:ascii="Trebuchet MS" w:eastAsiaTheme="minorHAnsi" w:hAnsi="Trebuchet MS" w:cs="Palatino-Roman"/>
          <w:sz w:val="20"/>
        </w:rPr>
        <w:t xml:space="preserve">Dahmani </w:t>
      </w:r>
      <w:r w:rsidRPr="00A851AB">
        <w:rPr>
          <w:rFonts w:ascii="Trebuchet MS" w:eastAsiaTheme="minorHAnsi" w:hAnsi="Trebuchet MS" w:cs="Palatino-Roman"/>
          <w:i/>
          <w:sz w:val="20"/>
        </w:rPr>
        <w:t xml:space="preserve">et al. </w:t>
      </w:r>
      <w:r w:rsidRPr="00C65DA3">
        <w:rPr>
          <w:rFonts w:ascii="Trebuchet MS" w:eastAsiaTheme="minorHAnsi" w:hAnsi="Trebuchet MS" w:cs="Palatino-Roman"/>
          <w:sz w:val="20"/>
        </w:rPr>
        <w:t xml:space="preserve">(2005) e Popovic </w:t>
      </w:r>
      <w:r w:rsidRPr="00C65DA3">
        <w:rPr>
          <w:rFonts w:ascii="Trebuchet MS" w:eastAsiaTheme="minorHAnsi" w:hAnsi="Trebuchet MS" w:cs="Palatino-Roman"/>
          <w:i/>
          <w:sz w:val="20"/>
        </w:rPr>
        <w:t xml:space="preserve">et al. </w:t>
      </w:r>
      <w:r w:rsidR="00AF12D7">
        <w:rPr>
          <w:rFonts w:ascii="Trebuchet MS" w:eastAsiaTheme="minorHAnsi" w:hAnsi="Trebuchet MS" w:cs="Palatino-Roman"/>
          <w:sz w:val="20"/>
        </w:rPr>
        <w:t xml:space="preserve">(2000), </w:t>
      </w:r>
      <w:r w:rsidRPr="00C65DA3">
        <w:rPr>
          <w:rFonts w:ascii="Trebuchet MS" w:eastAsiaTheme="minorHAnsi" w:hAnsi="Trebuchet MS" w:cs="Palatino-Roman"/>
          <w:sz w:val="20"/>
        </w:rPr>
        <w:t xml:space="preserve">o modelo experimental, de isquémia cerebral, com fatias de hipocampo representa um modelo </w:t>
      </w:r>
      <w:proofErr w:type="gramStart"/>
      <w:r w:rsidRPr="00C65DA3">
        <w:rPr>
          <w:rFonts w:ascii="Trebuchet MS" w:eastAsiaTheme="minorHAnsi" w:hAnsi="Trebuchet MS" w:cs="Palatino-Roman"/>
          <w:i/>
          <w:sz w:val="20"/>
        </w:rPr>
        <w:t>in vitro</w:t>
      </w:r>
      <w:proofErr w:type="gramEnd"/>
      <w:r w:rsidRPr="00C65DA3">
        <w:rPr>
          <w:rFonts w:ascii="Trebuchet MS" w:eastAsiaTheme="minorHAnsi" w:hAnsi="Trebuchet MS" w:cs="Palatino-Roman"/>
          <w:i/>
          <w:sz w:val="20"/>
        </w:rPr>
        <w:t xml:space="preserve"> </w:t>
      </w:r>
      <w:r w:rsidRPr="00C65DA3">
        <w:rPr>
          <w:rFonts w:ascii="Trebuchet MS" w:eastAsiaTheme="minorHAnsi" w:hAnsi="Trebuchet MS" w:cs="Palatino-Roman"/>
          <w:sz w:val="20"/>
        </w:rPr>
        <w:t>robusto e de confiança para examinar o papel de intervenções farmacológicas que modulam a lesão isqu</w:t>
      </w:r>
      <w:r w:rsidRPr="00C65DA3">
        <w:rPr>
          <w:rFonts w:ascii="Trebuchet MS" w:eastAsiaTheme="minorHAnsi" w:hAnsi="Trebuchet MS" w:cs="Palatino-Roman"/>
          <w:sz w:val="20"/>
        </w:rPr>
        <w:t>é</w:t>
      </w:r>
      <w:r w:rsidRPr="00C65DA3">
        <w:rPr>
          <w:rFonts w:ascii="Trebuchet MS" w:eastAsiaTheme="minorHAnsi" w:hAnsi="Trebuchet MS" w:cs="Palatino-Roman"/>
          <w:sz w:val="20"/>
        </w:rPr>
        <w:t>mica do tecido cerebral.</w:t>
      </w:r>
      <w:r w:rsidR="00A851AB">
        <w:rPr>
          <w:rFonts w:ascii="Trebuchet MS" w:eastAsiaTheme="minorHAnsi" w:hAnsi="Trebuchet MS" w:cs="Palatino-Roman"/>
          <w:sz w:val="20"/>
        </w:rPr>
        <w:t xml:space="preserve"> </w:t>
      </w:r>
      <w:r w:rsidRPr="00C65DA3">
        <w:rPr>
          <w:rFonts w:ascii="Trebuchet MS" w:eastAsiaTheme="minorHAnsi" w:hAnsi="Trebuchet MS" w:cs="Palatino-Roman"/>
          <w:sz w:val="20"/>
        </w:rPr>
        <w:t xml:space="preserve">Hassen </w:t>
      </w:r>
      <w:r w:rsidRPr="00C65DA3">
        <w:rPr>
          <w:rFonts w:ascii="Trebuchet MS" w:eastAsiaTheme="minorHAnsi" w:hAnsi="Trebuchet MS" w:cs="Palatino-Roman"/>
          <w:i/>
          <w:sz w:val="20"/>
        </w:rPr>
        <w:t xml:space="preserve">et al. </w:t>
      </w:r>
      <w:r w:rsidRPr="00C65DA3">
        <w:rPr>
          <w:rFonts w:ascii="Trebuchet MS" w:eastAsiaTheme="minorHAnsi" w:hAnsi="Trebuchet MS" w:cs="Palatino-Roman"/>
          <w:sz w:val="20"/>
        </w:rPr>
        <w:t>(2004) constataram que a utilização de fatias de hip</w:t>
      </w:r>
      <w:r w:rsidRPr="00C65DA3">
        <w:rPr>
          <w:rFonts w:ascii="Trebuchet MS" w:eastAsiaTheme="minorHAnsi" w:hAnsi="Trebuchet MS" w:cs="Palatino-Roman"/>
          <w:sz w:val="20"/>
        </w:rPr>
        <w:t>o</w:t>
      </w:r>
      <w:r w:rsidRPr="00C65DA3">
        <w:rPr>
          <w:rFonts w:ascii="Trebuchet MS" w:eastAsiaTheme="minorHAnsi" w:hAnsi="Trebuchet MS" w:cs="Palatino-Roman"/>
          <w:sz w:val="20"/>
        </w:rPr>
        <w:t>campo</w:t>
      </w:r>
      <w:r w:rsidR="003844F5">
        <w:rPr>
          <w:rFonts w:ascii="Trebuchet MS" w:eastAsiaTheme="minorHAnsi" w:hAnsi="Trebuchet MS" w:cs="Palatino-Roman"/>
          <w:sz w:val="20"/>
        </w:rPr>
        <w:t xml:space="preserve"> agudas</w:t>
      </w:r>
      <w:r w:rsidRPr="00C65DA3">
        <w:rPr>
          <w:rFonts w:ascii="Trebuchet MS" w:eastAsiaTheme="minorHAnsi" w:hAnsi="Trebuchet MS" w:cs="Palatino-Roman"/>
          <w:sz w:val="20"/>
        </w:rPr>
        <w:t xml:space="preserve"> (ratos com 20-30 dias) como método fornece um adequado modelo </w:t>
      </w:r>
      <w:proofErr w:type="gramStart"/>
      <w:r w:rsidRPr="00C65DA3">
        <w:rPr>
          <w:rFonts w:ascii="Trebuchet MS" w:eastAsiaTheme="minorHAnsi" w:hAnsi="Trebuchet MS" w:cs="Palatino-Roman"/>
          <w:i/>
          <w:sz w:val="20"/>
        </w:rPr>
        <w:t>in vitro</w:t>
      </w:r>
      <w:proofErr w:type="gramEnd"/>
      <w:r w:rsidRPr="00C65DA3">
        <w:rPr>
          <w:rFonts w:ascii="Trebuchet MS" w:eastAsiaTheme="minorHAnsi" w:hAnsi="Trebuchet MS" w:cs="Palatino-Roman"/>
          <w:i/>
          <w:sz w:val="20"/>
        </w:rPr>
        <w:t xml:space="preserve"> </w:t>
      </w:r>
      <w:r w:rsidR="00DE2730">
        <w:rPr>
          <w:rFonts w:ascii="Trebuchet MS" w:eastAsiaTheme="minorHAnsi" w:hAnsi="Trebuchet MS" w:cs="Palatino-Roman"/>
          <w:sz w:val="20"/>
        </w:rPr>
        <w:t xml:space="preserve">de IPC, </w:t>
      </w:r>
      <w:r w:rsidRPr="00C65DA3">
        <w:rPr>
          <w:rFonts w:ascii="Trebuchet MS" w:eastAsiaTheme="minorHAnsi" w:hAnsi="Trebuchet MS" w:cs="Palatino-Roman"/>
          <w:sz w:val="20"/>
        </w:rPr>
        <w:t xml:space="preserve">em que </w:t>
      </w:r>
      <w:r w:rsidR="003844F5">
        <w:rPr>
          <w:rFonts w:ascii="Trebuchet MS" w:eastAsiaTheme="minorHAnsi" w:hAnsi="Trebuchet MS" w:cs="Palatino-Roman"/>
          <w:sz w:val="20"/>
        </w:rPr>
        <w:t xml:space="preserve">se </w:t>
      </w:r>
      <w:r w:rsidRPr="00C65DA3">
        <w:rPr>
          <w:rFonts w:ascii="Trebuchet MS" w:eastAsiaTheme="minorHAnsi" w:hAnsi="Trebuchet MS" w:cs="Palatino-Roman"/>
          <w:sz w:val="20"/>
        </w:rPr>
        <w:t>usa</w:t>
      </w:r>
      <w:r w:rsidR="003844F5">
        <w:rPr>
          <w:rFonts w:ascii="Trebuchet MS" w:eastAsiaTheme="minorHAnsi" w:hAnsi="Trebuchet MS" w:cs="Palatino-Roman"/>
          <w:sz w:val="20"/>
        </w:rPr>
        <w:t>m</w:t>
      </w:r>
      <w:r w:rsidRPr="00C65DA3">
        <w:rPr>
          <w:rFonts w:ascii="Trebuchet MS" w:eastAsiaTheme="minorHAnsi" w:hAnsi="Trebuchet MS" w:cs="Palatino-Roman"/>
          <w:sz w:val="20"/>
        </w:rPr>
        <w:t xml:space="preserve"> insultos comparáveis aos que causam danos no cérebro adulto (Hassen </w:t>
      </w:r>
      <w:r w:rsidRPr="00C65DA3">
        <w:rPr>
          <w:rFonts w:ascii="Trebuchet MS" w:eastAsiaTheme="minorHAnsi" w:hAnsi="Trebuchet MS" w:cs="Palatino-Roman"/>
          <w:i/>
          <w:sz w:val="20"/>
        </w:rPr>
        <w:t>et al.</w:t>
      </w:r>
      <w:r w:rsidRPr="00C65DA3">
        <w:rPr>
          <w:rFonts w:ascii="Trebuchet MS" w:eastAsiaTheme="minorHAnsi" w:hAnsi="Trebuchet MS" w:cs="Palatino-Roman"/>
          <w:sz w:val="20"/>
        </w:rPr>
        <w:t>, 2004).</w:t>
      </w:r>
    </w:p>
    <w:p w:rsidR="00A1207A" w:rsidRDefault="00A1207A" w:rsidP="00A1207A">
      <w:pPr>
        <w:autoSpaceDE w:val="0"/>
        <w:autoSpaceDN w:val="0"/>
        <w:adjustRightInd w:val="0"/>
        <w:spacing w:line="480" w:lineRule="auto"/>
        <w:ind w:firstLine="708"/>
        <w:jc w:val="both"/>
        <w:rPr>
          <w:rFonts w:ascii="Trebuchet MS" w:eastAsiaTheme="minorHAnsi" w:hAnsi="Trebuchet MS" w:cs="Palatino-Roman"/>
          <w:sz w:val="20"/>
        </w:rPr>
      </w:pPr>
    </w:p>
    <w:p w:rsidR="00A07205" w:rsidRDefault="00A07205" w:rsidP="00A1207A">
      <w:pPr>
        <w:autoSpaceDE w:val="0"/>
        <w:autoSpaceDN w:val="0"/>
        <w:adjustRightInd w:val="0"/>
        <w:spacing w:line="480" w:lineRule="auto"/>
        <w:ind w:firstLine="708"/>
        <w:jc w:val="both"/>
        <w:rPr>
          <w:rFonts w:ascii="Trebuchet MS" w:eastAsiaTheme="minorHAnsi" w:hAnsi="Trebuchet MS" w:cs="Palatino-Roman"/>
          <w:sz w:val="20"/>
        </w:rPr>
      </w:pPr>
    </w:p>
    <w:p w:rsidR="00A07205" w:rsidRPr="00C65DA3" w:rsidRDefault="00A07205" w:rsidP="00A1207A">
      <w:pPr>
        <w:autoSpaceDE w:val="0"/>
        <w:autoSpaceDN w:val="0"/>
        <w:adjustRightInd w:val="0"/>
        <w:spacing w:line="480" w:lineRule="auto"/>
        <w:ind w:firstLine="708"/>
        <w:jc w:val="both"/>
        <w:rPr>
          <w:rFonts w:ascii="Trebuchet MS" w:eastAsiaTheme="minorHAnsi" w:hAnsi="Trebuchet MS" w:cs="Palatino-Roman"/>
          <w:sz w:val="20"/>
        </w:rPr>
      </w:pPr>
    </w:p>
    <w:p w:rsidR="003844F5" w:rsidRPr="00A07205" w:rsidRDefault="00A1207A" w:rsidP="00A07205">
      <w:pPr>
        <w:spacing w:line="480" w:lineRule="auto"/>
        <w:ind w:left="284"/>
        <w:jc w:val="both"/>
        <w:rPr>
          <w:rFonts w:ascii="Trebuchet MS" w:eastAsiaTheme="minorHAnsi" w:hAnsi="Trebuchet MS"/>
          <w:sz w:val="23"/>
          <w:szCs w:val="23"/>
        </w:rPr>
      </w:pPr>
      <w:r w:rsidRPr="00A07205">
        <w:rPr>
          <w:rFonts w:ascii="Trebuchet MS" w:hAnsi="Trebuchet MS"/>
          <w:b/>
          <w:shadow/>
          <w:color w:val="333399"/>
          <w:sz w:val="23"/>
          <w:szCs w:val="23"/>
        </w:rPr>
        <w:lastRenderedPageBreak/>
        <w:t xml:space="preserve">1.4.1. </w:t>
      </w:r>
      <w:r w:rsidRPr="00A07205">
        <w:rPr>
          <w:rFonts w:ascii="Trebuchet MS" w:hAnsi="Trebuchet MS"/>
          <w:b/>
          <w:smallCaps/>
          <w:shadow/>
          <w:color w:val="333399"/>
          <w:sz w:val="23"/>
          <w:szCs w:val="23"/>
        </w:rPr>
        <w:t>Metodologias para avaliar e quantificar a Sobrevivência/Morte Neuronal</w:t>
      </w:r>
    </w:p>
    <w:p w:rsidR="00A1207A" w:rsidRPr="00A1207A" w:rsidRDefault="00A1207A" w:rsidP="00A1207A">
      <w:pPr>
        <w:spacing w:after="200" w:line="360" w:lineRule="auto"/>
        <w:ind w:firstLine="708"/>
        <w:contextualSpacing/>
        <w:jc w:val="both"/>
        <w:rPr>
          <w:rFonts w:ascii="Trebuchet MS" w:eastAsiaTheme="minorHAnsi" w:hAnsi="Trebuchet MS" w:cs="Arial"/>
          <w:sz w:val="20"/>
          <w:szCs w:val="20"/>
          <w:shd w:val="clear" w:color="auto" w:fill="FFFFFF"/>
        </w:rPr>
      </w:pPr>
      <w:r w:rsidRPr="00A1207A">
        <w:rPr>
          <w:rFonts w:ascii="Trebuchet MS" w:eastAsiaTheme="minorHAnsi" w:hAnsi="Trebuchet MS" w:cs="Arial"/>
          <w:sz w:val="20"/>
          <w:szCs w:val="20"/>
          <w:shd w:val="clear" w:color="auto" w:fill="FFFFFF"/>
        </w:rPr>
        <w:t>A capacidade para determinar a localização e a extensão das áreas lesadas no tecido cerebral após lesão isquémica é essencial para a avaliação do médico ou intervenções cirúrg</w:t>
      </w:r>
      <w:r w:rsidRPr="00A1207A">
        <w:rPr>
          <w:rFonts w:ascii="Trebuchet MS" w:eastAsiaTheme="minorHAnsi" w:hAnsi="Trebuchet MS" w:cs="Arial"/>
          <w:sz w:val="20"/>
          <w:szCs w:val="20"/>
          <w:shd w:val="clear" w:color="auto" w:fill="FFFFFF"/>
        </w:rPr>
        <w:t>i</w:t>
      </w:r>
      <w:r w:rsidRPr="00A1207A">
        <w:rPr>
          <w:rFonts w:ascii="Trebuchet MS" w:eastAsiaTheme="minorHAnsi" w:hAnsi="Trebuchet MS" w:cs="Arial"/>
          <w:sz w:val="20"/>
          <w:szCs w:val="20"/>
          <w:shd w:val="clear" w:color="auto" w:fill="FFFFFF"/>
        </w:rPr>
        <w:t>cas, para a confirmação dos resultados clínicos, e para a avaliação de novas técnicas de dia</w:t>
      </w:r>
      <w:r w:rsidRPr="00A1207A">
        <w:rPr>
          <w:rFonts w:ascii="Trebuchet MS" w:eastAsiaTheme="minorHAnsi" w:hAnsi="Trebuchet MS" w:cs="Arial"/>
          <w:sz w:val="20"/>
          <w:szCs w:val="20"/>
          <w:shd w:val="clear" w:color="auto" w:fill="FFFFFF"/>
        </w:rPr>
        <w:t>g</w:t>
      </w:r>
      <w:r w:rsidRPr="00A1207A">
        <w:rPr>
          <w:rFonts w:ascii="Trebuchet MS" w:eastAsiaTheme="minorHAnsi" w:hAnsi="Trebuchet MS" w:cs="Arial"/>
          <w:sz w:val="20"/>
          <w:szCs w:val="20"/>
          <w:shd w:val="clear" w:color="auto" w:fill="FFFFFF"/>
        </w:rPr>
        <w:t xml:space="preserve">nóstico (Bederson </w:t>
      </w:r>
      <w:r w:rsidRPr="00A1207A">
        <w:rPr>
          <w:rFonts w:ascii="Trebuchet MS" w:eastAsiaTheme="minorHAnsi" w:hAnsi="Trebuchet MS" w:cs="Arial"/>
          <w:i/>
          <w:sz w:val="20"/>
          <w:szCs w:val="20"/>
          <w:shd w:val="clear" w:color="auto" w:fill="FFFFFF"/>
        </w:rPr>
        <w:t>et al.</w:t>
      </w:r>
      <w:r w:rsidRPr="00A1207A">
        <w:rPr>
          <w:rFonts w:ascii="Trebuchet MS" w:eastAsiaTheme="minorHAnsi" w:hAnsi="Trebuchet MS" w:cs="Arial"/>
          <w:sz w:val="20"/>
          <w:szCs w:val="20"/>
          <w:shd w:val="clear" w:color="auto" w:fill="FFFFFF"/>
        </w:rPr>
        <w:t>, 1986).</w:t>
      </w:r>
    </w:p>
    <w:p w:rsidR="00A1207A" w:rsidRDefault="00A1207A" w:rsidP="00BE03DC">
      <w:pPr>
        <w:spacing w:line="360" w:lineRule="auto"/>
        <w:ind w:firstLine="708"/>
        <w:jc w:val="both"/>
        <w:rPr>
          <w:rFonts w:ascii="Trebuchet MS" w:eastAsiaTheme="minorHAnsi" w:hAnsi="Trebuchet MS"/>
          <w:sz w:val="20"/>
          <w:szCs w:val="20"/>
        </w:rPr>
      </w:pPr>
    </w:p>
    <w:p w:rsidR="00727764" w:rsidRPr="002861BA" w:rsidRDefault="006C50E4" w:rsidP="0055635B">
      <w:pPr>
        <w:pStyle w:val="Corpodetexto"/>
        <w:spacing w:line="480" w:lineRule="auto"/>
        <w:rPr>
          <w:rFonts w:ascii="Trebuchet MS" w:hAnsi="Trebuchet MS"/>
          <w:sz w:val="20"/>
        </w:rPr>
      </w:pPr>
      <w:r w:rsidRPr="002861BA">
        <w:rPr>
          <w:rFonts w:ascii="Trebuchet MS" w:eastAsiaTheme="minorHAnsi" w:hAnsi="Trebuchet MS" w:cstheme="minorBidi"/>
          <w:b/>
          <w:smallCaps/>
          <w:shadow/>
          <w:sz w:val="20"/>
        </w:rPr>
        <w:t xml:space="preserve">    </w:t>
      </w:r>
      <w:r w:rsidR="00C54B9F" w:rsidRPr="002861BA">
        <w:rPr>
          <w:rFonts w:ascii="Trebuchet MS" w:eastAsiaTheme="minorHAnsi" w:hAnsi="Trebuchet MS" w:cstheme="minorBidi"/>
          <w:b/>
          <w:smallCaps/>
          <w:shadow/>
          <w:sz w:val="20"/>
        </w:rPr>
        <w:sym w:font="Wingdings" w:char="F0D6"/>
      </w:r>
      <w:r w:rsidR="00C54B9F" w:rsidRPr="002861BA">
        <w:rPr>
          <w:rFonts w:ascii="Trebuchet MS" w:eastAsiaTheme="minorHAnsi" w:hAnsi="Trebuchet MS" w:cstheme="minorBidi"/>
          <w:b/>
          <w:smallCaps/>
          <w:shadow/>
          <w:sz w:val="20"/>
          <w:u w:val="single"/>
        </w:rPr>
        <w:t>TTC</w:t>
      </w:r>
      <w:r w:rsidR="00A36BC8" w:rsidRPr="002861BA">
        <w:rPr>
          <w:rFonts w:ascii="Trebuchet MS" w:eastAsiaTheme="minorHAnsi" w:hAnsi="Trebuchet MS" w:cstheme="minorBidi"/>
          <w:b/>
          <w:smallCaps/>
          <w:shadow/>
          <w:sz w:val="20"/>
          <w:u w:val="single"/>
        </w:rPr>
        <w:t xml:space="preserve"> (Cloreto de 2,3,5-trifeniltetrazólio)</w:t>
      </w:r>
    </w:p>
    <w:p w:rsidR="00BD0B3B" w:rsidRPr="003B7012" w:rsidRDefault="006F5F65" w:rsidP="00BD0B3B">
      <w:pPr>
        <w:spacing w:line="360" w:lineRule="auto"/>
        <w:ind w:firstLine="708"/>
        <w:jc w:val="both"/>
        <w:textAlignment w:val="top"/>
        <w:rPr>
          <w:rFonts w:ascii="Trebuchet MS" w:eastAsiaTheme="minorHAnsi" w:hAnsi="Trebuchet MS" w:cs="AdvTT5843c571"/>
          <w:sz w:val="20"/>
          <w:szCs w:val="20"/>
        </w:rPr>
      </w:pPr>
      <w:r w:rsidRPr="003B7012">
        <w:rPr>
          <w:rFonts w:ascii="Trebuchet MS" w:eastAsiaTheme="minorHAnsi" w:hAnsi="Trebuchet MS" w:cs="AdvTT5843c571"/>
          <w:sz w:val="20"/>
          <w:szCs w:val="20"/>
        </w:rPr>
        <w:t>Há mais de duas décadas que a coloração com TTC tem sido usada para a identific</w:t>
      </w:r>
      <w:r w:rsidRPr="003B7012">
        <w:rPr>
          <w:rFonts w:ascii="Trebuchet MS" w:eastAsiaTheme="minorHAnsi" w:hAnsi="Trebuchet MS" w:cs="AdvTT5843c571"/>
          <w:sz w:val="20"/>
          <w:szCs w:val="20"/>
        </w:rPr>
        <w:t>a</w:t>
      </w:r>
      <w:r w:rsidRPr="003B7012">
        <w:rPr>
          <w:rFonts w:ascii="Trebuchet MS" w:eastAsiaTheme="minorHAnsi" w:hAnsi="Trebuchet MS" w:cs="AdvTT5843c571"/>
          <w:sz w:val="20"/>
          <w:szCs w:val="20"/>
        </w:rPr>
        <w:t>ção e determinação da extensão da lesão ce</w:t>
      </w:r>
      <w:r w:rsidR="003844F5">
        <w:rPr>
          <w:rFonts w:ascii="Trebuchet MS" w:eastAsiaTheme="minorHAnsi" w:hAnsi="Trebuchet MS" w:cs="AdvTT5843c571"/>
          <w:sz w:val="20"/>
          <w:szCs w:val="20"/>
        </w:rPr>
        <w:t>rebral, em diferentes modelos</w:t>
      </w:r>
      <w:r w:rsidRPr="003B7012">
        <w:rPr>
          <w:rFonts w:ascii="Trebuchet MS" w:eastAsiaTheme="minorHAnsi" w:hAnsi="Trebuchet MS" w:cs="AdvTT5843c571"/>
          <w:sz w:val="20"/>
          <w:szCs w:val="20"/>
        </w:rPr>
        <w:t xml:space="preserve"> animais de isqu</w:t>
      </w:r>
      <w:r w:rsidRPr="003B7012">
        <w:rPr>
          <w:rFonts w:ascii="Trebuchet MS" w:eastAsiaTheme="minorHAnsi" w:hAnsi="Trebuchet MS" w:cs="AdvTT5843c571"/>
          <w:sz w:val="20"/>
          <w:szCs w:val="20"/>
        </w:rPr>
        <w:t>é</w:t>
      </w:r>
      <w:r w:rsidRPr="003B7012">
        <w:rPr>
          <w:rFonts w:ascii="Trebuchet MS" w:eastAsiaTheme="minorHAnsi" w:hAnsi="Trebuchet MS" w:cs="AdvTT5843c571"/>
          <w:sz w:val="20"/>
          <w:szCs w:val="20"/>
        </w:rPr>
        <w:t>mia cerebral</w:t>
      </w:r>
      <w:r w:rsidR="00F17CF8" w:rsidRPr="003B7012">
        <w:rPr>
          <w:rFonts w:ascii="Trebuchet MS" w:eastAsiaTheme="minorHAnsi" w:hAnsi="Trebuchet MS" w:cs="AdvTT5843c571"/>
          <w:sz w:val="20"/>
          <w:szCs w:val="20"/>
        </w:rPr>
        <w:t xml:space="preserve"> </w:t>
      </w:r>
      <w:r w:rsidR="00194A32" w:rsidRPr="003B7012">
        <w:rPr>
          <w:rFonts w:ascii="Trebuchet MS" w:eastAsiaTheme="minorHAnsi" w:hAnsi="Trebuchet MS" w:cs="AdvTT5843c571"/>
          <w:i/>
          <w:sz w:val="20"/>
          <w:szCs w:val="20"/>
        </w:rPr>
        <w:t xml:space="preserve">in vivo </w:t>
      </w:r>
      <w:r w:rsidRPr="003B7012">
        <w:rPr>
          <w:rFonts w:ascii="Trebuchet MS" w:eastAsiaTheme="minorHAnsi" w:hAnsi="Trebuchet MS" w:cs="AdvTT5843c571"/>
          <w:sz w:val="20"/>
          <w:szCs w:val="20"/>
        </w:rPr>
        <w:t xml:space="preserve">(Joshi </w:t>
      </w:r>
      <w:r w:rsidR="00F96813" w:rsidRPr="003B7012">
        <w:rPr>
          <w:rFonts w:ascii="Trebuchet MS" w:eastAsiaTheme="minorHAnsi" w:hAnsi="Trebuchet MS" w:cs="AdvTT5843c571"/>
          <w:i/>
          <w:sz w:val="20"/>
          <w:szCs w:val="20"/>
        </w:rPr>
        <w:t>et al.</w:t>
      </w:r>
      <w:r w:rsidRPr="003B7012">
        <w:rPr>
          <w:rFonts w:ascii="Trebuchet MS" w:eastAsiaTheme="minorHAnsi" w:hAnsi="Trebuchet MS" w:cs="AdvTT5843c571"/>
          <w:sz w:val="20"/>
          <w:szCs w:val="20"/>
        </w:rPr>
        <w:t>, 2004</w:t>
      </w:r>
      <w:r w:rsidR="00F17CF8" w:rsidRPr="003B7012">
        <w:rPr>
          <w:rFonts w:ascii="Trebuchet MS" w:eastAsiaTheme="minorHAnsi" w:hAnsi="Trebuchet MS" w:cs="AdvTT5843c571"/>
          <w:sz w:val="20"/>
          <w:szCs w:val="20"/>
        </w:rPr>
        <w:t xml:space="preserve">; Toner </w:t>
      </w:r>
      <w:r w:rsidR="00F96813" w:rsidRPr="003B7012">
        <w:rPr>
          <w:rFonts w:ascii="Trebuchet MS" w:eastAsiaTheme="minorHAnsi" w:hAnsi="Trebuchet MS" w:cs="AdvTT5843c571"/>
          <w:i/>
          <w:sz w:val="20"/>
          <w:szCs w:val="20"/>
        </w:rPr>
        <w:t>et al.</w:t>
      </w:r>
      <w:r w:rsidR="00F17CF8" w:rsidRPr="003B7012">
        <w:rPr>
          <w:rFonts w:ascii="Trebuchet MS" w:eastAsiaTheme="minorHAnsi" w:hAnsi="Trebuchet MS" w:cs="AdvTT5843c571"/>
          <w:sz w:val="20"/>
          <w:szCs w:val="20"/>
        </w:rPr>
        <w:t>, 2002</w:t>
      </w:r>
      <w:r w:rsidRPr="003B7012">
        <w:rPr>
          <w:rFonts w:ascii="Trebuchet MS" w:eastAsiaTheme="minorHAnsi" w:hAnsi="Trebuchet MS" w:cs="AdvTT5843c571"/>
          <w:sz w:val="20"/>
          <w:szCs w:val="20"/>
        </w:rPr>
        <w:t>), bem como, em fatias de cérebro</w:t>
      </w:r>
      <w:r w:rsidR="00F17CF8" w:rsidRPr="003B7012">
        <w:rPr>
          <w:rFonts w:ascii="Trebuchet MS" w:eastAsiaTheme="minorHAnsi" w:hAnsi="Trebuchet MS" w:cs="AdvTT5843c571"/>
          <w:sz w:val="20"/>
          <w:szCs w:val="20"/>
        </w:rPr>
        <w:t xml:space="preserve"> </w:t>
      </w:r>
      <w:proofErr w:type="gramStart"/>
      <w:r w:rsidR="001B6AEF" w:rsidRPr="003B7012">
        <w:rPr>
          <w:rFonts w:ascii="Trebuchet MS" w:eastAsiaTheme="minorHAnsi" w:hAnsi="Trebuchet MS" w:cs="AdvTT5843c571"/>
          <w:i/>
          <w:sz w:val="20"/>
          <w:szCs w:val="20"/>
        </w:rPr>
        <w:t>in vitro</w:t>
      </w:r>
      <w:proofErr w:type="gramEnd"/>
      <w:r w:rsidR="00AD6BC8" w:rsidRPr="003B7012">
        <w:rPr>
          <w:rFonts w:ascii="Trebuchet MS" w:eastAsiaTheme="minorHAnsi" w:hAnsi="Trebuchet MS" w:cs="AdvTT5843c571"/>
          <w:i/>
          <w:sz w:val="20"/>
          <w:szCs w:val="20"/>
        </w:rPr>
        <w:t xml:space="preserve"> </w:t>
      </w:r>
      <w:r w:rsidRPr="003B7012">
        <w:rPr>
          <w:rFonts w:ascii="Trebuchet MS" w:eastAsiaTheme="minorHAnsi" w:hAnsi="Trebuchet MS" w:cs="AdvTT5843c571"/>
          <w:sz w:val="20"/>
          <w:szCs w:val="20"/>
        </w:rPr>
        <w:t xml:space="preserve">(Bederson </w:t>
      </w:r>
      <w:r w:rsidR="00F96813" w:rsidRPr="003B7012">
        <w:rPr>
          <w:rFonts w:ascii="Trebuchet MS" w:eastAsiaTheme="minorHAnsi" w:hAnsi="Trebuchet MS" w:cs="AdvTT5843c571"/>
          <w:i/>
          <w:sz w:val="20"/>
          <w:szCs w:val="20"/>
        </w:rPr>
        <w:t>et al.</w:t>
      </w:r>
      <w:r w:rsidRPr="003B7012">
        <w:rPr>
          <w:rFonts w:ascii="Trebuchet MS" w:eastAsiaTheme="minorHAnsi" w:hAnsi="Trebuchet MS" w:cs="AdvTT5843c571"/>
          <w:sz w:val="20"/>
          <w:szCs w:val="20"/>
        </w:rPr>
        <w:t xml:space="preserve">, 1986), No entanto, não há nenhum procedimento </w:t>
      </w:r>
      <w:r w:rsidRPr="003B7012">
        <w:rPr>
          <w:rFonts w:ascii="Trebuchet MS" w:eastAsiaTheme="minorHAnsi" w:hAnsi="Trebuchet MS" w:cs="AdvTT5843c571"/>
          <w:i/>
          <w:sz w:val="20"/>
          <w:szCs w:val="20"/>
        </w:rPr>
        <w:t>standard</w:t>
      </w:r>
      <w:r w:rsidRPr="003B7012">
        <w:rPr>
          <w:rFonts w:ascii="Trebuchet MS" w:eastAsiaTheme="minorHAnsi" w:hAnsi="Trebuchet MS" w:cs="AdvTT5843c571"/>
          <w:sz w:val="20"/>
          <w:szCs w:val="20"/>
        </w:rPr>
        <w:t xml:space="preserve"> dispon</w:t>
      </w:r>
      <w:r w:rsidRPr="003B7012">
        <w:rPr>
          <w:rFonts w:ascii="Trebuchet MS" w:eastAsiaTheme="minorHAnsi" w:hAnsi="Trebuchet MS" w:cs="AdvTT5843c571"/>
          <w:sz w:val="20"/>
          <w:szCs w:val="20"/>
        </w:rPr>
        <w:t>í</w:t>
      </w:r>
      <w:r w:rsidRPr="003B7012">
        <w:rPr>
          <w:rFonts w:ascii="Trebuchet MS" w:eastAsiaTheme="minorHAnsi" w:hAnsi="Trebuchet MS" w:cs="AdvTT5843c571"/>
          <w:sz w:val="20"/>
          <w:szCs w:val="20"/>
        </w:rPr>
        <w:t xml:space="preserve">vel (Joshi </w:t>
      </w:r>
      <w:r w:rsidR="00F96813" w:rsidRPr="003B7012">
        <w:rPr>
          <w:rFonts w:ascii="Trebuchet MS" w:eastAsiaTheme="minorHAnsi" w:hAnsi="Trebuchet MS" w:cs="AdvTT5843c571"/>
          <w:i/>
          <w:sz w:val="20"/>
          <w:szCs w:val="20"/>
        </w:rPr>
        <w:t>et al.</w:t>
      </w:r>
      <w:r w:rsidRPr="003B7012">
        <w:rPr>
          <w:rFonts w:ascii="Trebuchet MS" w:eastAsiaTheme="minorHAnsi" w:hAnsi="Trebuchet MS" w:cs="AdvTT5843c571"/>
          <w:sz w:val="20"/>
          <w:szCs w:val="20"/>
        </w:rPr>
        <w:t>, 2004).</w:t>
      </w:r>
      <w:r w:rsidR="00BD0B3B" w:rsidRPr="003B7012">
        <w:rPr>
          <w:rFonts w:ascii="Trebuchet MS" w:eastAsiaTheme="minorHAnsi" w:hAnsi="Trebuchet MS" w:cs="AdvTT5843c571"/>
          <w:sz w:val="20"/>
          <w:szCs w:val="20"/>
        </w:rPr>
        <w:t xml:space="preserve"> </w:t>
      </w:r>
    </w:p>
    <w:p w:rsidR="00BD0B3B" w:rsidRDefault="003844F5" w:rsidP="009C4648">
      <w:pPr>
        <w:spacing w:line="360" w:lineRule="auto"/>
        <w:ind w:firstLine="708"/>
        <w:jc w:val="both"/>
        <w:textAlignment w:val="top"/>
        <w:rPr>
          <w:rFonts w:ascii="Trebuchet MS" w:eastAsiaTheme="minorHAnsi" w:hAnsi="Trebuchet MS" w:cs="Arial"/>
          <w:color w:val="000000"/>
          <w:sz w:val="20"/>
          <w:szCs w:val="20"/>
        </w:rPr>
      </w:pPr>
      <w:r>
        <w:rPr>
          <w:rFonts w:ascii="Trebuchet MS" w:eastAsiaTheme="minorHAnsi" w:hAnsi="Trebuchet MS" w:cs="Arial"/>
          <w:color w:val="000000"/>
          <w:sz w:val="20"/>
          <w:szCs w:val="20"/>
        </w:rPr>
        <w:t xml:space="preserve">O TTC pode-se utilizar como </w:t>
      </w:r>
      <w:r w:rsidR="00BD0B3B" w:rsidRPr="003B7012">
        <w:rPr>
          <w:rFonts w:ascii="Trebuchet MS" w:eastAsiaTheme="minorHAnsi" w:hAnsi="Trebuchet MS" w:cs="Arial"/>
          <w:color w:val="000000"/>
          <w:sz w:val="20"/>
          <w:szCs w:val="20"/>
        </w:rPr>
        <w:t>parâmetro bioquímico para avaliar a viabilidade de ne</w:t>
      </w:r>
      <w:r w:rsidR="00BD0B3B" w:rsidRPr="003B7012">
        <w:rPr>
          <w:rFonts w:ascii="Trebuchet MS" w:eastAsiaTheme="minorHAnsi" w:hAnsi="Trebuchet MS" w:cs="Arial"/>
          <w:color w:val="000000"/>
          <w:sz w:val="20"/>
          <w:szCs w:val="20"/>
        </w:rPr>
        <w:t>u</w:t>
      </w:r>
      <w:r w:rsidR="00BD0B3B" w:rsidRPr="003B7012">
        <w:rPr>
          <w:rFonts w:ascii="Trebuchet MS" w:eastAsiaTheme="minorHAnsi" w:hAnsi="Trebuchet MS" w:cs="Arial"/>
          <w:color w:val="000000"/>
          <w:sz w:val="20"/>
          <w:szCs w:val="20"/>
        </w:rPr>
        <w:t>rónios em fatias de cérebro</w:t>
      </w:r>
      <w:r>
        <w:rPr>
          <w:rFonts w:ascii="Trebuchet MS" w:eastAsiaTheme="minorHAnsi" w:hAnsi="Trebuchet MS" w:cs="Arial"/>
          <w:color w:val="000000"/>
          <w:sz w:val="20"/>
          <w:szCs w:val="20"/>
        </w:rPr>
        <w:t>, pois constitui</w:t>
      </w:r>
      <w:r w:rsidR="00BD0B3B" w:rsidRPr="003B7012">
        <w:rPr>
          <w:rFonts w:ascii="Trebuchet MS" w:eastAsiaTheme="minorHAnsi" w:hAnsi="Trebuchet MS" w:cs="Arial"/>
          <w:color w:val="000000"/>
          <w:sz w:val="20"/>
          <w:szCs w:val="20"/>
        </w:rPr>
        <w:t xml:space="preserve"> um marcador da actividade mitocondrial,</w:t>
      </w:r>
      <w:r>
        <w:rPr>
          <w:rFonts w:ascii="Trebuchet MS" w:eastAsiaTheme="minorHAnsi" w:hAnsi="Trebuchet MS" w:cs="Arial"/>
          <w:color w:val="000000"/>
          <w:sz w:val="20"/>
          <w:szCs w:val="20"/>
        </w:rPr>
        <w:t xml:space="preserve"> formando </w:t>
      </w:r>
      <w:r w:rsidR="00BD0B3B" w:rsidRPr="003B7012">
        <w:rPr>
          <w:rFonts w:ascii="Trebuchet MS" w:eastAsiaTheme="minorHAnsi" w:hAnsi="Trebuchet MS" w:cs="Arial"/>
          <w:color w:val="000000"/>
          <w:sz w:val="20"/>
          <w:szCs w:val="20"/>
        </w:rPr>
        <w:t>um</w:t>
      </w:r>
      <w:r w:rsidR="00F236F5" w:rsidRPr="003B7012">
        <w:rPr>
          <w:rFonts w:ascii="Trebuchet MS" w:eastAsiaTheme="minorHAnsi" w:hAnsi="Trebuchet MS" w:cs="Arial"/>
          <w:color w:val="000000"/>
          <w:sz w:val="20"/>
          <w:szCs w:val="20"/>
        </w:rPr>
        <w:t xml:space="preserve"> precipitado vermelho (</w:t>
      </w:r>
      <w:r w:rsidR="00BD0B3B" w:rsidRPr="003B7012">
        <w:rPr>
          <w:rFonts w:ascii="Trebuchet MS" w:eastAsiaTheme="minorHAnsi" w:hAnsi="Trebuchet MS" w:cs="Arial"/>
          <w:color w:val="000000"/>
          <w:sz w:val="20"/>
          <w:szCs w:val="20"/>
        </w:rPr>
        <w:t>formazan</w:t>
      </w:r>
      <w:r w:rsidR="00F236F5" w:rsidRPr="003B7012">
        <w:rPr>
          <w:rFonts w:ascii="Trebuchet MS" w:eastAsiaTheme="minorHAnsi" w:hAnsi="Trebuchet MS" w:cs="Arial"/>
          <w:color w:val="000000"/>
          <w:sz w:val="20"/>
          <w:szCs w:val="20"/>
        </w:rPr>
        <w:t>)</w:t>
      </w:r>
      <w:r w:rsidR="00BD0B3B" w:rsidRPr="003B7012">
        <w:rPr>
          <w:rFonts w:ascii="Trebuchet MS" w:eastAsiaTheme="minorHAnsi" w:hAnsi="Trebuchet MS" w:cs="Arial"/>
          <w:color w:val="000000"/>
          <w:sz w:val="20"/>
          <w:szCs w:val="20"/>
        </w:rPr>
        <w:t xml:space="preserve"> em células com</w:t>
      </w:r>
      <w:r w:rsidR="00701C6A">
        <w:rPr>
          <w:rFonts w:ascii="Trebuchet MS" w:eastAsiaTheme="minorHAnsi" w:hAnsi="Trebuchet MS" w:cs="Arial"/>
          <w:color w:val="000000"/>
          <w:sz w:val="20"/>
          <w:szCs w:val="20"/>
        </w:rPr>
        <w:t xml:space="preserve"> as</w:t>
      </w:r>
      <w:r w:rsidR="00BD0B3B" w:rsidRPr="003B7012">
        <w:rPr>
          <w:rFonts w:ascii="Trebuchet MS" w:eastAsiaTheme="minorHAnsi" w:hAnsi="Trebuchet MS" w:cs="Arial"/>
          <w:color w:val="000000"/>
          <w:sz w:val="20"/>
          <w:szCs w:val="20"/>
        </w:rPr>
        <w:t xml:space="preserve"> mitocôndria</w:t>
      </w:r>
      <w:r w:rsidR="00701C6A">
        <w:rPr>
          <w:rFonts w:ascii="Trebuchet MS" w:eastAsiaTheme="minorHAnsi" w:hAnsi="Trebuchet MS" w:cs="Arial"/>
          <w:color w:val="000000"/>
          <w:sz w:val="20"/>
          <w:szCs w:val="20"/>
        </w:rPr>
        <w:t>s</w:t>
      </w:r>
      <w:r w:rsidR="00BD0B3B" w:rsidRPr="003B7012">
        <w:rPr>
          <w:rFonts w:ascii="Trebuchet MS" w:eastAsiaTheme="minorHAnsi" w:hAnsi="Trebuchet MS" w:cs="Arial"/>
          <w:color w:val="000000"/>
          <w:sz w:val="20"/>
          <w:szCs w:val="20"/>
        </w:rPr>
        <w:t xml:space="preserve"> acti</w:t>
      </w:r>
      <w:r w:rsidR="00F236F5" w:rsidRPr="003B7012">
        <w:rPr>
          <w:rFonts w:ascii="Trebuchet MS" w:eastAsiaTheme="minorHAnsi" w:hAnsi="Trebuchet MS" w:cs="Arial"/>
          <w:color w:val="000000"/>
          <w:sz w:val="20"/>
          <w:szCs w:val="20"/>
        </w:rPr>
        <w:t>va</w:t>
      </w:r>
      <w:r w:rsidR="00701C6A">
        <w:rPr>
          <w:rFonts w:ascii="Trebuchet MS" w:eastAsiaTheme="minorHAnsi" w:hAnsi="Trebuchet MS" w:cs="Arial"/>
          <w:color w:val="000000"/>
          <w:sz w:val="20"/>
          <w:szCs w:val="20"/>
        </w:rPr>
        <w:t>s</w:t>
      </w:r>
      <w:r w:rsidR="00F236F5" w:rsidRPr="003B7012">
        <w:rPr>
          <w:rFonts w:ascii="Trebuchet MS" w:eastAsiaTheme="minorHAnsi" w:hAnsi="Trebuchet MS" w:cs="Arial"/>
          <w:color w:val="000000"/>
          <w:sz w:val="20"/>
          <w:szCs w:val="20"/>
        </w:rPr>
        <w:t>.</w:t>
      </w:r>
      <w:r w:rsidR="00BD0B3B" w:rsidRPr="003B7012">
        <w:rPr>
          <w:rFonts w:ascii="Trebuchet MS" w:eastAsiaTheme="minorHAnsi" w:hAnsi="Trebuchet MS" w:cs="Arial"/>
          <w:color w:val="000000"/>
          <w:sz w:val="20"/>
          <w:szCs w:val="20"/>
        </w:rPr>
        <w:t xml:space="preserve"> </w:t>
      </w:r>
    </w:p>
    <w:p w:rsidR="00DE2730" w:rsidRPr="00C65DA3" w:rsidRDefault="00DE2730" w:rsidP="00DE2730">
      <w:pPr>
        <w:autoSpaceDE w:val="0"/>
        <w:autoSpaceDN w:val="0"/>
        <w:adjustRightInd w:val="0"/>
        <w:spacing w:line="360" w:lineRule="auto"/>
        <w:ind w:firstLine="709"/>
        <w:jc w:val="both"/>
        <w:rPr>
          <w:rFonts w:ascii="Trebuchet MS" w:eastAsiaTheme="minorHAnsi" w:hAnsi="Trebuchet MS"/>
          <w:sz w:val="20"/>
          <w:szCs w:val="20"/>
        </w:rPr>
      </w:pPr>
      <w:r w:rsidRPr="00C65DA3">
        <w:rPr>
          <w:rFonts w:ascii="Trebuchet MS" w:eastAsiaTheme="minorHAnsi" w:hAnsi="Trebuchet MS"/>
          <w:sz w:val="20"/>
          <w:szCs w:val="20"/>
        </w:rPr>
        <w:t>A conversão do TTC como método de quantificação do dano celular não permite determinar quais os tipos de células que são danificadas pelo POG e as que são protegidas pelos efeitos do pré-condicionamento. No entanto, como os neurónios são geralmente mais sensíveis à isquémia do que as células da glia, é provável que os resultados reflictam princ</w:t>
      </w:r>
      <w:r w:rsidRPr="00C65DA3">
        <w:rPr>
          <w:rFonts w:ascii="Trebuchet MS" w:eastAsiaTheme="minorHAnsi" w:hAnsi="Trebuchet MS"/>
          <w:sz w:val="20"/>
          <w:szCs w:val="20"/>
        </w:rPr>
        <w:t>i</w:t>
      </w:r>
      <w:r w:rsidRPr="00C65DA3">
        <w:rPr>
          <w:rFonts w:ascii="Trebuchet MS" w:eastAsiaTheme="minorHAnsi" w:hAnsi="Trebuchet MS"/>
          <w:sz w:val="20"/>
          <w:szCs w:val="20"/>
        </w:rPr>
        <w:t xml:space="preserve">palmente as alterações dos neurónios em fatias de cerebelo (Wang </w:t>
      </w:r>
      <w:r w:rsidRPr="00C65DA3">
        <w:rPr>
          <w:rFonts w:ascii="Trebuchet MS" w:eastAsiaTheme="minorHAnsi" w:hAnsi="Trebuchet MS"/>
          <w:i/>
          <w:sz w:val="20"/>
          <w:szCs w:val="20"/>
        </w:rPr>
        <w:t>et al.</w:t>
      </w:r>
      <w:r w:rsidRPr="00C65DA3">
        <w:rPr>
          <w:rFonts w:ascii="Trebuchet MS" w:eastAsiaTheme="minorHAnsi" w:hAnsi="Trebuchet MS"/>
          <w:sz w:val="20"/>
          <w:szCs w:val="20"/>
        </w:rPr>
        <w:t xml:space="preserve">, 2007). Benedek </w:t>
      </w:r>
      <w:r w:rsidRPr="00C65DA3">
        <w:rPr>
          <w:rFonts w:ascii="Trebuchet MS" w:eastAsiaTheme="minorHAnsi" w:hAnsi="Trebuchet MS"/>
          <w:i/>
          <w:sz w:val="20"/>
          <w:szCs w:val="20"/>
        </w:rPr>
        <w:t xml:space="preserve">et al. </w:t>
      </w:r>
      <w:r w:rsidRPr="00C65DA3">
        <w:rPr>
          <w:rFonts w:ascii="Trebuchet MS" w:eastAsiaTheme="minorHAnsi" w:hAnsi="Trebuchet MS"/>
          <w:sz w:val="20"/>
          <w:szCs w:val="20"/>
        </w:rPr>
        <w:t>(2006) sugerem que o TTC pode não detectar baixa viabilidade nos tecidos quando o número de células sobreviventes está abaixo do limite detectável pelo método, bem como, refere que o TTC pode ser sob ou subvalorizado, uma vez que, é afectado por alterações metabólicas já que responde as danos provocadas na mitocôndria.</w:t>
      </w:r>
    </w:p>
    <w:p w:rsidR="00DE2730" w:rsidRPr="00C65DA3" w:rsidRDefault="00DE2730" w:rsidP="00DE2730">
      <w:pPr>
        <w:autoSpaceDE w:val="0"/>
        <w:autoSpaceDN w:val="0"/>
        <w:adjustRightInd w:val="0"/>
        <w:spacing w:line="360" w:lineRule="auto"/>
        <w:ind w:firstLine="709"/>
        <w:jc w:val="both"/>
        <w:rPr>
          <w:rFonts w:ascii="Trebuchet MS" w:eastAsiaTheme="minorHAnsi" w:hAnsi="Trebuchet MS"/>
          <w:sz w:val="20"/>
          <w:szCs w:val="20"/>
        </w:rPr>
      </w:pPr>
      <w:r w:rsidRPr="00C65DA3">
        <w:rPr>
          <w:rFonts w:ascii="Trebuchet MS" w:eastAsiaTheme="minorHAnsi" w:hAnsi="Trebuchet MS"/>
          <w:sz w:val="20"/>
          <w:szCs w:val="20"/>
        </w:rPr>
        <w:t xml:space="preserve">Uma das limitações do TTC é </w:t>
      </w:r>
      <w:r w:rsidR="0096524E">
        <w:rPr>
          <w:rFonts w:ascii="Trebuchet MS" w:eastAsiaTheme="minorHAnsi" w:hAnsi="Trebuchet MS"/>
          <w:sz w:val="20"/>
          <w:szCs w:val="20"/>
        </w:rPr>
        <w:t>a reprodutibilidade, sendo normalmente necessário 5 a 8 experiências para se observarem diferenças significativas entre condições</w:t>
      </w:r>
      <w:r w:rsidR="00DE0A73">
        <w:rPr>
          <w:rFonts w:ascii="Trebuchet MS" w:eastAsiaTheme="minorHAnsi" w:hAnsi="Trebuchet MS"/>
          <w:sz w:val="20"/>
          <w:szCs w:val="20"/>
        </w:rPr>
        <w:t xml:space="preserve"> aplicadas</w:t>
      </w:r>
      <w:r w:rsidR="0096524E">
        <w:rPr>
          <w:rFonts w:ascii="Trebuchet MS" w:eastAsiaTheme="minorHAnsi" w:hAnsi="Trebuchet MS"/>
          <w:sz w:val="20"/>
          <w:szCs w:val="20"/>
        </w:rPr>
        <w:t xml:space="preserve"> (</w:t>
      </w:r>
      <w:r w:rsidRPr="00C65DA3">
        <w:rPr>
          <w:rFonts w:ascii="Trebuchet MS" w:eastAsiaTheme="minorHAnsi" w:hAnsi="Trebuchet MS"/>
          <w:sz w:val="20"/>
          <w:szCs w:val="20"/>
        </w:rPr>
        <w:t xml:space="preserve">Wang </w:t>
      </w:r>
      <w:r w:rsidRPr="00C65DA3">
        <w:rPr>
          <w:rFonts w:ascii="Trebuchet MS" w:eastAsiaTheme="minorHAnsi" w:hAnsi="Trebuchet MS"/>
          <w:i/>
          <w:sz w:val="20"/>
          <w:szCs w:val="20"/>
        </w:rPr>
        <w:t xml:space="preserve">et al. </w:t>
      </w:r>
      <w:r w:rsidR="0096524E">
        <w:rPr>
          <w:rFonts w:ascii="Trebuchet MS" w:eastAsiaTheme="minorHAnsi" w:hAnsi="Trebuchet MS"/>
          <w:sz w:val="20"/>
          <w:szCs w:val="20"/>
        </w:rPr>
        <w:t>(2007);</w:t>
      </w:r>
      <w:r w:rsidRPr="00C65DA3">
        <w:rPr>
          <w:rFonts w:ascii="Trebuchet MS" w:eastAsiaTheme="minorHAnsi" w:hAnsi="Trebuchet MS"/>
          <w:sz w:val="20"/>
          <w:szCs w:val="20"/>
        </w:rPr>
        <w:t xml:space="preserve"> Monette </w:t>
      </w:r>
      <w:r w:rsidRPr="00C65DA3">
        <w:rPr>
          <w:rFonts w:ascii="Trebuchet MS" w:eastAsiaTheme="minorHAnsi" w:hAnsi="Trebuchet MS"/>
          <w:i/>
          <w:sz w:val="20"/>
          <w:szCs w:val="20"/>
        </w:rPr>
        <w:t xml:space="preserve">et al. </w:t>
      </w:r>
      <w:r w:rsidR="0096524E">
        <w:rPr>
          <w:rFonts w:ascii="Trebuchet MS" w:eastAsiaTheme="minorHAnsi" w:hAnsi="Trebuchet MS"/>
          <w:sz w:val="20"/>
          <w:szCs w:val="20"/>
        </w:rPr>
        <w:t>(1998);</w:t>
      </w:r>
      <w:r w:rsidRPr="00C65DA3">
        <w:rPr>
          <w:rFonts w:ascii="Trebuchet MS" w:eastAsiaTheme="minorHAnsi" w:hAnsi="Trebuchet MS"/>
          <w:sz w:val="20"/>
          <w:szCs w:val="20"/>
        </w:rPr>
        <w:t xml:space="preserve"> Lee </w:t>
      </w:r>
      <w:r w:rsidRPr="00C65DA3">
        <w:rPr>
          <w:rFonts w:ascii="Trebuchet MS" w:eastAsiaTheme="minorHAnsi" w:hAnsi="Trebuchet MS"/>
          <w:i/>
          <w:sz w:val="20"/>
          <w:szCs w:val="20"/>
        </w:rPr>
        <w:t xml:space="preserve">et al. </w:t>
      </w:r>
      <w:r w:rsidRPr="00C65DA3">
        <w:rPr>
          <w:rFonts w:ascii="Trebuchet MS" w:eastAsiaTheme="minorHAnsi" w:hAnsi="Trebuchet MS"/>
          <w:sz w:val="20"/>
          <w:szCs w:val="20"/>
        </w:rPr>
        <w:t xml:space="preserve">(2008). </w:t>
      </w:r>
    </w:p>
    <w:p w:rsidR="00D7202F" w:rsidRDefault="00DE2730" w:rsidP="00D7202F">
      <w:pPr>
        <w:autoSpaceDE w:val="0"/>
        <w:autoSpaceDN w:val="0"/>
        <w:adjustRightInd w:val="0"/>
        <w:spacing w:line="360" w:lineRule="auto"/>
        <w:ind w:firstLine="709"/>
        <w:jc w:val="both"/>
        <w:rPr>
          <w:rFonts w:ascii="Trebuchet MS" w:eastAsiaTheme="minorHAnsi" w:hAnsi="Trebuchet MS"/>
          <w:sz w:val="20"/>
          <w:szCs w:val="20"/>
        </w:rPr>
      </w:pPr>
      <w:r w:rsidRPr="00C65DA3">
        <w:rPr>
          <w:rFonts w:ascii="Trebuchet MS" w:eastAsiaTheme="minorHAnsi" w:hAnsi="Trebuchet MS"/>
          <w:sz w:val="20"/>
          <w:szCs w:val="20"/>
        </w:rPr>
        <w:t>Apesar das desvantagens acima descritas, o TTC é um procedimento relativamente simples e rápido realizado em fatias frescas de hipocampo e pode ser avaliado ao fim 1h</w:t>
      </w:r>
      <w:r w:rsidR="00D7202F">
        <w:rPr>
          <w:rFonts w:ascii="Trebuchet MS" w:eastAsiaTheme="minorHAnsi" w:hAnsi="Trebuchet MS"/>
          <w:sz w:val="20"/>
          <w:szCs w:val="20"/>
        </w:rPr>
        <w:t xml:space="preserve">ora e </w:t>
      </w:r>
      <w:r w:rsidRPr="00C65DA3">
        <w:rPr>
          <w:rFonts w:ascii="Trebuchet MS" w:eastAsiaTheme="minorHAnsi" w:hAnsi="Trebuchet MS"/>
          <w:sz w:val="20"/>
          <w:szCs w:val="20"/>
        </w:rPr>
        <w:t>30</w:t>
      </w:r>
      <w:r w:rsidR="00D7202F">
        <w:rPr>
          <w:rFonts w:ascii="Trebuchet MS" w:eastAsiaTheme="minorHAnsi" w:hAnsi="Trebuchet MS"/>
          <w:sz w:val="20"/>
          <w:szCs w:val="20"/>
        </w:rPr>
        <w:t>minutos de</w:t>
      </w:r>
      <w:r w:rsidRPr="00C65DA3">
        <w:rPr>
          <w:rFonts w:ascii="Trebuchet MS" w:eastAsiaTheme="minorHAnsi" w:hAnsi="Trebuchet MS"/>
          <w:sz w:val="20"/>
          <w:szCs w:val="20"/>
        </w:rPr>
        <w:t xml:space="preserve"> perfusão com tampão </w:t>
      </w:r>
      <w:r w:rsidR="00007D68">
        <w:rPr>
          <w:rFonts w:ascii="Trebuchet MS" w:eastAsiaTheme="minorHAnsi" w:hAnsi="Trebuchet MS"/>
          <w:sz w:val="20"/>
          <w:szCs w:val="20"/>
        </w:rPr>
        <w:t xml:space="preserve">contendo </w:t>
      </w:r>
      <w:r w:rsidRPr="00C65DA3">
        <w:rPr>
          <w:rFonts w:ascii="Trebuchet MS" w:eastAsiaTheme="minorHAnsi" w:hAnsi="Trebuchet MS"/>
          <w:sz w:val="20"/>
          <w:szCs w:val="20"/>
        </w:rPr>
        <w:t xml:space="preserve">TTC, pelo que, a avaliação das fatias nem requer microscópio (Benedek </w:t>
      </w:r>
      <w:r w:rsidRPr="00C65DA3">
        <w:rPr>
          <w:rFonts w:ascii="Trebuchet MS" w:eastAsiaTheme="minorHAnsi" w:hAnsi="Trebuchet MS"/>
          <w:i/>
          <w:sz w:val="20"/>
          <w:szCs w:val="20"/>
        </w:rPr>
        <w:t>et al.</w:t>
      </w:r>
      <w:r w:rsidRPr="00C65DA3">
        <w:rPr>
          <w:rFonts w:ascii="Trebuchet MS" w:eastAsiaTheme="minorHAnsi" w:hAnsi="Trebuchet MS"/>
          <w:sz w:val="20"/>
          <w:szCs w:val="20"/>
        </w:rPr>
        <w:t xml:space="preserve">, 2006; Joshi </w:t>
      </w:r>
      <w:r w:rsidRPr="00C65DA3">
        <w:rPr>
          <w:rFonts w:ascii="Trebuchet MS" w:eastAsiaTheme="minorHAnsi" w:hAnsi="Trebuchet MS"/>
          <w:i/>
          <w:sz w:val="20"/>
          <w:szCs w:val="20"/>
        </w:rPr>
        <w:t>et al.</w:t>
      </w:r>
      <w:r w:rsidR="00D7202F">
        <w:rPr>
          <w:rFonts w:ascii="Trebuchet MS" w:eastAsiaTheme="minorHAnsi" w:hAnsi="Trebuchet MS"/>
          <w:sz w:val="20"/>
          <w:szCs w:val="20"/>
        </w:rPr>
        <w:t>, 2004).</w:t>
      </w:r>
      <w:r w:rsidR="00007D68">
        <w:rPr>
          <w:rFonts w:ascii="Trebuchet MS" w:eastAsiaTheme="minorHAnsi" w:hAnsi="Trebuchet MS"/>
          <w:sz w:val="20"/>
          <w:szCs w:val="20"/>
        </w:rPr>
        <w:t xml:space="preserve"> </w:t>
      </w:r>
      <w:r w:rsidR="00D7202F" w:rsidRPr="00C65DA3">
        <w:rPr>
          <w:rFonts w:ascii="Trebuchet MS" w:eastAsiaTheme="minorHAnsi" w:hAnsi="Trebuchet MS"/>
          <w:sz w:val="20"/>
          <w:szCs w:val="20"/>
        </w:rPr>
        <w:t xml:space="preserve">Mathews </w:t>
      </w:r>
      <w:r w:rsidR="00D7202F" w:rsidRPr="00C65DA3">
        <w:rPr>
          <w:rFonts w:ascii="Trebuchet MS" w:eastAsiaTheme="minorHAnsi" w:hAnsi="Trebuchet MS"/>
          <w:i/>
          <w:sz w:val="20"/>
          <w:szCs w:val="20"/>
        </w:rPr>
        <w:t>et al.</w:t>
      </w:r>
      <w:r w:rsidR="00D7202F" w:rsidRPr="00C65DA3">
        <w:rPr>
          <w:rFonts w:ascii="Trebuchet MS" w:eastAsiaTheme="minorHAnsi" w:hAnsi="Trebuchet MS"/>
          <w:sz w:val="20"/>
          <w:szCs w:val="20"/>
        </w:rPr>
        <w:t>, (2000) consid</w:t>
      </w:r>
      <w:r w:rsidR="00D7202F" w:rsidRPr="00C65DA3">
        <w:rPr>
          <w:rFonts w:ascii="Trebuchet MS" w:eastAsiaTheme="minorHAnsi" w:hAnsi="Trebuchet MS"/>
          <w:sz w:val="20"/>
          <w:szCs w:val="20"/>
        </w:rPr>
        <w:t>e</w:t>
      </w:r>
      <w:r w:rsidR="00D7202F" w:rsidRPr="00C65DA3">
        <w:rPr>
          <w:rFonts w:ascii="Trebuchet MS" w:eastAsiaTheme="minorHAnsi" w:hAnsi="Trebuchet MS"/>
          <w:sz w:val="20"/>
          <w:szCs w:val="20"/>
        </w:rPr>
        <w:t>r</w:t>
      </w:r>
      <w:r w:rsidR="00D7202F">
        <w:rPr>
          <w:rFonts w:ascii="Trebuchet MS" w:eastAsiaTheme="minorHAnsi" w:hAnsi="Trebuchet MS"/>
          <w:sz w:val="20"/>
          <w:szCs w:val="20"/>
        </w:rPr>
        <w:t>a</w:t>
      </w:r>
      <w:r w:rsidR="00D7202F" w:rsidRPr="00C65DA3">
        <w:rPr>
          <w:rFonts w:ascii="Trebuchet MS" w:eastAsiaTheme="minorHAnsi" w:hAnsi="Trebuchet MS"/>
          <w:sz w:val="20"/>
          <w:szCs w:val="20"/>
        </w:rPr>
        <w:t>m a coloração com TTC, uma técnica totalmente validada para avaliação da disfunção cerebral metabólica celular no modelo de isquémia cerebral por eles usado</w:t>
      </w:r>
      <w:r w:rsidR="00D7202F">
        <w:rPr>
          <w:rFonts w:ascii="Trebuchet MS" w:eastAsiaTheme="minorHAnsi" w:hAnsi="Trebuchet MS"/>
          <w:sz w:val="20"/>
          <w:szCs w:val="20"/>
        </w:rPr>
        <w:t>.</w:t>
      </w:r>
    </w:p>
    <w:p w:rsidR="00D36D73" w:rsidRDefault="00D36D73" w:rsidP="001F6C93">
      <w:pPr>
        <w:pStyle w:val="Corpodetexto"/>
        <w:spacing w:line="480" w:lineRule="auto"/>
        <w:rPr>
          <w:rFonts w:ascii="Trebuchet MS" w:eastAsiaTheme="minorHAnsi" w:hAnsi="Trebuchet MS" w:cstheme="minorBidi"/>
          <w:b/>
          <w:smallCaps/>
          <w:shadow/>
          <w:sz w:val="16"/>
        </w:rPr>
      </w:pPr>
    </w:p>
    <w:p w:rsidR="009B5456" w:rsidRPr="002861BA" w:rsidRDefault="006C50E4" w:rsidP="001F6C93">
      <w:pPr>
        <w:pStyle w:val="Corpodetexto"/>
        <w:spacing w:line="480" w:lineRule="auto"/>
        <w:rPr>
          <w:rFonts w:ascii="Trebuchet MS" w:hAnsi="Trebuchet MS"/>
          <w:sz w:val="20"/>
        </w:rPr>
      </w:pPr>
      <w:r w:rsidRPr="002861BA">
        <w:rPr>
          <w:rFonts w:ascii="Trebuchet MS" w:eastAsiaTheme="minorHAnsi" w:hAnsi="Trebuchet MS" w:cstheme="minorBidi"/>
          <w:b/>
          <w:smallCaps/>
          <w:shadow/>
          <w:sz w:val="16"/>
        </w:rPr>
        <w:t xml:space="preserve">    </w:t>
      </w:r>
      <w:r w:rsidR="009B5456" w:rsidRPr="002861BA">
        <w:rPr>
          <w:rFonts w:ascii="Trebuchet MS" w:eastAsiaTheme="minorHAnsi" w:hAnsi="Trebuchet MS" w:cstheme="minorBidi"/>
          <w:b/>
          <w:smallCaps/>
          <w:shadow/>
          <w:sz w:val="20"/>
        </w:rPr>
        <w:sym w:font="Wingdings" w:char="F0D6"/>
      </w:r>
      <w:r w:rsidR="009B5456" w:rsidRPr="002861BA">
        <w:rPr>
          <w:rFonts w:ascii="Trebuchet MS" w:eastAsiaTheme="minorHAnsi" w:hAnsi="Trebuchet MS" w:cstheme="minorBidi"/>
          <w:b/>
          <w:smallCaps/>
          <w:shadow/>
          <w:sz w:val="20"/>
          <w:u w:val="single"/>
        </w:rPr>
        <w:t>Caspase-3</w:t>
      </w:r>
    </w:p>
    <w:p w:rsidR="00727764" w:rsidRPr="003B7012" w:rsidRDefault="001F6C93" w:rsidP="001F6C93">
      <w:pPr>
        <w:pStyle w:val="Corpodetexto"/>
        <w:spacing w:line="360" w:lineRule="auto"/>
        <w:ind w:firstLine="720"/>
        <w:rPr>
          <w:rFonts w:ascii="Trebuchet MS" w:eastAsiaTheme="minorHAnsi" w:hAnsi="Trebuchet MS" w:cs="Arial"/>
          <w:color w:val="000000"/>
          <w:sz w:val="20"/>
          <w:lang w:eastAsia="en-US"/>
        </w:rPr>
      </w:pPr>
      <w:r w:rsidRPr="003B7012">
        <w:rPr>
          <w:rFonts w:ascii="Trebuchet MS" w:eastAsiaTheme="minorHAnsi" w:hAnsi="Trebuchet MS" w:cs="Arial"/>
          <w:color w:val="000000"/>
          <w:sz w:val="20"/>
          <w:szCs w:val="16"/>
          <w:lang w:eastAsia="en-US"/>
        </w:rPr>
        <w:t>A apoptose ou morte celular programada é um processo fisiológico normal que ocorre durante o desenvolvimento embrionário, bem como na manutenção da hom</w:t>
      </w:r>
      <w:r w:rsidRPr="003B7012">
        <w:rPr>
          <w:rFonts w:ascii="Trebuchet MS" w:eastAsiaTheme="minorHAnsi" w:hAnsi="Trebuchet MS" w:cs="Arial"/>
          <w:color w:val="000000"/>
          <w:sz w:val="20"/>
          <w:lang w:eastAsia="en-US"/>
        </w:rPr>
        <w:t xml:space="preserve">eostase do tecido (Wang </w:t>
      </w:r>
      <w:r w:rsidR="00F96813" w:rsidRPr="003B7012">
        <w:rPr>
          <w:rFonts w:ascii="Trebuchet MS" w:eastAsiaTheme="minorHAnsi" w:hAnsi="Trebuchet MS" w:cs="Arial"/>
          <w:i/>
          <w:color w:val="000000"/>
          <w:sz w:val="20"/>
          <w:lang w:eastAsia="en-US"/>
        </w:rPr>
        <w:t>et al.</w:t>
      </w:r>
      <w:r w:rsidRPr="003B7012">
        <w:rPr>
          <w:rFonts w:ascii="Trebuchet MS" w:eastAsiaTheme="minorHAnsi" w:hAnsi="Trebuchet MS" w:cs="Arial"/>
          <w:color w:val="000000"/>
          <w:sz w:val="20"/>
          <w:lang w:eastAsia="en-US"/>
        </w:rPr>
        <w:t>, 2005).</w:t>
      </w:r>
    </w:p>
    <w:p w:rsidR="002F4843" w:rsidRPr="003B7012" w:rsidRDefault="002F4843" w:rsidP="001F6C93">
      <w:pPr>
        <w:pStyle w:val="Corpodetexto"/>
        <w:spacing w:line="360" w:lineRule="auto"/>
        <w:ind w:firstLine="720"/>
        <w:rPr>
          <w:rStyle w:val="hps"/>
          <w:rFonts w:ascii="Trebuchet MS" w:hAnsi="Trebuchet MS" w:cs="Arial"/>
          <w:color w:val="000000"/>
          <w:sz w:val="20"/>
        </w:rPr>
      </w:pPr>
      <w:r w:rsidRPr="003B7012">
        <w:rPr>
          <w:rFonts w:ascii="Trebuchet MS" w:hAnsi="Trebuchet MS"/>
          <w:sz w:val="20"/>
        </w:rPr>
        <w:lastRenderedPageBreak/>
        <w:t>A activação das caspases é uma característica da apoptose. A caspase-3 tem sido identificada como principal membro da família das caspases e é caracterizada como uma ca</w:t>
      </w:r>
      <w:r w:rsidRPr="003B7012">
        <w:rPr>
          <w:rFonts w:ascii="Trebuchet MS" w:hAnsi="Trebuchet MS"/>
          <w:sz w:val="20"/>
        </w:rPr>
        <w:t>s</w:t>
      </w:r>
      <w:r w:rsidRPr="003B7012">
        <w:rPr>
          <w:rFonts w:ascii="Trebuchet MS" w:hAnsi="Trebuchet MS"/>
          <w:sz w:val="20"/>
        </w:rPr>
        <w:t xml:space="preserve">pase efectora ou caspase executora. Durante a apoptose, a caspase-3 </w:t>
      </w:r>
      <w:r w:rsidR="001E0DFA" w:rsidRPr="003B7012">
        <w:rPr>
          <w:rFonts w:ascii="Trebuchet MS" w:hAnsi="Trebuchet MS"/>
          <w:sz w:val="20"/>
        </w:rPr>
        <w:t>cliva os</w:t>
      </w:r>
      <w:r w:rsidRPr="003B7012">
        <w:rPr>
          <w:rFonts w:ascii="Trebuchet MS" w:hAnsi="Trebuchet MS"/>
          <w:sz w:val="20"/>
        </w:rPr>
        <w:t xml:space="preserve"> substratos </w:t>
      </w:r>
      <w:r w:rsidR="001E0DFA" w:rsidRPr="003B7012">
        <w:rPr>
          <w:rFonts w:ascii="Trebuchet MS" w:hAnsi="Trebuchet MS"/>
          <w:sz w:val="20"/>
        </w:rPr>
        <w:t>pr</w:t>
      </w:r>
      <w:r w:rsidR="001E0DFA" w:rsidRPr="003B7012">
        <w:rPr>
          <w:rFonts w:ascii="Trebuchet MS" w:hAnsi="Trebuchet MS"/>
          <w:sz w:val="20"/>
        </w:rPr>
        <w:t>o</w:t>
      </w:r>
      <w:r w:rsidR="001E0DFA" w:rsidRPr="003B7012">
        <w:rPr>
          <w:rFonts w:ascii="Trebuchet MS" w:hAnsi="Trebuchet MS"/>
          <w:sz w:val="20"/>
        </w:rPr>
        <w:t xml:space="preserve">teicos </w:t>
      </w:r>
      <w:r w:rsidRPr="003B7012">
        <w:rPr>
          <w:rFonts w:ascii="Trebuchet MS" w:hAnsi="Trebuchet MS"/>
          <w:sz w:val="20"/>
        </w:rPr>
        <w:t>dentro da célula</w:t>
      </w:r>
      <w:r w:rsidR="001E0DFA" w:rsidRPr="003B7012">
        <w:rPr>
          <w:rFonts w:ascii="Trebuchet MS" w:hAnsi="Trebuchet MS"/>
          <w:sz w:val="20"/>
        </w:rPr>
        <w:t>, o que</w:t>
      </w:r>
      <w:r w:rsidRPr="003B7012">
        <w:rPr>
          <w:rFonts w:ascii="Trebuchet MS" w:hAnsi="Trebuchet MS"/>
          <w:sz w:val="20"/>
        </w:rPr>
        <w:t xml:space="preserve"> resulta na formação de características morfológicas de células apoptóticas</w:t>
      </w:r>
      <w:r w:rsidR="001E0DFA" w:rsidRPr="003B7012">
        <w:rPr>
          <w:rFonts w:ascii="Trebuchet MS" w:hAnsi="Trebuchet MS"/>
          <w:sz w:val="20"/>
        </w:rPr>
        <w:t xml:space="preserve"> (processo apoptótico)</w:t>
      </w:r>
      <w:r w:rsidRPr="003B7012">
        <w:rPr>
          <w:rFonts w:ascii="Trebuchet MS" w:hAnsi="Trebuchet MS"/>
          <w:sz w:val="20"/>
        </w:rPr>
        <w:t>.</w:t>
      </w:r>
    </w:p>
    <w:p w:rsidR="001E0DFA" w:rsidRPr="003B7012" w:rsidRDefault="00B931BA" w:rsidP="001E0DFA">
      <w:pPr>
        <w:pStyle w:val="Corpodetexto"/>
        <w:spacing w:line="360" w:lineRule="auto"/>
        <w:ind w:firstLine="720"/>
        <w:rPr>
          <w:rFonts w:ascii="Trebuchet MS" w:hAnsi="Trebuchet MS" w:cs="Arial"/>
          <w:color w:val="000000"/>
          <w:sz w:val="20"/>
        </w:rPr>
      </w:pPr>
      <w:proofErr w:type="gramStart"/>
      <w:r w:rsidRPr="003B7012">
        <w:rPr>
          <w:rStyle w:val="hps"/>
          <w:rFonts w:ascii="Trebuchet MS" w:hAnsi="Trebuchet MS" w:cs="Arial"/>
          <w:color w:val="000000"/>
          <w:sz w:val="20"/>
        </w:rPr>
        <w:t>As caspases</w:t>
      </w:r>
      <w:r w:rsidRPr="003B7012">
        <w:rPr>
          <w:rFonts w:ascii="Trebuchet MS" w:hAnsi="Trebuchet MS" w:cs="Arial"/>
          <w:color w:val="000000"/>
          <w:sz w:val="20"/>
        </w:rPr>
        <w:t xml:space="preserve"> </w:t>
      </w:r>
      <w:r w:rsidRPr="003B7012">
        <w:rPr>
          <w:rStyle w:val="hps"/>
          <w:rFonts w:ascii="Trebuchet MS" w:hAnsi="Trebuchet MS" w:cs="Arial"/>
          <w:color w:val="000000"/>
          <w:sz w:val="20"/>
        </w:rPr>
        <w:t>são</w:t>
      </w:r>
      <w:r w:rsidRPr="003B7012">
        <w:rPr>
          <w:rFonts w:ascii="Trebuchet MS" w:hAnsi="Trebuchet MS" w:cs="Arial"/>
          <w:color w:val="000000"/>
          <w:sz w:val="20"/>
        </w:rPr>
        <w:t xml:space="preserve"> </w:t>
      </w:r>
      <w:r w:rsidRPr="003B7012">
        <w:rPr>
          <w:rStyle w:val="hps"/>
          <w:rFonts w:ascii="Trebuchet MS" w:hAnsi="Trebuchet MS" w:cs="Arial"/>
          <w:color w:val="000000"/>
          <w:sz w:val="20"/>
        </w:rPr>
        <w:t>mediadores</w:t>
      </w:r>
      <w:r w:rsidRPr="003B7012">
        <w:rPr>
          <w:rFonts w:ascii="Trebuchet MS" w:hAnsi="Trebuchet MS" w:cs="Arial"/>
          <w:color w:val="000000"/>
          <w:sz w:val="20"/>
        </w:rPr>
        <w:t xml:space="preserve"> </w:t>
      </w:r>
      <w:r w:rsidRPr="003B7012">
        <w:rPr>
          <w:rStyle w:val="hps"/>
          <w:rFonts w:ascii="Trebuchet MS" w:hAnsi="Trebuchet MS" w:cs="Arial"/>
          <w:color w:val="000000"/>
          <w:sz w:val="20"/>
        </w:rPr>
        <w:t>cruciais</w:t>
      </w:r>
      <w:proofErr w:type="gramEnd"/>
      <w:r w:rsidRPr="003B7012">
        <w:rPr>
          <w:rFonts w:ascii="Trebuchet MS" w:hAnsi="Trebuchet MS" w:cs="Arial"/>
          <w:color w:val="000000"/>
          <w:sz w:val="20"/>
        </w:rPr>
        <w:t xml:space="preserve"> </w:t>
      </w:r>
      <w:r w:rsidRPr="003B7012">
        <w:rPr>
          <w:rStyle w:val="hps"/>
          <w:rFonts w:ascii="Trebuchet MS" w:hAnsi="Trebuchet MS" w:cs="Arial"/>
          <w:color w:val="000000"/>
          <w:sz w:val="20"/>
        </w:rPr>
        <w:t>da morte celular programada</w:t>
      </w:r>
      <w:r w:rsidRPr="003B7012">
        <w:rPr>
          <w:rFonts w:ascii="Trebuchet MS" w:hAnsi="Trebuchet MS" w:cs="Arial"/>
          <w:color w:val="000000"/>
          <w:sz w:val="20"/>
        </w:rPr>
        <w:t xml:space="preserve"> </w:t>
      </w:r>
      <w:r w:rsidRPr="003B7012">
        <w:rPr>
          <w:rStyle w:val="hps"/>
          <w:rFonts w:ascii="Trebuchet MS" w:hAnsi="Trebuchet MS" w:cs="Arial"/>
          <w:color w:val="000000"/>
          <w:sz w:val="20"/>
        </w:rPr>
        <w:t>(apoptose</w:t>
      </w:r>
      <w:r w:rsidRPr="003B7012">
        <w:rPr>
          <w:rFonts w:ascii="Trebuchet MS" w:hAnsi="Trebuchet MS" w:cs="Arial"/>
          <w:color w:val="000000"/>
          <w:sz w:val="20"/>
        </w:rPr>
        <w:t>).</w:t>
      </w:r>
      <w:r w:rsidR="00141A63" w:rsidRPr="003B7012">
        <w:rPr>
          <w:rFonts w:ascii="Trebuchet MS" w:hAnsi="Trebuchet MS" w:cs="Arial"/>
          <w:color w:val="000000"/>
          <w:sz w:val="20"/>
        </w:rPr>
        <w:t xml:space="preserve"> </w:t>
      </w:r>
      <w:r w:rsidRPr="003B7012">
        <w:rPr>
          <w:rStyle w:val="hps"/>
          <w:rFonts w:ascii="Trebuchet MS" w:hAnsi="Trebuchet MS" w:cs="Arial"/>
          <w:color w:val="000000"/>
          <w:sz w:val="20"/>
        </w:rPr>
        <w:t>Entre el</w:t>
      </w:r>
      <w:r w:rsidR="00141A63" w:rsidRPr="003B7012">
        <w:rPr>
          <w:rStyle w:val="hps"/>
          <w:rFonts w:ascii="Trebuchet MS" w:hAnsi="Trebuchet MS" w:cs="Arial"/>
          <w:color w:val="000000"/>
          <w:sz w:val="20"/>
        </w:rPr>
        <w:t>a</w:t>
      </w:r>
      <w:r w:rsidRPr="003B7012">
        <w:rPr>
          <w:rStyle w:val="hps"/>
          <w:rFonts w:ascii="Trebuchet MS" w:hAnsi="Trebuchet MS" w:cs="Arial"/>
          <w:color w:val="000000"/>
          <w:sz w:val="20"/>
        </w:rPr>
        <w:t>s</w:t>
      </w:r>
      <w:r w:rsidRPr="003B7012">
        <w:rPr>
          <w:rFonts w:ascii="Trebuchet MS" w:hAnsi="Trebuchet MS" w:cs="Arial"/>
          <w:color w:val="000000"/>
          <w:sz w:val="20"/>
        </w:rPr>
        <w:t>,</w:t>
      </w:r>
      <w:r w:rsidR="00141A63" w:rsidRPr="003B7012">
        <w:rPr>
          <w:rFonts w:ascii="Trebuchet MS" w:hAnsi="Trebuchet MS" w:cs="Arial"/>
          <w:color w:val="000000"/>
          <w:sz w:val="20"/>
        </w:rPr>
        <w:t xml:space="preserve"> </w:t>
      </w:r>
      <w:r w:rsidR="003D311F" w:rsidRPr="003B7012">
        <w:rPr>
          <w:rFonts w:ascii="Trebuchet MS" w:hAnsi="Trebuchet MS" w:cs="Arial"/>
          <w:color w:val="000000"/>
          <w:sz w:val="20"/>
        </w:rPr>
        <w:t xml:space="preserve">a </w:t>
      </w:r>
      <w:r w:rsidR="0038349A" w:rsidRPr="003B7012">
        <w:rPr>
          <w:rFonts w:ascii="Trebuchet MS" w:hAnsi="Trebuchet MS" w:cs="Arial"/>
          <w:bCs/>
          <w:color w:val="000000"/>
          <w:sz w:val="20"/>
        </w:rPr>
        <w:t>c</w:t>
      </w:r>
      <w:r w:rsidR="003D311F" w:rsidRPr="003B7012">
        <w:rPr>
          <w:rFonts w:ascii="Trebuchet MS" w:hAnsi="Trebuchet MS" w:cs="Arial"/>
          <w:bCs/>
          <w:color w:val="000000"/>
          <w:sz w:val="20"/>
        </w:rPr>
        <w:t>aspase</w:t>
      </w:r>
      <w:r w:rsidR="003D311F" w:rsidRPr="003B7012">
        <w:rPr>
          <w:rFonts w:ascii="Trebuchet MS" w:hAnsi="Trebuchet MS" w:cs="Arial"/>
          <w:color w:val="000000"/>
          <w:sz w:val="20"/>
        </w:rPr>
        <w:t>-</w:t>
      </w:r>
      <w:r w:rsidR="003D311F" w:rsidRPr="003B7012">
        <w:rPr>
          <w:rFonts w:ascii="Trebuchet MS" w:hAnsi="Trebuchet MS" w:cs="Arial"/>
          <w:bCs/>
          <w:color w:val="000000"/>
          <w:sz w:val="20"/>
        </w:rPr>
        <w:t>3</w:t>
      </w:r>
      <w:r w:rsidR="003D311F" w:rsidRPr="003B7012">
        <w:rPr>
          <w:rFonts w:ascii="Trebuchet MS" w:hAnsi="Trebuchet MS" w:cs="Arial"/>
          <w:color w:val="000000"/>
          <w:sz w:val="20"/>
        </w:rPr>
        <w:t xml:space="preserve">, </w:t>
      </w:r>
      <w:r w:rsidR="003D311F" w:rsidRPr="003B7012">
        <w:rPr>
          <w:rFonts w:ascii="Trebuchet MS" w:hAnsi="Trebuchet MS" w:cs="Arial"/>
          <w:bCs/>
          <w:color w:val="000000"/>
          <w:sz w:val="20"/>
        </w:rPr>
        <w:t>protease frequentemente activada na apoptose</w:t>
      </w:r>
      <w:r w:rsidRPr="003B7012">
        <w:rPr>
          <w:rFonts w:ascii="Trebuchet MS" w:hAnsi="Trebuchet MS" w:cs="Arial"/>
          <w:color w:val="000000"/>
          <w:sz w:val="20"/>
        </w:rPr>
        <w:t xml:space="preserve">, </w:t>
      </w:r>
      <w:r w:rsidRPr="003B7012">
        <w:rPr>
          <w:rStyle w:val="hps"/>
          <w:rFonts w:ascii="Trebuchet MS" w:hAnsi="Trebuchet MS" w:cs="Arial"/>
          <w:color w:val="000000"/>
          <w:sz w:val="20"/>
        </w:rPr>
        <w:t>catalisa</w:t>
      </w:r>
      <w:r w:rsidRPr="003B7012">
        <w:rPr>
          <w:rFonts w:ascii="Trebuchet MS" w:hAnsi="Trebuchet MS" w:cs="Arial"/>
          <w:color w:val="000000"/>
          <w:sz w:val="20"/>
        </w:rPr>
        <w:t xml:space="preserve"> </w:t>
      </w:r>
      <w:r w:rsidRPr="003B7012">
        <w:rPr>
          <w:rStyle w:val="hps"/>
          <w:rFonts w:ascii="Trebuchet MS" w:hAnsi="Trebuchet MS" w:cs="Arial"/>
          <w:color w:val="000000"/>
          <w:sz w:val="20"/>
        </w:rPr>
        <w:t>a</w:t>
      </w:r>
      <w:r w:rsidRPr="003B7012">
        <w:rPr>
          <w:rFonts w:ascii="Trebuchet MS" w:hAnsi="Trebuchet MS" w:cs="Arial"/>
          <w:color w:val="000000"/>
          <w:sz w:val="20"/>
        </w:rPr>
        <w:t xml:space="preserve"> </w:t>
      </w:r>
      <w:r w:rsidRPr="003B7012">
        <w:rPr>
          <w:rStyle w:val="hps"/>
          <w:rFonts w:ascii="Trebuchet MS" w:hAnsi="Trebuchet MS" w:cs="Arial"/>
          <w:color w:val="000000"/>
          <w:sz w:val="20"/>
        </w:rPr>
        <w:t>clivagem</w:t>
      </w:r>
      <w:r w:rsidRPr="003B7012">
        <w:rPr>
          <w:rFonts w:ascii="Trebuchet MS" w:hAnsi="Trebuchet MS" w:cs="Arial"/>
          <w:color w:val="000000"/>
          <w:sz w:val="20"/>
        </w:rPr>
        <w:t xml:space="preserve"> </w:t>
      </w:r>
      <w:r w:rsidRPr="003B7012">
        <w:rPr>
          <w:rStyle w:val="hps"/>
          <w:rFonts w:ascii="Trebuchet MS" w:hAnsi="Trebuchet MS" w:cs="Arial"/>
          <w:color w:val="000000"/>
          <w:sz w:val="20"/>
        </w:rPr>
        <w:t>espec</w:t>
      </w:r>
      <w:r w:rsidRPr="003B7012">
        <w:rPr>
          <w:rStyle w:val="hps"/>
          <w:rFonts w:ascii="Trebuchet MS" w:hAnsi="Trebuchet MS" w:cs="Arial"/>
          <w:color w:val="000000"/>
          <w:sz w:val="20"/>
        </w:rPr>
        <w:t>í</w:t>
      </w:r>
      <w:r w:rsidRPr="003B7012">
        <w:rPr>
          <w:rStyle w:val="hps"/>
          <w:rFonts w:ascii="Trebuchet MS" w:hAnsi="Trebuchet MS" w:cs="Arial"/>
          <w:color w:val="000000"/>
          <w:sz w:val="20"/>
        </w:rPr>
        <w:t>fica</w:t>
      </w:r>
      <w:r w:rsidRPr="003B7012">
        <w:rPr>
          <w:rFonts w:ascii="Trebuchet MS" w:hAnsi="Trebuchet MS" w:cs="Arial"/>
          <w:color w:val="000000"/>
          <w:sz w:val="20"/>
        </w:rPr>
        <w:t xml:space="preserve"> </w:t>
      </w:r>
      <w:r w:rsidRPr="003B7012">
        <w:rPr>
          <w:rStyle w:val="hps"/>
          <w:rFonts w:ascii="Trebuchet MS" w:hAnsi="Trebuchet MS" w:cs="Arial"/>
          <w:color w:val="000000"/>
          <w:sz w:val="20"/>
        </w:rPr>
        <w:t>de</w:t>
      </w:r>
      <w:r w:rsidRPr="003B7012">
        <w:rPr>
          <w:rFonts w:ascii="Trebuchet MS" w:hAnsi="Trebuchet MS" w:cs="Arial"/>
          <w:color w:val="000000"/>
          <w:sz w:val="20"/>
        </w:rPr>
        <w:t xml:space="preserve"> </w:t>
      </w:r>
      <w:r w:rsidRPr="003B7012">
        <w:rPr>
          <w:rStyle w:val="hps"/>
          <w:rFonts w:ascii="Trebuchet MS" w:hAnsi="Trebuchet MS" w:cs="Arial"/>
          <w:color w:val="000000"/>
          <w:sz w:val="20"/>
        </w:rPr>
        <w:t>muitas</w:t>
      </w:r>
      <w:r w:rsidRPr="003B7012">
        <w:rPr>
          <w:rFonts w:ascii="Trebuchet MS" w:hAnsi="Trebuchet MS" w:cs="Arial"/>
          <w:color w:val="000000"/>
          <w:sz w:val="20"/>
        </w:rPr>
        <w:t xml:space="preserve"> </w:t>
      </w:r>
      <w:r w:rsidRPr="003B7012">
        <w:rPr>
          <w:rStyle w:val="hps"/>
          <w:rFonts w:ascii="Trebuchet MS" w:hAnsi="Trebuchet MS" w:cs="Arial"/>
          <w:color w:val="000000"/>
          <w:sz w:val="20"/>
        </w:rPr>
        <w:t>proteínas</w:t>
      </w:r>
      <w:r w:rsidRPr="003B7012">
        <w:rPr>
          <w:rFonts w:ascii="Trebuchet MS" w:hAnsi="Trebuchet MS" w:cs="Arial"/>
          <w:color w:val="000000"/>
          <w:sz w:val="20"/>
        </w:rPr>
        <w:t xml:space="preserve"> </w:t>
      </w:r>
      <w:r w:rsidRPr="003B7012">
        <w:rPr>
          <w:rStyle w:val="hps"/>
          <w:rFonts w:ascii="Trebuchet MS" w:hAnsi="Trebuchet MS" w:cs="Arial"/>
          <w:color w:val="000000"/>
          <w:sz w:val="20"/>
        </w:rPr>
        <w:t>celulares</w:t>
      </w:r>
      <w:r w:rsidRPr="003B7012">
        <w:rPr>
          <w:rFonts w:ascii="Trebuchet MS" w:hAnsi="Trebuchet MS" w:cs="Arial"/>
          <w:color w:val="000000"/>
          <w:sz w:val="20"/>
        </w:rPr>
        <w:t xml:space="preserve"> </w:t>
      </w:r>
      <w:r w:rsidRPr="003B7012">
        <w:rPr>
          <w:rStyle w:val="hps"/>
          <w:rFonts w:ascii="Trebuchet MS" w:hAnsi="Trebuchet MS" w:cs="Arial"/>
          <w:color w:val="000000"/>
          <w:sz w:val="20"/>
        </w:rPr>
        <w:t>chave</w:t>
      </w:r>
      <w:r w:rsidRPr="003B7012">
        <w:rPr>
          <w:rFonts w:ascii="Trebuchet MS" w:hAnsi="Trebuchet MS" w:cs="Arial"/>
          <w:color w:val="000000"/>
          <w:sz w:val="20"/>
        </w:rPr>
        <w:t>.</w:t>
      </w:r>
      <w:r w:rsidR="00D42FF4" w:rsidRPr="003B7012">
        <w:rPr>
          <w:rFonts w:ascii="Trebuchet MS" w:hAnsi="Trebuchet MS" w:cs="Arial"/>
          <w:color w:val="000000"/>
          <w:sz w:val="20"/>
        </w:rPr>
        <w:t xml:space="preserve"> </w:t>
      </w:r>
      <w:r w:rsidRPr="003B7012">
        <w:rPr>
          <w:rStyle w:val="hps"/>
          <w:rFonts w:ascii="Trebuchet MS" w:hAnsi="Trebuchet MS" w:cs="Arial"/>
          <w:color w:val="000000"/>
          <w:sz w:val="20"/>
        </w:rPr>
        <w:t>No entanto,</w:t>
      </w:r>
      <w:r w:rsidRPr="003B7012">
        <w:rPr>
          <w:rFonts w:ascii="Trebuchet MS" w:hAnsi="Trebuchet MS" w:cs="Arial"/>
          <w:color w:val="000000"/>
          <w:sz w:val="20"/>
        </w:rPr>
        <w:t xml:space="preserve"> </w:t>
      </w:r>
      <w:r w:rsidRPr="003B7012">
        <w:rPr>
          <w:rStyle w:val="hps"/>
          <w:rFonts w:ascii="Trebuchet MS" w:hAnsi="Trebuchet MS" w:cs="Arial"/>
          <w:color w:val="000000"/>
          <w:sz w:val="20"/>
        </w:rPr>
        <w:t>os</w:t>
      </w:r>
      <w:r w:rsidRPr="003B7012">
        <w:rPr>
          <w:rFonts w:ascii="Trebuchet MS" w:hAnsi="Trebuchet MS" w:cs="Arial"/>
          <w:color w:val="000000"/>
          <w:sz w:val="20"/>
        </w:rPr>
        <w:t xml:space="preserve"> </w:t>
      </w:r>
      <w:r w:rsidRPr="003B7012">
        <w:rPr>
          <w:rStyle w:val="hps"/>
          <w:rFonts w:ascii="Trebuchet MS" w:hAnsi="Trebuchet MS" w:cs="Arial"/>
          <w:color w:val="000000"/>
          <w:sz w:val="20"/>
        </w:rPr>
        <w:t>requisitos específicos d</w:t>
      </w:r>
      <w:r w:rsidR="00141A63" w:rsidRPr="003B7012">
        <w:rPr>
          <w:rStyle w:val="hps"/>
          <w:rFonts w:ascii="Trebuchet MS" w:hAnsi="Trebuchet MS" w:cs="Arial"/>
          <w:color w:val="000000"/>
          <w:sz w:val="20"/>
        </w:rPr>
        <w:t>a</w:t>
      </w:r>
      <w:r w:rsidRPr="003B7012">
        <w:rPr>
          <w:rStyle w:val="hps"/>
          <w:rFonts w:ascii="Trebuchet MS" w:hAnsi="Trebuchet MS" w:cs="Arial"/>
          <w:color w:val="000000"/>
          <w:sz w:val="20"/>
        </w:rPr>
        <w:t xml:space="preserve"> caspase</w:t>
      </w:r>
      <w:r w:rsidR="008E61FB" w:rsidRPr="003B7012">
        <w:rPr>
          <w:rStyle w:val="hps"/>
          <w:rFonts w:ascii="Trebuchet MS" w:hAnsi="Trebuchet MS" w:cs="Arial"/>
          <w:color w:val="000000"/>
          <w:sz w:val="20"/>
        </w:rPr>
        <w:t>-3</w:t>
      </w:r>
      <w:r w:rsidRPr="003B7012">
        <w:rPr>
          <w:rFonts w:ascii="Trebuchet MS" w:hAnsi="Trebuchet MS" w:cs="Arial"/>
          <w:color w:val="000000"/>
          <w:sz w:val="20"/>
        </w:rPr>
        <w:t xml:space="preserve"> </w:t>
      </w:r>
      <w:r w:rsidRPr="003B7012">
        <w:rPr>
          <w:rStyle w:val="hps"/>
          <w:rFonts w:ascii="Trebuchet MS" w:hAnsi="Trebuchet MS" w:cs="Arial"/>
          <w:color w:val="000000"/>
          <w:sz w:val="20"/>
        </w:rPr>
        <w:t>(</w:t>
      </w:r>
      <w:r w:rsidRPr="003B7012">
        <w:rPr>
          <w:rFonts w:ascii="Trebuchet MS" w:hAnsi="Trebuchet MS" w:cs="Arial"/>
          <w:color w:val="000000"/>
          <w:sz w:val="20"/>
        </w:rPr>
        <w:t xml:space="preserve">ou </w:t>
      </w:r>
      <w:r w:rsidR="008E61FB" w:rsidRPr="003B7012">
        <w:rPr>
          <w:rFonts w:ascii="Trebuchet MS" w:hAnsi="Trebuchet MS" w:cs="Arial"/>
          <w:color w:val="000000"/>
          <w:sz w:val="20"/>
        </w:rPr>
        <w:t xml:space="preserve">de </w:t>
      </w:r>
      <w:r w:rsidRPr="003B7012">
        <w:rPr>
          <w:rStyle w:val="hps"/>
          <w:rFonts w:ascii="Trebuchet MS" w:hAnsi="Trebuchet MS" w:cs="Arial"/>
          <w:color w:val="000000"/>
          <w:sz w:val="20"/>
        </w:rPr>
        <w:t>qualquer</w:t>
      </w:r>
      <w:r w:rsidRPr="003B7012">
        <w:rPr>
          <w:rFonts w:ascii="Trebuchet MS" w:hAnsi="Trebuchet MS" w:cs="Arial"/>
          <w:color w:val="000000"/>
          <w:sz w:val="20"/>
        </w:rPr>
        <w:t xml:space="preserve"> </w:t>
      </w:r>
      <w:r w:rsidRPr="003B7012">
        <w:rPr>
          <w:rStyle w:val="hps"/>
          <w:rFonts w:ascii="Trebuchet MS" w:hAnsi="Trebuchet MS" w:cs="Arial"/>
          <w:color w:val="000000"/>
          <w:sz w:val="20"/>
        </w:rPr>
        <w:t>outr</w:t>
      </w:r>
      <w:r w:rsidR="008E61FB" w:rsidRPr="003B7012">
        <w:rPr>
          <w:rStyle w:val="hps"/>
          <w:rFonts w:ascii="Trebuchet MS" w:hAnsi="Trebuchet MS" w:cs="Arial"/>
          <w:color w:val="000000"/>
          <w:sz w:val="20"/>
        </w:rPr>
        <w:t>a</w:t>
      </w:r>
      <w:r w:rsidR="003D311F" w:rsidRPr="003B7012">
        <w:rPr>
          <w:rStyle w:val="hps"/>
          <w:rFonts w:ascii="Trebuchet MS" w:hAnsi="Trebuchet MS" w:cs="Arial"/>
          <w:color w:val="000000"/>
          <w:sz w:val="20"/>
        </w:rPr>
        <w:t xml:space="preserve"> caspase</w:t>
      </w:r>
      <w:r w:rsidRPr="003B7012">
        <w:rPr>
          <w:rFonts w:ascii="Trebuchet MS" w:hAnsi="Trebuchet MS" w:cs="Arial"/>
          <w:color w:val="000000"/>
          <w:sz w:val="20"/>
        </w:rPr>
        <w:t xml:space="preserve">) </w:t>
      </w:r>
      <w:r w:rsidRPr="003B7012">
        <w:rPr>
          <w:rStyle w:val="hps"/>
          <w:rFonts w:ascii="Trebuchet MS" w:hAnsi="Trebuchet MS" w:cs="Arial"/>
          <w:color w:val="000000"/>
          <w:sz w:val="20"/>
        </w:rPr>
        <w:t>na</w:t>
      </w:r>
      <w:r w:rsidRPr="003B7012">
        <w:rPr>
          <w:rFonts w:ascii="Trebuchet MS" w:hAnsi="Trebuchet MS" w:cs="Arial"/>
          <w:color w:val="000000"/>
          <w:sz w:val="20"/>
        </w:rPr>
        <w:t xml:space="preserve"> </w:t>
      </w:r>
      <w:r w:rsidR="008E61FB" w:rsidRPr="003B7012">
        <w:rPr>
          <w:rStyle w:val="hps"/>
          <w:rFonts w:ascii="Trebuchet MS" w:hAnsi="Trebuchet MS" w:cs="Arial"/>
          <w:color w:val="000000"/>
          <w:sz w:val="20"/>
        </w:rPr>
        <w:t xml:space="preserve">apoptose </w:t>
      </w:r>
      <w:r w:rsidR="008E61FB" w:rsidRPr="003B7012">
        <w:rPr>
          <w:rFonts w:ascii="Trebuchet MS" w:hAnsi="Trebuchet MS" w:cs="Arial"/>
          <w:color w:val="000000"/>
          <w:sz w:val="20"/>
        </w:rPr>
        <w:t>permanecem</w:t>
      </w:r>
      <w:r w:rsidR="008E61FB" w:rsidRPr="003B7012">
        <w:rPr>
          <w:rStyle w:val="hps"/>
          <w:rFonts w:ascii="Trebuchet MS" w:hAnsi="Trebuchet MS" w:cs="Arial"/>
          <w:color w:val="000000"/>
          <w:sz w:val="20"/>
        </w:rPr>
        <w:t xml:space="preserve"> desconhecidos até ao momento</w:t>
      </w:r>
      <w:r w:rsidRPr="003B7012">
        <w:rPr>
          <w:rFonts w:ascii="Trebuchet MS" w:hAnsi="Trebuchet MS" w:cs="Arial"/>
          <w:color w:val="000000"/>
          <w:sz w:val="20"/>
        </w:rPr>
        <w:t>.</w:t>
      </w:r>
      <w:r w:rsidR="0038349A" w:rsidRPr="003B7012">
        <w:rPr>
          <w:rFonts w:ascii="Trebuchet MS" w:hAnsi="Trebuchet MS" w:cs="Arial"/>
          <w:color w:val="000000"/>
          <w:sz w:val="20"/>
        </w:rPr>
        <w:t xml:space="preserve"> </w:t>
      </w:r>
      <w:r w:rsidR="00D42FF4" w:rsidRPr="003B7012">
        <w:rPr>
          <w:rFonts w:ascii="Trebuchet MS" w:hAnsi="Trebuchet MS" w:cs="Arial"/>
          <w:color w:val="000000"/>
          <w:sz w:val="20"/>
        </w:rPr>
        <w:t>As vias de activação da caspase-3 foram identificadas</w:t>
      </w:r>
      <w:r w:rsidR="0038349A" w:rsidRPr="003B7012">
        <w:rPr>
          <w:rFonts w:ascii="Trebuchet MS" w:hAnsi="Trebuchet MS" w:cs="Arial"/>
          <w:color w:val="000000"/>
          <w:sz w:val="20"/>
        </w:rPr>
        <w:t xml:space="preserve"> como sendo</w:t>
      </w:r>
      <w:r w:rsidR="00D42FF4" w:rsidRPr="003B7012">
        <w:rPr>
          <w:rFonts w:ascii="Trebuchet MS" w:hAnsi="Trebuchet MS" w:cs="Arial"/>
          <w:color w:val="000000"/>
          <w:sz w:val="20"/>
        </w:rPr>
        <w:t xml:space="preserve"> dependentes ou independe</w:t>
      </w:r>
      <w:r w:rsidR="00D42FF4" w:rsidRPr="003B7012">
        <w:rPr>
          <w:rFonts w:ascii="Trebuchet MS" w:hAnsi="Trebuchet MS" w:cs="Arial"/>
          <w:color w:val="000000"/>
          <w:sz w:val="20"/>
        </w:rPr>
        <w:t>n</w:t>
      </w:r>
      <w:r w:rsidR="00D42FF4" w:rsidRPr="003B7012">
        <w:rPr>
          <w:rFonts w:ascii="Trebuchet MS" w:hAnsi="Trebuchet MS" w:cs="Arial"/>
          <w:color w:val="000000"/>
          <w:sz w:val="20"/>
        </w:rPr>
        <w:t xml:space="preserve">tes da libertação do </w:t>
      </w:r>
      <w:r w:rsidR="0038349A" w:rsidRPr="003B7012">
        <w:rPr>
          <w:rFonts w:ascii="Trebuchet MS" w:hAnsi="Trebuchet MS" w:cs="Arial"/>
          <w:color w:val="000000"/>
          <w:sz w:val="20"/>
        </w:rPr>
        <w:t>Citocromo</w:t>
      </w:r>
      <w:r w:rsidR="00D42FF4" w:rsidRPr="003B7012">
        <w:rPr>
          <w:rFonts w:ascii="Trebuchet MS" w:hAnsi="Trebuchet MS" w:cs="Arial"/>
          <w:color w:val="000000"/>
          <w:sz w:val="20"/>
        </w:rPr>
        <w:t xml:space="preserve"> c e da função da caspase-9.</w:t>
      </w:r>
      <w:r w:rsidR="0032207D" w:rsidRPr="003B7012">
        <w:rPr>
          <w:rFonts w:ascii="Trebuchet MS" w:hAnsi="Trebuchet MS" w:cs="Arial"/>
          <w:color w:val="000000"/>
          <w:sz w:val="20"/>
        </w:rPr>
        <w:t xml:space="preserve"> </w:t>
      </w:r>
      <w:r w:rsidR="000C32A6">
        <w:rPr>
          <w:rFonts w:ascii="Trebuchet MS" w:hAnsi="Trebuchet MS" w:cs="Arial"/>
          <w:color w:val="000000"/>
          <w:sz w:val="20"/>
        </w:rPr>
        <w:t>A c</w:t>
      </w:r>
      <w:r w:rsidR="0038349A" w:rsidRPr="003B7012">
        <w:rPr>
          <w:rStyle w:val="hps"/>
          <w:rFonts w:ascii="Trebuchet MS" w:hAnsi="Trebuchet MS" w:cs="Arial"/>
          <w:color w:val="000000"/>
          <w:sz w:val="20"/>
        </w:rPr>
        <w:t>aspase-</w:t>
      </w:r>
      <w:r w:rsidR="0038349A" w:rsidRPr="003B7012">
        <w:rPr>
          <w:rFonts w:ascii="Trebuchet MS" w:hAnsi="Trebuchet MS" w:cs="Arial"/>
          <w:color w:val="000000"/>
          <w:sz w:val="20"/>
        </w:rPr>
        <w:t xml:space="preserve">3 </w:t>
      </w:r>
      <w:r w:rsidR="0038349A" w:rsidRPr="003B7012">
        <w:rPr>
          <w:rStyle w:val="hps"/>
          <w:rFonts w:ascii="Trebuchet MS" w:hAnsi="Trebuchet MS" w:cs="Arial"/>
          <w:color w:val="000000"/>
          <w:sz w:val="20"/>
        </w:rPr>
        <w:t>é essencial</w:t>
      </w:r>
      <w:r w:rsidR="0038349A" w:rsidRPr="003B7012">
        <w:rPr>
          <w:rFonts w:ascii="Trebuchet MS" w:hAnsi="Trebuchet MS" w:cs="Arial"/>
          <w:color w:val="000000"/>
          <w:sz w:val="20"/>
        </w:rPr>
        <w:t xml:space="preserve"> </w:t>
      </w:r>
      <w:r w:rsidR="0038349A" w:rsidRPr="003B7012">
        <w:rPr>
          <w:rStyle w:val="hps"/>
          <w:rFonts w:ascii="Trebuchet MS" w:hAnsi="Trebuchet MS" w:cs="Arial"/>
          <w:color w:val="000000"/>
          <w:sz w:val="20"/>
        </w:rPr>
        <w:t>para o</w:t>
      </w:r>
      <w:r w:rsidR="0038349A" w:rsidRPr="003B7012">
        <w:rPr>
          <w:rFonts w:ascii="Trebuchet MS" w:hAnsi="Trebuchet MS" w:cs="Arial"/>
          <w:color w:val="000000"/>
          <w:sz w:val="20"/>
        </w:rPr>
        <w:t xml:space="preserve"> </w:t>
      </w:r>
      <w:r w:rsidR="0038349A" w:rsidRPr="003B7012">
        <w:rPr>
          <w:rStyle w:val="hps"/>
          <w:rFonts w:ascii="Trebuchet MS" w:hAnsi="Trebuchet MS" w:cs="Arial"/>
          <w:color w:val="000000"/>
          <w:sz w:val="20"/>
        </w:rPr>
        <w:t>desenvolvimento normal do cérebro</w:t>
      </w:r>
      <w:r w:rsidR="0038349A" w:rsidRPr="003B7012">
        <w:rPr>
          <w:rFonts w:ascii="Trebuchet MS" w:hAnsi="Trebuchet MS" w:cs="Arial"/>
          <w:color w:val="000000"/>
          <w:sz w:val="20"/>
        </w:rPr>
        <w:t xml:space="preserve"> </w:t>
      </w:r>
      <w:r w:rsidR="0038349A" w:rsidRPr="003B7012">
        <w:rPr>
          <w:rStyle w:val="hps"/>
          <w:rFonts w:ascii="Trebuchet MS" w:hAnsi="Trebuchet MS" w:cs="Arial"/>
          <w:color w:val="000000"/>
          <w:sz w:val="20"/>
        </w:rPr>
        <w:t>e é importante</w:t>
      </w:r>
      <w:r w:rsidR="0038349A" w:rsidRPr="003B7012">
        <w:rPr>
          <w:rFonts w:ascii="Trebuchet MS" w:hAnsi="Trebuchet MS" w:cs="Arial"/>
          <w:color w:val="000000"/>
          <w:sz w:val="20"/>
        </w:rPr>
        <w:t xml:space="preserve"> </w:t>
      </w:r>
      <w:r w:rsidR="0038349A" w:rsidRPr="003B7012">
        <w:rPr>
          <w:rStyle w:val="hps"/>
          <w:rFonts w:ascii="Trebuchet MS" w:hAnsi="Trebuchet MS" w:cs="Arial"/>
          <w:color w:val="000000"/>
          <w:sz w:val="20"/>
        </w:rPr>
        <w:t>ou essencial</w:t>
      </w:r>
      <w:r w:rsidR="0038349A" w:rsidRPr="003B7012">
        <w:rPr>
          <w:rFonts w:ascii="Trebuchet MS" w:hAnsi="Trebuchet MS" w:cs="Arial"/>
          <w:color w:val="000000"/>
          <w:sz w:val="20"/>
        </w:rPr>
        <w:t xml:space="preserve"> </w:t>
      </w:r>
      <w:r w:rsidR="0038349A" w:rsidRPr="003B7012">
        <w:rPr>
          <w:rStyle w:val="hps"/>
          <w:rFonts w:ascii="Trebuchet MS" w:hAnsi="Trebuchet MS" w:cs="Arial"/>
          <w:color w:val="000000"/>
          <w:sz w:val="20"/>
        </w:rPr>
        <w:t>em outros</w:t>
      </w:r>
      <w:r w:rsidR="0038349A" w:rsidRPr="003B7012">
        <w:rPr>
          <w:rFonts w:ascii="Trebuchet MS" w:hAnsi="Trebuchet MS" w:cs="Arial"/>
          <w:color w:val="000000"/>
          <w:sz w:val="20"/>
        </w:rPr>
        <w:t xml:space="preserve"> </w:t>
      </w:r>
      <w:r w:rsidR="0038349A" w:rsidRPr="003B7012">
        <w:rPr>
          <w:rStyle w:val="hps"/>
          <w:rFonts w:ascii="Trebuchet MS" w:hAnsi="Trebuchet MS" w:cs="Arial"/>
          <w:color w:val="000000"/>
          <w:sz w:val="20"/>
        </w:rPr>
        <w:t>cenários apoptót</w:t>
      </w:r>
      <w:r w:rsidR="0038349A" w:rsidRPr="003B7012">
        <w:rPr>
          <w:rStyle w:val="hps"/>
          <w:rFonts w:ascii="Trebuchet MS" w:hAnsi="Trebuchet MS" w:cs="Arial"/>
          <w:color w:val="000000"/>
          <w:sz w:val="20"/>
        </w:rPr>
        <w:t>i</w:t>
      </w:r>
      <w:r w:rsidR="0038349A" w:rsidRPr="003B7012">
        <w:rPr>
          <w:rStyle w:val="hps"/>
          <w:rFonts w:ascii="Trebuchet MS" w:hAnsi="Trebuchet MS" w:cs="Arial"/>
          <w:color w:val="000000"/>
          <w:sz w:val="20"/>
        </w:rPr>
        <w:t xml:space="preserve">cos, </w:t>
      </w:r>
      <w:r w:rsidR="0038349A" w:rsidRPr="003B7012">
        <w:rPr>
          <w:rFonts w:ascii="Trebuchet MS" w:hAnsi="Trebuchet MS" w:cs="Arial"/>
          <w:sz w:val="20"/>
        </w:rPr>
        <w:t>sendo indispensável para a condensa</w:t>
      </w:r>
      <w:r w:rsidR="00F95E17" w:rsidRPr="003B7012">
        <w:rPr>
          <w:rFonts w:ascii="Trebuchet MS" w:hAnsi="Trebuchet MS" w:cs="Arial"/>
          <w:sz w:val="20"/>
        </w:rPr>
        <w:t>ção da cromatina apoptótica e</w:t>
      </w:r>
      <w:r w:rsidR="0038349A" w:rsidRPr="003B7012">
        <w:rPr>
          <w:rFonts w:ascii="Trebuchet MS" w:hAnsi="Trebuchet MS" w:cs="Arial"/>
          <w:sz w:val="20"/>
        </w:rPr>
        <w:t xml:space="preserve"> fragmentação do </w:t>
      </w:r>
      <w:proofErr w:type="gramStart"/>
      <w:r w:rsidR="0038349A" w:rsidRPr="003B7012">
        <w:rPr>
          <w:rFonts w:ascii="Trebuchet MS" w:hAnsi="Trebuchet MS" w:cs="Arial"/>
          <w:sz w:val="20"/>
        </w:rPr>
        <w:t>DNA</w:t>
      </w:r>
      <w:proofErr w:type="gramEnd"/>
      <w:r w:rsidR="0038349A" w:rsidRPr="003B7012">
        <w:rPr>
          <w:rFonts w:ascii="Trebuchet MS" w:hAnsi="Trebuchet MS" w:cs="Arial"/>
          <w:sz w:val="20"/>
        </w:rPr>
        <w:t>.</w:t>
      </w:r>
      <w:r w:rsidR="00374A75" w:rsidRPr="003B7012">
        <w:rPr>
          <w:rFonts w:ascii="Trebuchet MS" w:hAnsi="Trebuchet MS" w:cs="Arial"/>
          <w:sz w:val="20"/>
        </w:rPr>
        <w:t xml:space="preserve"> </w:t>
      </w:r>
      <w:r w:rsidR="00374A75" w:rsidRPr="003B7012">
        <w:rPr>
          <w:rStyle w:val="hps"/>
          <w:rFonts w:ascii="Trebuchet MS" w:hAnsi="Trebuchet MS" w:cs="Arial"/>
          <w:color w:val="000000"/>
          <w:sz w:val="20"/>
        </w:rPr>
        <w:t>Assim, a</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caspase-</w:t>
      </w:r>
      <w:r w:rsidR="00374A75" w:rsidRPr="003B7012">
        <w:rPr>
          <w:rFonts w:ascii="Trebuchet MS" w:hAnsi="Trebuchet MS" w:cs="Arial"/>
          <w:color w:val="000000"/>
          <w:sz w:val="20"/>
        </w:rPr>
        <w:t xml:space="preserve">3 </w:t>
      </w:r>
      <w:r w:rsidR="00374A75" w:rsidRPr="003B7012">
        <w:rPr>
          <w:rStyle w:val="hps"/>
          <w:rFonts w:ascii="Trebuchet MS" w:hAnsi="Trebuchet MS" w:cs="Arial"/>
          <w:color w:val="000000"/>
          <w:sz w:val="20"/>
        </w:rPr>
        <w:t>é essencial</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para</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alguns processos</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associados</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à desintegração da</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cél</w:t>
      </w:r>
      <w:r w:rsidR="00374A75" w:rsidRPr="003B7012">
        <w:rPr>
          <w:rStyle w:val="hps"/>
          <w:rFonts w:ascii="Trebuchet MS" w:hAnsi="Trebuchet MS" w:cs="Arial"/>
          <w:color w:val="000000"/>
          <w:sz w:val="20"/>
        </w:rPr>
        <w:t>u</w:t>
      </w:r>
      <w:r w:rsidR="00374A75" w:rsidRPr="003B7012">
        <w:rPr>
          <w:rStyle w:val="hps"/>
          <w:rFonts w:ascii="Trebuchet MS" w:hAnsi="Trebuchet MS" w:cs="Arial"/>
          <w:color w:val="000000"/>
          <w:sz w:val="20"/>
        </w:rPr>
        <w:t>la</w:t>
      </w:r>
      <w:r w:rsidR="00374A75" w:rsidRPr="003B7012">
        <w:rPr>
          <w:rFonts w:ascii="Trebuchet MS" w:hAnsi="Trebuchet MS" w:cs="Arial"/>
          <w:color w:val="000000"/>
          <w:sz w:val="20"/>
        </w:rPr>
        <w:t xml:space="preserve"> e na </w:t>
      </w:r>
      <w:r w:rsidR="00374A75" w:rsidRPr="003B7012">
        <w:rPr>
          <w:rStyle w:val="hps"/>
          <w:rFonts w:ascii="Trebuchet MS" w:hAnsi="Trebuchet MS" w:cs="Arial"/>
          <w:color w:val="000000"/>
          <w:sz w:val="20"/>
        </w:rPr>
        <w:t>formação</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de</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corpos apoptóticos</w:t>
      </w:r>
      <w:r w:rsidR="00374A75" w:rsidRPr="003B7012">
        <w:rPr>
          <w:rFonts w:ascii="Trebuchet MS" w:hAnsi="Trebuchet MS" w:cs="Arial"/>
          <w:color w:val="000000"/>
          <w:sz w:val="20"/>
        </w:rPr>
        <w:t xml:space="preserve">, mas </w:t>
      </w:r>
      <w:r w:rsidR="00374A75" w:rsidRPr="003B7012">
        <w:rPr>
          <w:rStyle w:val="hps"/>
          <w:rFonts w:ascii="Trebuchet MS" w:hAnsi="Trebuchet MS" w:cs="Arial"/>
          <w:color w:val="000000"/>
          <w:sz w:val="20"/>
        </w:rPr>
        <w:t>também pode</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funcionar</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antes</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 xml:space="preserve">ou na fase </w:t>
      </w:r>
      <w:r w:rsidR="0021237B" w:rsidRPr="003B7012">
        <w:rPr>
          <w:rStyle w:val="hps"/>
          <w:rFonts w:ascii="Trebuchet MS" w:hAnsi="Trebuchet MS" w:cs="Arial"/>
          <w:color w:val="000000"/>
          <w:sz w:val="20"/>
        </w:rPr>
        <w:t>dete</w:t>
      </w:r>
      <w:r w:rsidR="0021237B" w:rsidRPr="003B7012">
        <w:rPr>
          <w:rStyle w:val="hps"/>
          <w:rFonts w:ascii="Trebuchet MS" w:hAnsi="Trebuchet MS" w:cs="Arial"/>
          <w:color w:val="000000"/>
          <w:sz w:val="20"/>
        </w:rPr>
        <w:t>r</w:t>
      </w:r>
      <w:r w:rsidR="0021237B" w:rsidRPr="003B7012">
        <w:rPr>
          <w:rStyle w:val="hps"/>
          <w:rFonts w:ascii="Trebuchet MS" w:hAnsi="Trebuchet MS" w:cs="Arial"/>
          <w:color w:val="000000"/>
          <w:sz w:val="20"/>
        </w:rPr>
        <w:t>minante</w:t>
      </w:r>
      <w:r w:rsidR="00374A75" w:rsidRPr="003B7012">
        <w:rPr>
          <w:rStyle w:val="hps"/>
          <w:rFonts w:ascii="Trebuchet MS" w:hAnsi="Trebuchet MS" w:cs="Arial"/>
          <w:color w:val="000000"/>
          <w:sz w:val="20"/>
        </w:rPr>
        <w:t xml:space="preserve"> em que ocorre a perda</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da</w:t>
      </w:r>
      <w:r w:rsidR="00374A75" w:rsidRPr="003B7012">
        <w:rPr>
          <w:rFonts w:ascii="Trebuchet MS" w:hAnsi="Trebuchet MS" w:cs="Arial"/>
          <w:color w:val="000000"/>
          <w:sz w:val="20"/>
        </w:rPr>
        <w:t xml:space="preserve"> </w:t>
      </w:r>
      <w:r w:rsidR="00374A75" w:rsidRPr="003B7012">
        <w:rPr>
          <w:rStyle w:val="hps"/>
          <w:rFonts w:ascii="Trebuchet MS" w:hAnsi="Trebuchet MS" w:cs="Arial"/>
          <w:color w:val="000000"/>
          <w:sz w:val="20"/>
        </w:rPr>
        <w:t>viabilidade das células</w:t>
      </w:r>
      <w:r w:rsidR="00374A75" w:rsidRPr="003B7012">
        <w:rPr>
          <w:rFonts w:ascii="Trebuchet MS" w:hAnsi="Trebuchet MS" w:cs="Arial"/>
          <w:color w:val="000000"/>
          <w:sz w:val="20"/>
        </w:rPr>
        <w:t xml:space="preserve"> </w:t>
      </w:r>
      <w:r w:rsidR="00CA6CF5" w:rsidRPr="003B7012">
        <w:rPr>
          <w:rFonts w:ascii="Trebuchet MS" w:hAnsi="Trebuchet MS" w:cs="Arial"/>
          <w:color w:val="000000"/>
          <w:sz w:val="20"/>
        </w:rPr>
        <w:t>(</w:t>
      </w:r>
      <w:r w:rsidR="004149DC">
        <w:rPr>
          <w:rFonts w:ascii="Trebuchet MS" w:hAnsi="Trebuchet MS" w:cs="Arial"/>
          <w:color w:val="000000"/>
          <w:sz w:val="20"/>
        </w:rPr>
        <w:t>Para revisão ver</w:t>
      </w:r>
      <w:r w:rsidR="00CA6CF5" w:rsidRPr="003B7012">
        <w:rPr>
          <w:rFonts w:ascii="Trebuchet MS" w:hAnsi="Trebuchet MS" w:cs="Arial"/>
          <w:color w:val="000000"/>
          <w:sz w:val="20"/>
        </w:rPr>
        <w:t xml:space="preserve"> Porter and Jäni</w:t>
      </w:r>
      <w:r w:rsidR="00CA6CF5" w:rsidRPr="003B7012">
        <w:rPr>
          <w:rFonts w:ascii="Trebuchet MS" w:hAnsi="Trebuchet MS" w:cs="Arial"/>
          <w:color w:val="000000"/>
          <w:sz w:val="20"/>
        </w:rPr>
        <w:t>c</w:t>
      </w:r>
      <w:r w:rsidR="00CA6CF5" w:rsidRPr="003B7012">
        <w:rPr>
          <w:rFonts w:ascii="Trebuchet MS" w:hAnsi="Trebuchet MS" w:cs="Arial"/>
          <w:color w:val="000000"/>
          <w:sz w:val="20"/>
        </w:rPr>
        <w:t>ke, 1999).</w:t>
      </w:r>
    </w:p>
    <w:p w:rsidR="005650C5" w:rsidRPr="003B7012" w:rsidRDefault="005650C5" w:rsidP="001E0DFA">
      <w:pPr>
        <w:pStyle w:val="Corpodetexto"/>
        <w:spacing w:line="360" w:lineRule="auto"/>
        <w:ind w:firstLine="720"/>
        <w:rPr>
          <w:rFonts w:ascii="Trebuchet MS" w:hAnsi="Trebuchet MS" w:cs="Arial"/>
          <w:color w:val="000000"/>
          <w:sz w:val="20"/>
        </w:rPr>
      </w:pPr>
      <w:r w:rsidRPr="003B7012">
        <w:rPr>
          <w:rFonts w:ascii="Trebuchet MS" w:hAnsi="Trebuchet MS"/>
          <w:sz w:val="20"/>
        </w:rPr>
        <w:t xml:space="preserve">Kudryashova </w:t>
      </w:r>
      <w:r w:rsidR="00194A32" w:rsidRPr="003B7012">
        <w:rPr>
          <w:rFonts w:ascii="Trebuchet MS" w:hAnsi="Trebuchet MS"/>
          <w:i/>
          <w:sz w:val="20"/>
        </w:rPr>
        <w:t xml:space="preserve">et al. </w:t>
      </w:r>
      <w:r w:rsidRPr="003B7012">
        <w:rPr>
          <w:rFonts w:ascii="Trebuchet MS" w:hAnsi="Trebuchet MS"/>
          <w:sz w:val="20"/>
        </w:rPr>
        <w:t>(2009a) comprovaram que a caspase-3 está envolvida nos mec</w:t>
      </w:r>
      <w:r w:rsidRPr="003B7012">
        <w:rPr>
          <w:rFonts w:ascii="Trebuchet MS" w:hAnsi="Trebuchet MS"/>
          <w:sz w:val="20"/>
        </w:rPr>
        <w:t>a</w:t>
      </w:r>
      <w:r w:rsidRPr="003B7012">
        <w:rPr>
          <w:rFonts w:ascii="Trebuchet MS" w:hAnsi="Trebuchet MS"/>
          <w:sz w:val="20"/>
        </w:rPr>
        <w:t xml:space="preserve">nismos de </w:t>
      </w:r>
      <w:r w:rsidR="000C32A6">
        <w:rPr>
          <w:rFonts w:ascii="Trebuchet MS" w:hAnsi="Trebuchet MS"/>
          <w:sz w:val="20"/>
        </w:rPr>
        <w:t xml:space="preserve">aprendizagem e memória </w:t>
      </w:r>
      <w:r w:rsidRPr="003B7012">
        <w:rPr>
          <w:rFonts w:ascii="Trebuchet MS" w:hAnsi="Trebuchet MS"/>
          <w:sz w:val="20"/>
        </w:rPr>
        <w:t>na reorganização dos contactos sinápticos durante o per</w:t>
      </w:r>
      <w:r w:rsidR="000C32A6">
        <w:rPr>
          <w:rFonts w:ascii="Trebuchet MS" w:hAnsi="Trebuchet MS"/>
          <w:sz w:val="20"/>
        </w:rPr>
        <w:t>íodo crítico de desenvolvimento</w:t>
      </w:r>
      <w:r w:rsidRPr="003B7012">
        <w:rPr>
          <w:rFonts w:ascii="Trebuchet MS" w:hAnsi="Trebuchet MS"/>
          <w:sz w:val="20"/>
        </w:rPr>
        <w:t xml:space="preserve">. </w:t>
      </w:r>
      <w:r w:rsidR="000C32A6">
        <w:rPr>
          <w:rFonts w:ascii="Trebuchet MS" w:hAnsi="Trebuchet MS"/>
          <w:sz w:val="20"/>
        </w:rPr>
        <w:t>Observaram</w:t>
      </w:r>
      <w:r w:rsidRPr="003B7012">
        <w:rPr>
          <w:rFonts w:ascii="Trebuchet MS" w:hAnsi="Trebuchet MS"/>
          <w:sz w:val="20"/>
        </w:rPr>
        <w:t xml:space="preserve"> a participação da caspase-3 durante o desenvolvimento da plasticidade sináptica das células nervosas, uma vez que, durante a ont</w:t>
      </w:r>
      <w:r w:rsidRPr="003B7012">
        <w:rPr>
          <w:rFonts w:ascii="Trebuchet MS" w:hAnsi="Trebuchet MS"/>
          <w:sz w:val="20"/>
        </w:rPr>
        <w:t>o</w:t>
      </w:r>
      <w:r w:rsidRPr="003B7012">
        <w:rPr>
          <w:rFonts w:ascii="Trebuchet MS" w:hAnsi="Trebuchet MS"/>
          <w:sz w:val="20"/>
        </w:rPr>
        <w:t xml:space="preserve">genese inicial e desenvolvimento de comportamentos adaptativos ocorre activação natural da caspase-3 (Kudryashova </w:t>
      </w:r>
      <w:r w:rsidR="00F96813" w:rsidRPr="003B7012">
        <w:rPr>
          <w:rFonts w:ascii="Trebuchet MS" w:hAnsi="Trebuchet MS"/>
          <w:i/>
          <w:sz w:val="20"/>
        </w:rPr>
        <w:t>et al.</w:t>
      </w:r>
      <w:r w:rsidRPr="003B7012">
        <w:rPr>
          <w:rFonts w:ascii="Trebuchet MS" w:hAnsi="Trebuchet MS"/>
          <w:sz w:val="20"/>
        </w:rPr>
        <w:t xml:space="preserve">, 2009a).  </w:t>
      </w:r>
    </w:p>
    <w:p w:rsidR="005650C5" w:rsidRPr="003B7012" w:rsidRDefault="005650C5" w:rsidP="005650C5">
      <w:pPr>
        <w:pStyle w:val="Corpodetexto"/>
        <w:spacing w:line="360" w:lineRule="auto"/>
        <w:ind w:firstLine="720"/>
        <w:rPr>
          <w:rFonts w:ascii="Trebuchet MS" w:hAnsi="Trebuchet MS"/>
          <w:sz w:val="20"/>
        </w:rPr>
      </w:pPr>
      <w:r w:rsidRPr="003B7012">
        <w:rPr>
          <w:rFonts w:ascii="Trebuchet MS" w:hAnsi="Trebuchet MS"/>
          <w:sz w:val="20"/>
        </w:rPr>
        <w:t xml:space="preserve">Kudryashov </w:t>
      </w:r>
      <w:r w:rsidR="00194A32" w:rsidRPr="003B7012">
        <w:rPr>
          <w:rFonts w:ascii="Trebuchet MS" w:hAnsi="Trebuchet MS"/>
          <w:i/>
          <w:sz w:val="20"/>
        </w:rPr>
        <w:t xml:space="preserve">et al. </w:t>
      </w:r>
      <w:r w:rsidRPr="003B7012">
        <w:rPr>
          <w:rFonts w:ascii="Trebuchet MS" w:hAnsi="Trebuchet MS"/>
          <w:sz w:val="20"/>
        </w:rPr>
        <w:t xml:space="preserve">(2001) revelaram que, nos estudos sobre o desenvolvimento pós-natal do hipocampo, ocorria a activação natural da caspase-3 durante um curto período de tempo (que dura várias dias). Observaram um aumento transitório na actividade da caspase-3 no hipocampo em ratos com 17 dias de idade (Kudryashov </w:t>
      </w:r>
      <w:r w:rsidR="00F96813" w:rsidRPr="003B7012">
        <w:rPr>
          <w:rFonts w:ascii="Trebuchet MS" w:hAnsi="Trebuchet MS"/>
          <w:i/>
          <w:sz w:val="20"/>
        </w:rPr>
        <w:t>et al.</w:t>
      </w:r>
      <w:r w:rsidRPr="003B7012">
        <w:rPr>
          <w:rFonts w:ascii="Trebuchet MS" w:hAnsi="Trebuchet MS"/>
          <w:sz w:val="20"/>
        </w:rPr>
        <w:t>, 2001).</w:t>
      </w:r>
    </w:p>
    <w:p w:rsidR="00922507" w:rsidRDefault="004026FB" w:rsidP="005650C5">
      <w:pPr>
        <w:pStyle w:val="Corpodetexto"/>
        <w:spacing w:line="360" w:lineRule="auto"/>
        <w:ind w:firstLine="720"/>
        <w:rPr>
          <w:rFonts w:ascii="Trebuchet MS" w:hAnsi="Trebuchet MS"/>
          <w:sz w:val="20"/>
        </w:rPr>
      </w:pPr>
      <w:r w:rsidRPr="003B7012">
        <w:rPr>
          <w:rFonts w:ascii="Trebuchet MS" w:hAnsi="Trebuchet MS"/>
          <w:sz w:val="20"/>
        </w:rPr>
        <w:t>A activação de caspase-3 pode ocorrer na presença de alterações patológicas no tec</w:t>
      </w:r>
      <w:r w:rsidRPr="003B7012">
        <w:rPr>
          <w:rFonts w:ascii="Trebuchet MS" w:hAnsi="Trebuchet MS"/>
          <w:sz w:val="20"/>
        </w:rPr>
        <w:t>i</w:t>
      </w:r>
      <w:r w:rsidRPr="003B7012">
        <w:rPr>
          <w:rFonts w:ascii="Trebuchet MS" w:hAnsi="Trebuchet MS"/>
          <w:sz w:val="20"/>
        </w:rPr>
        <w:t xml:space="preserve">do nervoso. Há razões experimentais que sugerem que a activação da caspase-3 parece ser necessária para a viabilidade das células normais. Pelo que, comprovam que activação da caspase-3 no SN não é restrita apenas ao seu papel na apoptose (Kudryashova </w:t>
      </w:r>
      <w:r w:rsidR="00194A32" w:rsidRPr="003B7012">
        <w:rPr>
          <w:rFonts w:ascii="Trebuchet MS" w:hAnsi="Trebuchet MS"/>
          <w:i/>
          <w:sz w:val="20"/>
        </w:rPr>
        <w:t xml:space="preserve">et al. </w:t>
      </w:r>
      <w:r w:rsidRPr="003B7012">
        <w:rPr>
          <w:rFonts w:ascii="Trebuchet MS" w:hAnsi="Trebuchet MS"/>
          <w:sz w:val="20"/>
        </w:rPr>
        <w:t>2009b).</w:t>
      </w:r>
    </w:p>
    <w:p w:rsidR="00922507" w:rsidRDefault="004026FB" w:rsidP="00B22A33">
      <w:pPr>
        <w:pStyle w:val="Corpodetexto"/>
        <w:spacing w:line="360" w:lineRule="auto"/>
        <w:ind w:firstLine="720"/>
        <w:rPr>
          <w:rFonts w:ascii="Trebuchet MS" w:hAnsi="Trebuchet MS"/>
          <w:sz w:val="20"/>
        </w:rPr>
      </w:pPr>
      <w:r w:rsidRPr="003B7012">
        <w:rPr>
          <w:rFonts w:ascii="Trebuchet MS" w:hAnsi="Trebuchet MS"/>
          <w:sz w:val="20"/>
        </w:rPr>
        <w:t xml:space="preserve"> Durante a isquémia,</w:t>
      </w:r>
      <w:r w:rsidR="00922507">
        <w:rPr>
          <w:rFonts w:ascii="Trebuchet MS" w:hAnsi="Trebuchet MS"/>
          <w:sz w:val="20"/>
        </w:rPr>
        <w:t xml:space="preserve"> a</w:t>
      </w:r>
      <w:r w:rsidRPr="003B7012">
        <w:rPr>
          <w:rFonts w:ascii="Trebuchet MS" w:hAnsi="Trebuchet MS"/>
          <w:sz w:val="20"/>
        </w:rPr>
        <w:t xml:space="preserve"> caspase-3 é clivada e activada </w:t>
      </w:r>
      <w:r w:rsidR="00922507">
        <w:rPr>
          <w:rFonts w:ascii="Trebuchet MS" w:hAnsi="Trebuchet MS"/>
          <w:sz w:val="20"/>
        </w:rPr>
        <w:t>levando</w:t>
      </w:r>
      <w:r w:rsidRPr="003B7012">
        <w:rPr>
          <w:rFonts w:ascii="Trebuchet MS" w:hAnsi="Trebuchet MS"/>
          <w:sz w:val="20"/>
        </w:rPr>
        <w:t xml:space="preserve"> </w:t>
      </w:r>
      <w:r w:rsidR="00922507">
        <w:rPr>
          <w:rFonts w:ascii="Trebuchet MS" w:hAnsi="Trebuchet MS"/>
          <w:sz w:val="20"/>
        </w:rPr>
        <w:t>à</w:t>
      </w:r>
      <w:r w:rsidRPr="003B7012">
        <w:rPr>
          <w:rFonts w:ascii="Trebuchet MS" w:hAnsi="Trebuchet MS"/>
          <w:sz w:val="20"/>
        </w:rPr>
        <w:t xml:space="preserve"> degradação de vários substratos no citoplasma e núcleo, </w:t>
      </w:r>
      <w:r w:rsidR="00922507">
        <w:rPr>
          <w:rFonts w:ascii="Trebuchet MS" w:hAnsi="Trebuchet MS"/>
          <w:sz w:val="20"/>
        </w:rPr>
        <w:t>conduzindo</w:t>
      </w:r>
      <w:r w:rsidRPr="003B7012">
        <w:rPr>
          <w:rFonts w:ascii="Trebuchet MS" w:hAnsi="Trebuchet MS"/>
          <w:sz w:val="20"/>
        </w:rPr>
        <w:t xml:space="preserve"> à morte celular (Le </w:t>
      </w:r>
      <w:r w:rsidR="00F96813" w:rsidRPr="003B7012">
        <w:rPr>
          <w:rFonts w:ascii="Trebuchet MS" w:hAnsi="Trebuchet MS"/>
          <w:i/>
          <w:sz w:val="20"/>
        </w:rPr>
        <w:t>et al.</w:t>
      </w:r>
      <w:r w:rsidRPr="003B7012">
        <w:rPr>
          <w:rFonts w:ascii="Trebuchet MS" w:hAnsi="Trebuchet MS"/>
          <w:sz w:val="20"/>
        </w:rPr>
        <w:t>, 2002).</w:t>
      </w:r>
      <w:r w:rsidR="00922507">
        <w:rPr>
          <w:rFonts w:ascii="Trebuchet MS" w:hAnsi="Trebuchet MS"/>
          <w:sz w:val="20"/>
        </w:rPr>
        <w:t xml:space="preserve"> A quantific</w:t>
      </w:r>
      <w:r w:rsidR="00922507">
        <w:rPr>
          <w:rFonts w:ascii="Trebuchet MS" w:hAnsi="Trebuchet MS"/>
          <w:sz w:val="20"/>
        </w:rPr>
        <w:t>a</w:t>
      </w:r>
      <w:r w:rsidR="00922507">
        <w:rPr>
          <w:rFonts w:ascii="Trebuchet MS" w:hAnsi="Trebuchet MS"/>
          <w:sz w:val="20"/>
        </w:rPr>
        <w:t>ção da actividade da caspase-3 permite avaliar a extensão de células que iniciarem a apopt</w:t>
      </w:r>
      <w:r w:rsidR="00922507">
        <w:rPr>
          <w:rFonts w:ascii="Trebuchet MS" w:hAnsi="Trebuchet MS"/>
          <w:sz w:val="20"/>
        </w:rPr>
        <w:t>o</w:t>
      </w:r>
      <w:r w:rsidR="00922507">
        <w:rPr>
          <w:rFonts w:ascii="Trebuchet MS" w:hAnsi="Trebuchet MS"/>
          <w:sz w:val="20"/>
        </w:rPr>
        <w:t>se.</w:t>
      </w:r>
    </w:p>
    <w:p w:rsidR="00B22A33" w:rsidRDefault="00922507" w:rsidP="00B22A33">
      <w:pPr>
        <w:pStyle w:val="Corpodetexto"/>
        <w:spacing w:line="360" w:lineRule="auto"/>
        <w:ind w:firstLine="720"/>
        <w:rPr>
          <w:rFonts w:ascii="Trebuchet MS" w:hAnsi="Trebuchet MS"/>
          <w:sz w:val="20"/>
        </w:rPr>
      </w:pPr>
      <w:r>
        <w:rPr>
          <w:rFonts w:ascii="Trebuchet MS" w:hAnsi="Trebuchet MS"/>
          <w:sz w:val="20"/>
        </w:rPr>
        <w:t xml:space="preserve">Por outro lado, o </w:t>
      </w:r>
      <w:r w:rsidR="00B22A33" w:rsidRPr="003B7012">
        <w:rPr>
          <w:rFonts w:ascii="Trebuchet MS" w:hAnsi="Trebuchet MS"/>
          <w:sz w:val="20"/>
        </w:rPr>
        <w:t>aumento da viabilidade celular é acompanhado por redução signif</w:t>
      </w:r>
      <w:r w:rsidR="00B22A33" w:rsidRPr="003B7012">
        <w:rPr>
          <w:rFonts w:ascii="Trebuchet MS" w:hAnsi="Trebuchet MS"/>
          <w:sz w:val="20"/>
        </w:rPr>
        <w:t>i</w:t>
      </w:r>
      <w:r w:rsidR="00B22A33" w:rsidRPr="003B7012">
        <w:rPr>
          <w:rFonts w:ascii="Trebuchet MS" w:hAnsi="Trebuchet MS"/>
          <w:sz w:val="20"/>
        </w:rPr>
        <w:t xml:space="preserve">cativa na actividade da caspase-3 (Armugan </w:t>
      </w:r>
      <w:r w:rsidR="00F96813" w:rsidRPr="003B7012">
        <w:rPr>
          <w:rFonts w:ascii="Trebuchet MS" w:hAnsi="Trebuchet MS"/>
          <w:i/>
          <w:sz w:val="20"/>
        </w:rPr>
        <w:t>et al.</w:t>
      </w:r>
      <w:r w:rsidR="00B22A33" w:rsidRPr="003B7012">
        <w:rPr>
          <w:rFonts w:ascii="Trebuchet MS" w:hAnsi="Trebuchet MS"/>
          <w:sz w:val="20"/>
        </w:rPr>
        <w:t>, 2009).</w:t>
      </w:r>
    </w:p>
    <w:p w:rsidR="00DE2730" w:rsidRPr="00C65DA3" w:rsidRDefault="00DE2730" w:rsidP="00DE2730">
      <w:pPr>
        <w:autoSpaceDE w:val="0"/>
        <w:autoSpaceDN w:val="0"/>
        <w:adjustRightInd w:val="0"/>
        <w:spacing w:line="360" w:lineRule="auto"/>
        <w:ind w:firstLine="709"/>
        <w:jc w:val="both"/>
        <w:rPr>
          <w:rFonts w:ascii="Trebuchet MS" w:eastAsiaTheme="minorHAnsi" w:hAnsi="Trebuchet MS"/>
          <w:sz w:val="20"/>
          <w:szCs w:val="20"/>
        </w:rPr>
      </w:pPr>
      <w:r w:rsidRPr="00C65DA3">
        <w:rPr>
          <w:rFonts w:ascii="Trebuchet MS" w:eastAsiaTheme="minorHAnsi" w:hAnsi="Trebuchet MS"/>
          <w:sz w:val="20"/>
          <w:szCs w:val="20"/>
        </w:rPr>
        <w:t xml:space="preserve">A fase final da morte celular </w:t>
      </w:r>
      <w:r w:rsidR="00922507">
        <w:rPr>
          <w:rFonts w:ascii="Trebuchet MS" w:eastAsiaTheme="minorHAnsi" w:hAnsi="Trebuchet MS"/>
          <w:sz w:val="20"/>
          <w:szCs w:val="20"/>
        </w:rPr>
        <w:t>pode-se iniciar</w:t>
      </w:r>
      <w:r w:rsidRPr="00C65DA3">
        <w:rPr>
          <w:rFonts w:ascii="Trebuchet MS" w:eastAsiaTheme="minorHAnsi" w:hAnsi="Trebuchet MS"/>
          <w:sz w:val="20"/>
          <w:szCs w:val="20"/>
        </w:rPr>
        <w:t xml:space="preserve"> 10 horas ou mesmo dias após a recepção do sinal apoptótico (Kudryashova </w:t>
      </w:r>
      <w:r w:rsidRPr="00C65DA3">
        <w:rPr>
          <w:rFonts w:ascii="Trebuchet MS" w:eastAsiaTheme="minorHAnsi" w:hAnsi="Trebuchet MS"/>
          <w:i/>
          <w:sz w:val="20"/>
          <w:szCs w:val="20"/>
        </w:rPr>
        <w:t xml:space="preserve">et al. </w:t>
      </w:r>
      <w:r w:rsidR="00D7202F">
        <w:rPr>
          <w:rFonts w:ascii="Trebuchet MS" w:eastAsiaTheme="minorHAnsi" w:hAnsi="Trebuchet MS"/>
          <w:sz w:val="20"/>
          <w:szCs w:val="20"/>
        </w:rPr>
        <w:t>2009b).</w:t>
      </w:r>
    </w:p>
    <w:p w:rsidR="00A00304" w:rsidRPr="003B7012" w:rsidRDefault="00A00304" w:rsidP="00794914">
      <w:pPr>
        <w:pStyle w:val="Corpodetexto"/>
        <w:spacing w:line="360" w:lineRule="auto"/>
        <w:rPr>
          <w:rFonts w:ascii="Trebuchet MS" w:hAnsi="Trebuchet MS"/>
          <w:sz w:val="20"/>
        </w:rPr>
      </w:pPr>
    </w:p>
    <w:p w:rsidR="00A36BC8" w:rsidRPr="002861BA" w:rsidRDefault="006C50E4" w:rsidP="00A07205">
      <w:pPr>
        <w:pStyle w:val="Corpodetexto"/>
        <w:spacing w:line="480" w:lineRule="auto"/>
        <w:rPr>
          <w:rFonts w:ascii="Trebuchet MS" w:hAnsi="Trebuchet MS"/>
          <w:sz w:val="20"/>
        </w:rPr>
      </w:pPr>
      <w:r w:rsidRPr="002861BA">
        <w:rPr>
          <w:rFonts w:ascii="Trebuchet MS" w:eastAsiaTheme="minorHAnsi" w:hAnsi="Trebuchet MS" w:cstheme="minorBidi"/>
          <w:b/>
          <w:smallCaps/>
          <w:shadow/>
          <w:sz w:val="20"/>
        </w:rPr>
        <w:lastRenderedPageBreak/>
        <w:t xml:space="preserve">    </w:t>
      </w:r>
      <w:r w:rsidR="00A36BC8" w:rsidRPr="002861BA">
        <w:rPr>
          <w:rFonts w:ascii="Trebuchet MS" w:eastAsiaTheme="minorHAnsi" w:hAnsi="Trebuchet MS" w:cstheme="minorBidi"/>
          <w:b/>
          <w:smallCaps/>
          <w:shadow/>
          <w:sz w:val="20"/>
        </w:rPr>
        <w:sym w:font="Wingdings" w:char="F0D6"/>
      </w:r>
      <w:r w:rsidR="00A36BC8" w:rsidRPr="002861BA">
        <w:rPr>
          <w:rFonts w:ascii="Trebuchet MS" w:eastAsiaTheme="minorHAnsi" w:hAnsi="Trebuchet MS" w:cstheme="minorBidi"/>
          <w:b/>
          <w:smallCaps/>
          <w:shadow/>
          <w:sz w:val="20"/>
          <w:u w:val="single"/>
        </w:rPr>
        <w:t>LDH (</w:t>
      </w:r>
      <w:r w:rsidR="00922507">
        <w:rPr>
          <w:rFonts w:ascii="Trebuchet MS" w:eastAsiaTheme="minorHAnsi" w:hAnsi="Trebuchet MS" w:cstheme="minorBidi"/>
          <w:b/>
          <w:smallCaps/>
          <w:shadow/>
          <w:sz w:val="20"/>
          <w:u w:val="single"/>
        </w:rPr>
        <w:t>D</w:t>
      </w:r>
      <w:r w:rsidR="00A36BC8" w:rsidRPr="002861BA">
        <w:rPr>
          <w:rFonts w:ascii="Trebuchet MS" w:eastAsiaTheme="minorHAnsi" w:hAnsi="Trebuchet MS" w:cstheme="minorBidi"/>
          <w:b/>
          <w:smallCaps/>
          <w:shadow/>
          <w:sz w:val="20"/>
          <w:u w:val="single"/>
        </w:rPr>
        <w:t>esidrogenase</w:t>
      </w:r>
      <w:r w:rsidR="00922507">
        <w:rPr>
          <w:rFonts w:ascii="Trebuchet MS" w:eastAsiaTheme="minorHAnsi" w:hAnsi="Trebuchet MS" w:cstheme="minorBidi"/>
          <w:b/>
          <w:smallCaps/>
          <w:shadow/>
          <w:sz w:val="20"/>
          <w:u w:val="single"/>
        </w:rPr>
        <w:t xml:space="preserve"> do </w:t>
      </w:r>
      <w:r w:rsidR="00922507" w:rsidRPr="002861BA">
        <w:rPr>
          <w:rFonts w:ascii="Trebuchet MS" w:eastAsiaTheme="minorHAnsi" w:hAnsi="Trebuchet MS" w:cstheme="minorBidi"/>
          <w:b/>
          <w:smallCaps/>
          <w:shadow/>
          <w:sz w:val="20"/>
          <w:u w:val="single"/>
        </w:rPr>
        <w:t>Lactato</w:t>
      </w:r>
      <w:r w:rsidR="00A36BC8" w:rsidRPr="002861BA">
        <w:rPr>
          <w:rFonts w:ascii="Trebuchet MS" w:eastAsiaTheme="minorHAnsi" w:hAnsi="Trebuchet MS" w:cstheme="minorBidi"/>
          <w:b/>
          <w:smallCaps/>
          <w:shadow/>
          <w:sz w:val="20"/>
          <w:u w:val="single"/>
        </w:rPr>
        <w:t>)</w:t>
      </w:r>
    </w:p>
    <w:p w:rsidR="00B7520D" w:rsidRDefault="00B7520D" w:rsidP="00B7520D">
      <w:pPr>
        <w:autoSpaceDE w:val="0"/>
        <w:autoSpaceDN w:val="0"/>
        <w:adjustRightInd w:val="0"/>
        <w:spacing w:line="360" w:lineRule="auto"/>
        <w:ind w:firstLine="708"/>
        <w:jc w:val="both"/>
        <w:rPr>
          <w:rFonts w:ascii="Trebuchet MS" w:eastAsiaTheme="minorHAnsi" w:hAnsi="Trebuchet MS" w:cs="TimesNewRomanPSMT"/>
          <w:sz w:val="20"/>
        </w:rPr>
      </w:pPr>
      <w:r w:rsidRPr="009E323D">
        <w:rPr>
          <w:rFonts w:ascii="Trebuchet MS" w:eastAsiaTheme="minorHAnsi" w:hAnsi="Trebuchet MS" w:cs="TimesNewRomanPSMT"/>
          <w:sz w:val="20"/>
        </w:rPr>
        <w:t xml:space="preserve">A morte celular (por necrose) </w:t>
      </w:r>
      <w:r w:rsidR="00F067CB">
        <w:rPr>
          <w:rFonts w:ascii="Trebuchet MS" w:eastAsiaTheme="minorHAnsi" w:hAnsi="Trebuchet MS" w:cs="TimesNewRomanPSMT"/>
          <w:sz w:val="20"/>
        </w:rPr>
        <w:t>pode ser</w:t>
      </w:r>
      <w:r w:rsidRPr="009E323D">
        <w:rPr>
          <w:rFonts w:ascii="Trebuchet MS" w:eastAsiaTheme="minorHAnsi" w:hAnsi="Trebuchet MS" w:cs="TimesNewRomanPSMT"/>
          <w:sz w:val="20"/>
        </w:rPr>
        <w:t xml:space="preserve"> avaliada por medição espectrofotométrica (UV) da actividade da LDH libertada para o meio, usando um método enzimático para a determinação da actividade da LDH (Takuma </w:t>
      </w:r>
      <w:r w:rsidR="00F96813" w:rsidRPr="009E323D">
        <w:rPr>
          <w:rFonts w:ascii="Trebuchet MS" w:eastAsiaTheme="minorHAnsi" w:hAnsi="Trebuchet MS" w:cs="TimesNewRomanPSMT"/>
          <w:i/>
          <w:sz w:val="20"/>
        </w:rPr>
        <w:t>et al.</w:t>
      </w:r>
      <w:r w:rsidRPr="009E323D">
        <w:rPr>
          <w:rFonts w:ascii="Trebuchet MS" w:eastAsiaTheme="minorHAnsi" w:hAnsi="Trebuchet MS" w:cs="TimesNewRomanPSMT"/>
          <w:sz w:val="20"/>
        </w:rPr>
        <w:t xml:space="preserve">, 2005). </w:t>
      </w:r>
    </w:p>
    <w:p w:rsidR="006E0A39" w:rsidRDefault="006E0A39" w:rsidP="00B7520D">
      <w:pPr>
        <w:autoSpaceDE w:val="0"/>
        <w:autoSpaceDN w:val="0"/>
        <w:adjustRightInd w:val="0"/>
        <w:spacing w:line="360" w:lineRule="auto"/>
        <w:ind w:firstLine="708"/>
        <w:jc w:val="both"/>
        <w:rPr>
          <w:rFonts w:ascii="Trebuchet MS" w:eastAsiaTheme="minorHAnsi" w:hAnsi="Trebuchet MS" w:cs="TimesNewRomanPSMT"/>
          <w:sz w:val="20"/>
        </w:rPr>
      </w:pPr>
    </w:p>
    <w:p w:rsidR="00DE2730" w:rsidRPr="00C65DA3" w:rsidRDefault="00DE2730" w:rsidP="00DE2730">
      <w:pPr>
        <w:ind w:firstLine="180"/>
        <w:jc w:val="both"/>
        <w:rPr>
          <w:rFonts w:ascii="Trebuchet MS" w:eastAsiaTheme="minorHAnsi" w:hAnsi="Trebuchet MS" w:cstheme="minorBidi"/>
          <w:b/>
          <w:smallCaps/>
          <w:shadow/>
          <w:sz w:val="20"/>
          <w:szCs w:val="20"/>
          <w:u w:val="single"/>
        </w:rPr>
      </w:pPr>
      <w:r w:rsidRPr="00C65DA3">
        <w:rPr>
          <w:rFonts w:ascii="Trebuchet MS" w:eastAsiaTheme="minorHAnsi" w:hAnsi="Trebuchet MS" w:cstheme="minorBidi"/>
          <w:b/>
          <w:smallCaps/>
          <w:shadow/>
          <w:sz w:val="20"/>
          <w:szCs w:val="20"/>
        </w:rPr>
        <w:sym w:font="Wingdings" w:char="F0D6"/>
      </w:r>
      <w:r w:rsidRPr="00C65DA3">
        <w:rPr>
          <w:rFonts w:ascii="Trebuchet MS" w:eastAsiaTheme="minorHAnsi" w:hAnsi="Trebuchet MS" w:cstheme="minorBidi"/>
          <w:b/>
          <w:smallCaps/>
          <w:shadow/>
          <w:sz w:val="20"/>
          <w:szCs w:val="20"/>
          <w:u w:val="single"/>
        </w:rPr>
        <w:t>Comparação entre os métodos de avaliação da viabilidade celular (TTC/Caspase-3/LDH)</w:t>
      </w:r>
    </w:p>
    <w:p w:rsidR="00DE2730" w:rsidRPr="00C65DA3" w:rsidRDefault="00DE2730" w:rsidP="00DE2730">
      <w:pPr>
        <w:ind w:firstLine="180"/>
        <w:jc w:val="both"/>
        <w:rPr>
          <w:rFonts w:ascii="Trebuchet MS" w:hAnsi="Trebuchet MS"/>
          <w:b/>
          <w:smallCaps/>
          <w:shadow/>
          <w:color w:val="333399"/>
          <w:sz w:val="20"/>
          <w:szCs w:val="20"/>
        </w:rPr>
      </w:pPr>
    </w:p>
    <w:p w:rsidR="00DE2730" w:rsidRPr="00C65DA3" w:rsidRDefault="00DE2730" w:rsidP="00DE2730">
      <w:pPr>
        <w:autoSpaceDE w:val="0"/>
        <w:autoSpaceDN w:val="0"/>
        <w:adjustRightInd w:val="0"/>
        <w:spacing w:line="360" w:lineRule="auto"/>
        <w:ind w:firstLine="708"/>
        <w:jc w:val="both"/>
        <w:rPr>
          <w:rFonts w:ascii="Trebuchet MS" w:eastAsiaTheme="minorHAnsi" w:hAnsi="Trebuchet MS"/>
          <w:bCs/>
          <w:sz w:val="20"/>
          <w:szCs w:val="20"/>
        </w:rPr>
      </w:pPr>
      <w:r w:rsidRPr="00C65DA3">
        <w:rPr>
          <w:rFonts w:ascii="Trebuchet MS" w:eastAsiaTheme="minorHAnsi" w:hAnsi="Trebuchet MS"/>
          <w:bCs/>
          <w:sz w:val="20"/>
          <w:szCs w:val="20"/>
        </w:rPr>
        <w:t xml:space="preserve">Xue </w:t>
      </w:r>
      <w:r w:rsidRPr="00C65DA3">
        <w:rPr>
          <w:rFonts w:ascii="Trebuchet MS" w:eastAsiaTheme="minorHAnsi" w:hAnsi="Trebuchet MS"/>
          <w:bCs/>
          <w:i/>
          <w:sz w:val="20"/>
          <w:szCs w:val="20"/>
        </w:rPr>
        <w:t xml:space="preserve">et al. </w:t>
      </w:r>
      <w:r w:rsidRPr="00C65DA3">
        <w:rPr>
          <w:rFonts w:ascii="Trebuchet MS" w:eastAsiaTheme="minorHAnsi" w:hAnsi="Trebuchet MS"/>
          <w:bCs/>
          <w:sz w:val="20"/>
          <w:szCs w:val="20"/>
        </w:rPr>
        <w:t>(2004) demonstraram que a percentagem de dano celular em fatias cort</w:t>
      </w:r>
      <w:r w:rsidRPr="00C65DA3">
        <w:rPr>
          <w:rFonts w:ascii="Trebuchet MS" w:eastAsiaTheme="minorHAnsi" w:hAnsi="Trebuchet MS"/>
          <w:bCs/>
          <w:sz w:val="20"/>
          <w:szCs w:val="20"/>
        </w:rPr>
        <w:t>i</w:t>
      </w:r>
      <w:r w:rsidRPr="00C65DA3">
        <w:rPr>
          <w:rFonts w:ascii="Trebuchet MS" w:eastAsiaTheme="minorHAnsi" w:hAnsi="Trebuchet MS"/>
          <w:bCs/>
          <w:sz w:val="20"/>
          <w:szCs w:val="20"/>
        </w:rPr>
        <w:t xml:space="preserve">cais de cérebro de rato, em resposta ao </w:t>
      </w:r>
      <w:r w:rsidR="00067056">
        <w:rPr>
          <w:rFonts w:ascii="Trebuchet MS" w:eastAsiaTheme="minorHAnsi" w:hAnsi="Trebuchet MS"/>
          <w:bCs/>
          <w:sz w:val="20"/>
          <w:szCs w:val="20"/>
        </w:rPr>
        <w:t>P</w:t>
      </w:r>
      <w:r w:rsidRPr="00C65DA3">
        <w:rPr>
          <w:rFonts w:ascii="Trebuchet MS" w:eastAsiaTheme="minorHAnsi" w:hAnsi="Trebuchet MS"/>
          <w:bCs/>
          <w:sz w:val="20"/>
          <w:szCs w:val="20"/>
        </w:rPr>
        <w:t xml:space="preserve">OG, apresenta uma correlação positiva entre dois métodos adoptados: a quantificação do celular através do TTC e a libertação de LDH. </w:t>
      </w:r>
    </w:p>
    <w:p w:rsidR="00DE2730" w:rsidRDefault="00DE2730" w:rsidP="00DE2730">
      <w:pPr>
        <w:autoSpaceDE w:val="0"/>
        <w:autoSpaceDN w:val="0"/>
        <w:adjustRightInd w:val="0"/>
        <w:spacing w:line="360" w:lineRule="auto"/>
        <w:ind w:firstLine="709"/>
        <w:jc w:val="both"/>
        <w:rPr>
          <w:rFonts w:ascii="Trebuchet MS" w:eastAsiaTheme="minorHAnsi" w:hAnsi="Trebuchet MS"/>
          <w:sz w:val="20"/>
          <w:szCs w:val="20"/>
        </w:rPr>
      </w:pPr>
      <w:r w:rsidRPr="00C65DA3">
        <w:rPr>
          <w:rFonts w:ascii="Trebuchet MS" w:eastAsiaTheme="minorHAnsi" w:hAnsi="Trebuchet MS"/>
          <w:sz w:val="20"/>
          <w:szCs w:val="20"/>
        </w:rPr>
        <w:t xml:space="preserve">Takuma </w:t>
      </w:r>
      <w:r w:rsidRPr="00C65DA3">
        <w:rPr>
          <w:rFonts w:ascii="Trebuchet MS" w:eastAsiaTheme="minorHAnsi" w:hAnsi="Trebuchet MS"/>
          <w:i/>
          <w:sz w:val="20"/>
          <w:szCs w:val="20"/>
        </w:rPr>
        <w:t xml:space="preserve">et al. </w:t>
      </w:r>
      <w:r w:rsidRPr="00C65DA3">
        <w:rPr>
          <w:rFonts w:ascii="Trebuchet MS" w:eastAsiaTheme="minorHAnsi" w:hAnsi="Trebuchet MS"/>
          <w:sz w:val="20"/>
          <w:szCs w:val="20"/>
        </w:rPr>
        <w:t>(2005) verificaram que quando há um aumento da actividade da casp</w:t>
      </w:r>
      <w:r w:rsidRPr="00C65DA3">
        <w:rPr>
          <w:rFonts w:ascii="Trebuchet MS" w:eastAsiaTheme="minorHAnsi" w:hAnsi="Trebuchet MS"/>
          <w:sz w:val="20"/>
          <w:szCs w:val="20"/>
        </w:rPr>
        <w:t>a</w:t>
      </w:r>
      <w:r w:rsidRPr="00C65DA3">
        <w:rPr>
          <w:rFonts w:ascii="Trebuchet MS" w:eastAsiaTheme="minorHAnsi" w:hAnsi="Trebuchet MS"/>
          <w:sz w:val="20"/>
          <w:szCs w:val="20"/>
        </w:rPr>
        <w:t>se-3 em culturas de neurónios, ocorre também a perda da viabilidade celular, quantificada pelo aumento da libertação de LDH.</w:t>
      </w:r>
    </w:p>
    <w:p w:rsidR="00DE2730" w:rsidRDefault="00DE2730" w:rsidP="00DE2730">
      <w:pPr>
        <w:autoSpaceDE w:val="0"/>
        <w:autoSpaceDN w:val="0"/>
        <w:adjustRightInd w:val="0"/>
        <w:spacing w:line="360" w:lineRule="auto"/>
        <w:ind w:firstLine="709"/>
        <w:jc w:val="both"/>
        <w:rPr>
          <w:rFonts w:ascii="Trebuchet MS" w:eastAsiaTheme="minorHAnsi" w:hAnsi="Trebuchet MS"/>
        </w:rPr>
      </w:pPr>
      <w:r w:rsidRPr="00C65DA3">
        <w:rPr>
          <w:rFonts w:ascii="Trebuchet MS" w:eastAsiaTheme="minorHAnsi" w:hAnsi="Trebuchet MS"/>
          <w:sz w:val="20"/>
          <w:szCs w:val="20"/>
        </w:rPr>
        <w:t xml:space="preserve">Chong </w:t>
      </w:r>
      <w:r w:rsidRPr="00C65DA3">
        <w:rPr>
          <w:rFonts w:ascii="Trebuchet MS" w:eastAsiaTheme="minorHAnsi" w:hAnsi="Trebuchet MS"/>
          <w:i/>
          <w:sz w:val="20"/>
          <w:szCs w:val="20"/>
        </w:rPr>
        <w:t xml:space="preserve">et al. </w:t>
      </w:r>
      <w:r w:rsidRPr="00C65DA3">
        <w:rPr>
          <w:rFonts w:ascii="Trebuchet MS" w:eastAsiaTheme="minorHAnsi" w:hAnsi="Trebuchet MS"/>
          <w:sz w:val="20"/>
          <w:szCs w:val="20"/>
        </w:rPr>
        <w:t xml:space="preserve">(2006) examinaram o grau de morte celular pela quantificação </w:t>
      </w:r>
      <w:r w:rsidR="00F067CB">
        <w:rPr>
          <w:rFonts w:ascii="Trebuchet MS" w:eastAsiaTheme="minorHAnsi" w:hAnsi="Trebuchet MS"/>
          <w:sz w:val="20"/>
          <w:szCs w:val="20"/>
        </w:rPr>
        <w:t>da capt</w:t>
      </w:r>
      <w:r w:rsidR="00F067CB">
        <w:rPr>
          <w:rFonts w:ascii="Trebuchet MS" w:eastAsiaTheme="minorHAnsi" w:hAnsi="Trebuchet MS"/>
          <w:sz w:val="20"/>
          <w:szCs w:val="20"/>
        </w:rPr>
        <w:t>a</w:t>
      </w:r>
      <w:r w:rsidR="00F067CB">
        <w:rPr>
          <w:rFonts w:ascii="Trebuchet MS" w:eastAsiaTheme="minorHAnsi" w:hAnsi="Trebuchet MS"/>
          <w:sz w:val="20"/>
          <w:szCs w:val="20"/>
        </w:rPr>
        <w:t>ção de</w:t>
      </w:r>
      <w:r w:rsidRPr="00C65DA3">
        <w:rPr>
          <w:rFonts w:ascii="Trebuchet MS" w:eastAsiaTheme="minorHAnsi" w:hAnsi="Trebuchet MS"/>
          <w:sz w:val="20"/>
          <w:szCs w:val="20"/>
        </w:rPr>
        <w:t xml:space="preserve"> Iodeto de Propídeo e a libertação de LDH</w:t>
      </w:r>
      <w:r w:rsidRPr="00751D14">
        <w:rPr>
          <w:rFonts w:ascii="Trebuchet MS" w:eastAsiaTheme="minorHAnsi" w:hAnsi="Trebuchet MS"/>
        </w:rPr>
        <w:t xml:space="preserve">. </w:t>
      </w:r>
    </w:p>
    <w:p w:rsidR="00067056" w:rsidRDefault="00067056"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A07205" w:rsidRDefault="00A07205" w:rsidP="00DE2730">
      <w:pPr>
        <w:autoSpaceDE w:val="0"/>
        <w:autoSpaceDN w:val="0"/>
        <w:adjustRightInd w:val="0"/>
        <w:spacing w:line="360" w:lineRule="auto"/>
        <w:ind w:firstLine="709"/>
        <w:jc w:val="both"/>
        <w:rPr>
          <w:rFonts w:ascii="Trebuchet MS" w:eastAsiaTheme="minorHAnsi" w:hAnsi="Trebuchet MS"/>
        </w:rPr>
      </w:pPr>
    </w:p>
    <w:p w:rsidR="00067056" w:rsidRDefault="00067056" w:rsidP="00DE2730">
      <w:pPr>
        <w:autoSpaceDE w:val="0"/>
        <w:autoSpaceDN w:val="0"/>
        <w:adjustRightInd w:val="0"/>
        <w:spacing w:line="360" w:lineRule="auto"/>
        <w:ind w:firstLine="709"/>
        <w:jc w:val="both"/>
        <w:rPr>
          <w:rFonts w:ascii="Trebuchet MS" w:eastAsiaTheme="minorHAnsi" w:hAnsi="Trebuchet MS"/>
        </w:rPr>
      </w:pPr>
    </w:p>
    <w:p w:rsidR="00067056" w:rsidRDefault="00067056" w:rsidP="00DE2730">
      <w:pPr>
        <w:autoSpaceDE w:val="0"/>
        <w:autoSpaceDN w:val="0"/>
        <w:adjustRightInd w:val="0"/>
        <w:spacing w:line="360" w:lineRule="auto"/>
        <w:ind w:firstLine="709"/>
        <w:jc w:val="both"/>
        <w:rPr>
          <w:rFonts w:ascii="Trebuchet MS" w:eastAsiaTheme="minorHAnsi" w:hAnsi="Trebuchet MS"/>
        </w:rPr>
      </w:pPr>
    </w:p>
    <w:p w:rsidR="00067056" w:rsidRDefault="00067056" w:rsidP="00DE2730">
      <w:pPr>
        <w:autoSpaceDE w:val="0"/>
        <w:autoSpaceDN w:val="0"/>
        <w:adjustRightInd w:val="0"/>
        <w:spacing w:line="360" w:lineRule="auto"/>
        <w:ind w:firstLine="709"/>
        <w:jc w:val="both"/>
        <w:rPr>
          <w:rFonts w:ascii="Trebuchet MS" w:eastAsiaTheme="minorHAnsi" w:hAnsi="Trebuchet MS"/>
        </w:rPr>
      </w:pPr>
    </w:p>
    <w:p w:rsidR="00E06DF2" w:rsidRDefault="00E06DF2" w:rsidP="003B7012">
      <w:pPr>
        <w:pStyle w:val="Corpodetexto"/>
        <w:spacing w:line="360" w:lineRule="auto"/>
        <w:rPr>
          <w:rFonts w:ascii="Trebuchet MS" w:hAnsi="Trebuchet MS"/>
        </w:rPr>
      </w:pPr>
    </w:p>
    <w:p w:rsidR="003B7012" w:rsidRPr="00751D14" w:rsidRDefault="0035151F" w:rsidP="003B7012">
      <w:pPr>
        <w:pStyle w:val="Corpodetexto"/>
        <w:spacing w:line="360" w:lineRule="auto"/>
        <w:rPr>
          <w:rFonts w:ascii="Trebuchet MS" w:hAnsi="Trebuchet MS"/>
        </w:rPr>
      </w:pPr>
      <w:r>
        <w:rPr>
          <w:rFonts w:ascii="Trebuchet MS" w:hAnsi="Trebuchet MS"/>
          <w:noProof/>
        </w:rPr>
        <w:lastRenderedPageBreak/>
        <w:pict>
          <v:group id="_x0000_s3226" style="position:absolute;left:0;text-align:left;margin-left:-1.15pt;margin-top:3.95pt;width:426.9pt;height:32.25pt;z-index:251699712" coordorigin="1678,3480" coordsize="8538,472">
            <v:shape id="_x0000_s3227" type="#_x0000_t202" style="position:absolute;left:1678;top:3480;width:8538;height:454" fillcolor="#669" stroked="f" strokecolor="#669" strokeweight="1pt">
              <v:fill opacity="46531f" color2="#ccdaec" o:opacity2="54395f" rotate="t" focusposition=".5,.5" focussize="" focus="100%" type="gradient"/>
              <v:textbox style="mso-next-textbox:#_x0000_s3227" inset=",0,,0">
                <w:txbxContent>
                  <w:p w:rsidR="00046EA7" w:rsidRPr="00751D14" w:rsidRDefault="00046EA7" w:rsidP="002861BA">
                    <w:pPr>
                      <w:autoSpaceDE w:val="0"/>
                      <w:autoSpaceDN w:val="0"/>
                      <w:adjustRightInd w:val="0"/>
                      <w:spacing w:before="60" w:line="276" w:lineRule="auto"/>
                      <w:ind w:left="-142"/>
                      <w:jc w:val="both"/>
                      <w:rPr>
                        <w:rFonts w:ascii="Trebuchet MS" w:hAnsi="Trebuchet MS" w:cs="Bookman Old Style"/>
                        <w:shadow/>
                        <w:color w:val="333399"/>
                        <w:sz w:val="36"/>
                        <w:szCs w:val="36"/>
                        <w:lang w:val="pt-BR"/>
                      </w:rPr>
                    </w:pPr>
                    <w:r w:rsidRPr="00751D14">
                      <w:rPr>
                        <w:rFonts w:ascii="Trebuchet MS" w:hAnsi="Trebuchet MS"/>
                        <w:shadow/>
                        <w:color w:val="333399"/>
                        <w:sz w:val="36"/>
                        <w:szCs w:val="36"/>
                        <w:lang w:val="pt-BR"/>
                      </w:rPr>
                      <w:t xml:space="preserve"> </w:t>
                    </w:r>
                    <w:r w:rsidRPr="00751D14">
                      <w:rPr>
                        <w:rFonts w:ascii="Trebuchet MS" w:hAnsi="Trebuchet MS"/>
                        <w:shadow/>
                        <w:color w:val="333399"/>
                        <w:sz w:val="36"/>
                        <w:szCs w:val="36"/>
                        <w:lang w:val="pt-BR"/>
                      </w:rPr>
                      <w:t xml:space="preserve">2. </w:t>
                    </w:r>
                    <w:r w:rsidRPr="002861BA">
                      <w:rPr>
                        <w:rFonts w:ascii="Trebuchet MS" w:hAnsi="Trebuchet MS"/>
                        <w:imprint/>
                        <w:color w:val="333399"/>
                        <w:sz w:val="44"/>
                        <w:szCs w:val="36"/>
                        <w:lang w:val="pt-BR"/>
                      </w:rPr>
                      <w:t>Objectivos</w:t>
                    </w:r>
                  </w:p>
                  <w:p w:rsidR="00046EA7" w:rsidRPr="00C52C26" w:rsidRDefault="00046EA7" w:rsidP="003B7012">
                    <w:pPr>
                      <w:rPr>
                        <w:rFonts w:ascii="Candara" w:hAnsi="Candara"/>
                      </w:rPr>
                    </w:pPr>
                  </w:p>
                </w:txbxContent>
              </v:textbox>
            </v:shape>
            <v:shape id="_x0000_s3228" type="#_x0000_t32" style="position:absolute;left:1678;top:3952;width:8538;height:0" o:connectortype="straight" strokecolor="#339" strokeweight="1.5pt"/>
          </v:group>
        </w:pict>
      </w:r>
    </w:p>
    <w:p w:rsidR="003B7012" w:rsidRPr="00751D14" w:rsidRDefault="003B7012" w:rsidP="003B7012">
      <w:pPr>
        <w:autoSpaceDE w:val="0"/>
        <w:autoSpaceDN w:val="0"/>
        <w:adjustRightInd w:val="0"/>
        <w:spacing w:line="360" w:lineRule="auto"/>
        <w:jc w:val="both"/>
        <w:rPr>
          <w:rFonts w:ascii="Trebuchet MS" w:hAnsi="Trebuchet MS" w:cs="Bookman Old Style"/>
          <w:b/>
        </w:rPr>
      </w:pPr>
    </w:p>
    <w:p w:rsidR="002861BA" w:rsidRDefault="002861BA" w:rsidP="003B7012">
      <w:pPr>
        <w:pStyle w:val="Corpodetexto"/>
        <w:spacing w:line="360" w:lineRule="auto"/>
        <w:ind w:firstLine="284"/>
        <w:rPr>
          <w:rFonts w:ascii="Trebuchet MS" w:hAnsi="Trebuchet MS"/>
          <w:sz w:val="20"/>
        </w:rPr>
      </w:pPr>
    </w:p>
    <w:p w:rsidR="003B7012" w:rsidRPr="00F707CA" w:rsidRDefault="003B7012" w:rsidP="003B7012">
      <w:pPr>
        <w:pStyle w:val="Corpodetexto"/>
        <w:spacing w:line="360" w:lineRule="auto"/>
        <w:ind w:firstLine="284"/>
        <w:rPr>
          <w:rFonts w:ascii="Trebuchet MS" w:hAnsi="Trebuchet MS"/>
          <w:sz w:val="20"/>
        </w:rPr>
      </w:pPr>
      <w:r w:rsidRPr="00F707CA">
        <w:rPr>
          <w:rFonts w:ascii="Trebuchet MS" w:hAnsi="Trebuchet MS"/>
          <w:sz w:val="20"/>
        </w:rPr>
        <w:t xml:space="preserve">Os </w:t>
      </w:r>
      <w:r w:rsidRPr="00F707CA">
        <w:rPr>
          <w:rFonts w:ascii="Trebuchet MS" w:hAnsi="Trebuchet MS"/>
          <w:b/>
          <w:sz w:val="20"/>
        </w:rPr>
        <w:t xml:space="preserve">objectivos </w:t>
      </w:r>
      <w:r w:rsidRPr="00F707CA">
        <w:rPr>
          <w:rFonts w:ascii="Trebuchet MS" w:hAnsi="Trebuchet MS"/>
          <w:sz w:val="20"/>
        </w:rPr>
        <w:t>gerais do presente trabalho de investigação foram os seguintes:</w:t>
      </w:r>
    </w:p>
    <w:p w:rsidR="003B7012" w:rsidRPr="00F707CA" w:rsidRDefault="003B7012" w:rsidP="003B7012">
      <w:pPr>
        <w:pStyle w:val="Corpodetexto"/>
        <w:spacing w:line="360" w:lineRule="auto"/>
        <w:ind w:firstLine="720"/>
        <w:rPr>
          <w:rFonts w:ascii="Trebuchet MS" w:hAnsi="Trebuchet MS"/>
          <w:sz w:val="20"/>
        </w:rPr>
      </w:pPr>
      <w:r w:rsidRPr="00F707CA">
        <w:rPr>
          <w:rFonts w:ascii="Trebuchet MS" w:hAnsi="Trebuchet MS"/>
          <w:sz w:val="20"/>
        </w:rPr>
        <w:t xml:space="preserve">- </w:t>
      </w:r>
      <w:proofErr w:type="gramStart"/>
      <w:r w:rsidRPr="00F707CA">
        <w:rPr>
          <w:rFonts w:ascii="Trebuchet MS" w:hAnsi="Trebuchet MS"/>
          <w:sz w:val="20"/>
        </w:rPr>
        <w:t>estabelecimento</w:t>
      </w:r>
      <w:proofErr w:type="gramEnd"/>
      <w:r w:rsidRPr="00F707CA">
        <w:rPr>
          <w:rFonts w:ascii="Trebuchet MS" w:hAnsi="Trebuchet MS"/>
          <w:sz w:val="20"/>
        </w:rPr>
        <w:t xml:space="preserve"> de um modelo experimental de  isquémia cerebral </w:t>
      </w:r>
      <w:r w:rsidRPr="00F707CA">
        <w:rPr>
          <w:rFonts w:ascii="Trebuchet MS" w:hAnsi="Trebuchet MS"/>
          <w:i/>
          <w:sz w:val="20"/>
        </w:rPr>
        <w:t>in vitro ,</w:t>
      </w:r>
      <w:r w:rsidRPr="00F707CA">
        <w:rPr>
          <w:rFonts w:ascii="Trebuchet MS" w:hAnsi="Trebuchet MS"/>
          <w:sz w:val="20"/>
        </w:rPr>
        <w:t xml:space="preserve"> com fatias </w:t>
      </w:r>
      <w:r w:rsidR="00067056">
        <w:rPr>
          <w:rFonts w:ascii="Trebuchet MS" w:hAnsi="Trebuchet MS"/>
          <w:sz w:val="20"/>
        </w:rPr>
        <w:t xml:space="preserve">frescas </w:t>
      </w:r>
      <w:r w:rsidRPr="00F707CA">
        <w:rPr>
          <w:rFonts w:ascii="Trebuchet MS" w:hAnsi="Trebuchet MS"/>
          <w:sz w:val="20"/>
        </w:rPr>
        <w:t>de hipocampo provenientes de ratos adultos;</w:t>
      </w:r>
    </w:p>
    <w:p w:rsidR="003B7012" w:rsidRPr="00F707CA" w:rsidRDefault="003B7012" w:rsidP="003B7012">
      <w:pPr>
        <w:autoSpaceDE w:val="0"/>
        <w:autoSpaceDN w:val="0"/>
        <w:adjustRightInd w:val="0"/>
        <w:spacing w:line="360" w:lineRule="auto"/>
        <w:ind w:firstLine="720"/>
        <w:jc w:val="both"/>
        <w:rPr>
          <w:rFonts w:ascii="Trebuchet MS" w:hAnsi="Trebuchet MS"/>
          <w:sz w:val="20"/>
        </w:rPr>
      </w:pPr>
      <w:r w:rsidRPr="00F707CA">
        <w:rPr>
          <w:rFonts w:ascii="Trebuchet MS" w:hAnsi="Trebuchet MS"/>
          <w:sz w:val="20"/>
        </w:rPr>
        <w:t xml:space="preserve">- </w:t>
      </w:r>
      <w:proofErr w:type="gramStart"/>
      <w:r w:rsidRPr="00F707CA">
        <w:rPr>
          <w:rFonts w:ascii="Trebuchet MS" w:hAnsi="Trebuchet MS"/>
          <w:sz w:val="20"/>
        </w:rPr>
        <w:t>a</w:t>
      </w:r>
      <w:proofErr w:type="gramEnd"/>
      <w:r w:rsidRPr="00F707CA">
        <w:rPr>
          <w:rFonts w:ascii="Trebuchet MS" w:hAnsi="Trebuchet MS"/>
          <w:sz w:val="20"/>
        </w:rPr>
        <w:t xml:space="preserve">  implementação de um sistema de perfusão adequado ao modelo experimental </w:t>
      </w:r>
      <w:r>
        <w:rPr>
          <w:rFonts w:ascii="Trebuchet MS" w:hAnsi="Trebuchet MS"/>
          <w:sz w:val="20"/>
        </w:rPr>
        <w:t xml:space="preserve"> </w:t>
      </w:r>
      <w:r w:rsidRPr="00F707CA">
        <w:rPr>
          <w:rFonts w:ascii="Trebuchet MS" w:hAnsi="Trebuchet MS"/>
          <w:i/>
          <w:sz w:val="20"/>
        </w:rPr>
        <w:t xml:space="preserve">in vitro </w:t>
      </w:r>
      <w:r w:rsidRPr="00F707CA">
        <w:rPr>
          <w:rFonts w:ascii="Trebuchet MS" w:hAnsi="Trebuchet MS"/>
          <w:sz w:val="20"/>
        </w:rPr>
        <w:t>com fatias de hipocampo;</w:t>
      </w:r>
    </w:p>
    <w:p w:rsidR="003B7012" w:rsidRDefault="003B7012" w:rsidP="003B7012">
      <w:pPr>
        <w:autoSpaceDE w:val="0"/>
        <w:autoSpaceDN w:val="0"/>
        <w:adjustRightInd w:val="0"/>
        <w:spacing w:line="360" w:lineRule="auto"/>
        <w:ind w:firstLine="720"/>
        <w:jc w:val="both"/>
        <w:rPr>
          <w:rFonts w:ascii="Trebuchet MS" w:hAnsi="Trebuchet MS" w:cs="Arial"/>
          <w:sz w:val="20"/>
          <w:lang w:eastAsia="pt-PT"/>
        </w:rPr>
      </w:pPr>
      <w:r w:rsidRPr="00F707CA">
        <w:rPr>
          <w:rFonts w:ascii="Trebuchet MS" w:hAnsi="Trebuchet MS"/>
          <w:sz w:val="20"/>
        </w:rPr>
        <w:t xml:space="preserve">- </w:t>
      </w:r>
      <w:proofErr w:type="gramStart"/>
      <w:r w:rsidRPr="00F707CA">
        <w:rPr>
          <w:rFonts w:ascii="Trebuchet MS" w:hAnsi="Trebuchet MS"/>
          <w:sz w:val="20"/>
        </w:rPr>
        <w:t>estudar</w:t>
      </w:r>
      <w:proofErr w:type="gramEnd"/>
      <w:r w:rsidRPr="00F707CA">
        <w:rPr>
          <w:rFonts w:ascii="Trebuchet MS" w:hAnsi="Trebuchet MS"/>
          <w:sz w:val="20"/>
        </w:rPr>
        <w:t xml:space="preserve"> o efeito neuroprotector de diferentes tipos de pré-condicionamentos (isquémico e químico)</w:t>
      </w:r>
      <w:r w:rsidRPr="00F707CA">
        <w:rPr>
          <w:rFonts w:ascii="Trebuchet MS" w:hAnsi="Trebuchet MS" w:cs="Arial"/>
          <w:sz w:val="16"/>
          <w:szCs w:val="20"/>
        </w:rPr>
        <w:t xml:space="preserve"> </w:t>
      </w:r>
      <w:r w:rsidRPr="00F707CA">
        <w:rPr>
          <w:rFonts w:ascii="Trebuchet MS" w:hAnsi="Trebuchet MS"/>
          <w:sz w:val="20"/>
        </w:rPr>
        <w:t>a insultos isquémicos em cérebro</w:t>
      </w:r>
      <w:r>
        <w:rPr>
          <w:rFonts w:ascii="Trebuchet MS" w:hAnsi="Trebuchet MS"/>
          <w:sz w:val="20"/>
        </w:rPr>
        <w:t>s</w:t>
      </w:r>
      <w:r w:rsidRPr="00F707CA">
        <w:rPr>
          <w:rFonts w:ascii="Trebuchet MS" w:hAnsi="Trebuchet MS"/>
          <w:sz w:val="20"/>
        </w:rPr>
        <w:t xml:space="preserve"> de mamífero</w:t>
      </w:r>
      <w:r>
        <w:rPr>
          <w:rFonts w:ascii="Trebuchet MS" w:hAnsi="Trebuchet MS"/>
          <w:sz w:val="20"/>
        </w:rPr>
        <w:t>s</w:t>
      </w:r>
      <w:r w:rsidRPr="00F707CA">
        <w:rPr>
          <w:rFonts w:ascii="Trebuchet MS" w:hAnsi="Trebuchet MS"/>
          <w:sz w:val="20"/>
        </w:rPr>
        <w:t>, por avaliação e qua</w:t>
      </w:r>
      <w:r w:rsidRPr="00F707CA">
        <w:rPr>
          <w:rFonts w:ascii="Trebuchet MS" w:hAnsi="Trebuchet MS"/>
          <w:sz w:val="20"/>
        </w:rPr>
        <w:t>n</w:t>
      </w:r>
      <w:r w:rsidRPr="00F707CA">
        <w:rPr>
          <w:rFonts w:ascii="Trebuchet MS" w:hAnsi="Trebuchet MS"/>
          <w:sz w:val="20"/>
        </w:rPr>
        <w:t xml:space="preserve">tificação </w:t>
      </w:r>
      <w:r w:rsidR="00067056">
        <w:rPr>
          <w:rFonts w:ascii="Trebuchet MS" w:hAnsi="Trebuchet MS"/>
          <w:sz w:val="20"/>
        </w:rPr>
        <w:t xml:space="preserve">da </w:t>
      </w:r>
      <w:r>
        <w:rPr>
          <w:rFonts w:ascii="Trebuchet MS" w:hAnsi="Trebuchet MS"/>
          <w:sz w:val="20"/>
        </w:rPr>
        <w:t xml:space="preserve">viabilidade </w:t>
      </w:r>
      <w:r w:rsidRPr="00067056">
        <w:rPr>
          <w:rFonts w:ascii="Trebuchet MS" w:hAnsi="Trebuchet MS"/>
          <w:sz w:val="20"/>
        </w:rPr>
        <w:t>celular (sobrevivência)/morte neuronal</w:t>
      </w:r>
      <w:r w:rsidRPr="00F707CA">
        <w:rPr>
          <w:rFonts w:ascii="Trebuchet MS" w:hAnsi="Trebuchet MS"/>
          <w:sz w:val="20"/>
        </w:rPr>
        <w:t xml:space="preserve"> através do</w:t>
      </w:r>
      <w:r>
        <w:rPr>
          <w:rFonts w:ascii="Trebuchet MS" w:hAnsi="Trebuchet MS"/>
          <w:sz w:val="20"/>
        </w:rPr>
        <w:t>s métodos:</w:t>
      </w:r>
      <w:r w:rsidRPr="00F707CA">
        <w:rPr>
          <w:rFonts w:ascii="Trebuchet MS" w:hAnsi="Trebuchet MS"/>
          <w:sz w:val="20"/>
        </w:rPr>
        <w:t xml:space="preserve"> TTC, caspase-3 e libertação da Lactato desidrogenase (LDH);</w:t>
      </w:r>
      <w:r w:rsidR="00D97866" w:rsidRPr="00D97866">
        <w:rPr>
          <w:rFonts w:ascii="Trebuchet MS" w:hAnsi="Trebuchet MS" w:cs="Arial"/>
          <w:sz w:val="20"/>
          <w:lang w:eastAsia="pt-PT"/>
        </w:rPr>
        <w:t xml:space="preserve"> </w:t>
      </w:r>
    </w:p>
    <w:p w:rsidR="00F067CB" w:rsidRPr="00F067CB" w:rsidRDefault="00F067CB" w:rsidP="003B7012">
      <w:pPr>
        <w:autoSpaceDE w:val="0"/>
        <w:autoSpaceDN w:val="0"/>
        <w:adjustRightInd w:val="0"/>
        <w:spacing w:line="360" w:lineRule="auto"/>
        <w:ind w:firstLine="720"/>
        <w:jc w:val="both"/>
        <w:rPr>
          <w:rFonts w:ascii="Trebuchet MS" w:hAnsi="Trebuchet MS" w:cs="Arial"/>
          <w:sz w:val="20"/>
          <w:lang w:eastAsia="pt-PT"/>
        </w:rPr>
      </w:pPr>
      <w:r>
        <w:rPr>
          <w:rFonts w:ascii="Trebuchet MS" w:hAnsi="Trebuchet MS" w:cs="Arial"/>
          <w:sz w:val="20"/>
          <w:lang w:eastAsia="pt-PT"/>
        </w:rPr>
        <w:t xml:space="preserve">- </w:t>
      </w:r>
      <w:proofErr w:type="gramStart"/>
      <w:r>
        <w:rPr>
          <w:rFonts w:ascii="Trebuchet MS" w:hAnsi="Trebuchet MS" w:cs="Arial"/>
          <w:sz w:val="20"/>
          <w:lang w:eastAsia="pt-PT"/>
        </w:rPr>
        <w:t>comparar</w:t>
      </w:r>
      <w:proofErr w:type="gramEnd"/>
      <w:r>
        <w:rPr>
          <w:rFonts w:ascii="Trebuchet MS" w:hAnsi="Trebuchet MS" w:cs="Arial"/>
          <w:sz w:val="20"/>
          <w:lang w:eastAsia="pt-PT"/>
        </w:rPr>
        <w:t xml:space="preserve"> o efeito neuroprotector obtido por pré-condicionamento isquémico com o efeito obtido por pré-condiciomanento químico com agonistas do receptor A</w:t>
      </w:r>
      <w:r w:rsidRPr="00F067CB">
        <w:rPr>
          <w:rFonts w:ascii="Trebuchet MS" w:hAnsi="Trebuchet MS" w:cs="Arial"/>
          <w:sz w:val="20"/>
          <w:vertAlign w:val="subscript"/>
          <w:lang w:eastAsia="pt-PT"/>
        </w:rPr>
        <w:t>1</w:t>
      </w:r>
      <w:r>
        <w:rPr>
          <w:rFonts w:ascii="Trebuchet MS" w:hAnsi="Trebuchet MS" w:cs="Arial"/>
          <w:sz w:val="20"/>
          <w:lang w:eastAsia="pt-PT"/>
        </w:rPr>
        <w:t xml:space="preserve"> da adenosina.</w:t>
      </w:r>
    </w:p>
    <w:p w:rsidR="00886DCF" w:rsidRPr="00751D14" w:rsidRDefault="00886DCF"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Pr="00751D14" w:rsidRDefault="00744017" w:rsidP="00794914">
      <w:pPr>
        <w:pStyle w:val="Corpodetexto"/>
        <w:spacing w:line="360" w:lineRule="auto"/>
        <w:rPr>
          <w:rFonts w:ascii="Trebuchet MS" w:hAnsi="Trebuchet MS"/>
        </w:rPr>
      </w:pPr>
    </w:p>
    <w:p w:rsidR="00744017" w:rsidRDefault="00744017" w:rsidP="00794914">
      <w:pPr>
        <w:pStyle w:val="Corpodetexto"/>
        <w:spacing w:line="360" w:lineRule="auto"/>
        <w:rPr>
          <w:rFonts w:ascii="Trebuchet MS" w:hAnsi="Trebuchet MS"/>
        </w:rPr>
      </w:pPr>
    </w:p>
    <w:p w:rsidR="00CC653E" w:rsidRDefault="00CC653E" w:rsidP="00794914">
      <w:pPr>
        <w:pStyle w:val="Corpodetexto"/>
        <w:spacing w:line="360" w:lineRule="auto"/>
        <w:rPr>
          <w:rFonts w:ascii="Trebuchet MS" w:hAnsi="Trebuchet MS"/>
        </w:rPr>
      </w:pPr>
    </w:p>
    <w:p w:rsidR="00CC653E" w:rsidRDefault="00CC653E" w:rsidP="00794914">
      <w:pPr>
        <w:pStyle w:val="Corpodetexto"/>
        <w:spacing w:line="360" w:lineRule="auto"/>
        <w:rPr>
          <w:rFonts w:ascii="Trebuchet MS" w:hAnsi="Trebuchet MS"/>
        </w:rPr>
      </w:pPr>
    </w:p>
    <w:p w:rsidR="00CC653E" w:rsidRPr="00751D14" w:rsidRDefault="00CC653E" w:rsidP="00794914">
      <w:pPr>
        <w:pStyle w:val="Corpodetexto"/>
        <w:spacing w:line="360" w:lineRule="auto"/>
        <w:rPr>
          <w:rFonts w:ascii="Trebuchet MS" w:hAnsi="Trebuchet MS"/>
        </w:rPr>
      </w:pPr>
    </w:p>
    <w:p w:rsidR="00886DCF" w:rsidRDefault="00886DCF" w:rsidP="00794914">
      <w:pPr>
        <w:pStyle w:val="Corpodetexto"/>
        <w:spacing w:line="360" w:lineRule="auto"/>
        <w:rPr>
          <w:rFonts w:ascii="Trebuchet MS" w:hAnsi="Trebuchet MS"/>
        </w:rPr>
      </w:pPr>
    </w:p>
    <w:p w:rsidR="003B7012" w:rsidRDefault="003B7012" w:rsidP="00794914">
      <w:pPr>
        <w:pStyle w:val="Corpodetexto"/>
        <w:spacing w:line="360" w:lineRule="auto"/>
        <w:rPr>
          <w:rFonts w:ascii="Trebuchet MS" w:hAnsi="Trebuchet MS"/>
        </w:rPr>
      </w:pPr>
    </w:p>
    <w:p w:rsidR="004B0FE4" w:rsidRDefault="004B0FE4" w:rsidP="00794914">
      <w:pPr>
        <w:pStyle w:val="Corpodetexto"/>
        <w:spacing w:line="360" w:lineRule="auto"/>
        <w:rPr>
          <w:rFonts w:ascii="Trebuchet MS" w:hAnsi="Trebuchet MS"/>
        </w:rPr>
      </w:pPr>
    </w:p>
    <w:p w:rsidR="00727764" w:rsidRPr="00751D14" w:rsidRDefault="0035151F" w:rsidP="00727764">
      <w:pPr>
        <w:spacing w:line="360" w:lineRule="auto"/>
        <w:jc w:val="both"/>
        <w:rPr>
          <w:rFonts w:ascii="Trebuchet MS" w:hAnsi="Trebuchet MS"/>
          <w:lang w:eastAsia="pt-PT"/>
        </w:rPr>
      </w:pPr>
      <w:r>
        <w:rPr>
          <w:rFonts w:ascii="Trebuchet MS" w:hAnsi="Trebuchet MS"/>
          <w:noProof/>
          <w:lang w:eastAsia="pt-PT"/>
        </w:rPr>
        <w:lastRenderedPageBreak/>
        <w:pict>
          <v:group id="_x0000_s3168" style="position:absolute;left:0;text-align:left;margin-left:-1.15pt;margin-top:-.55pt;width:426.9pt;height:34.1pt;z-index:251667968" coordorigin="1678,3480" coordsize="8538,472">
            <v:shape id="_x0000_s3169" type="#_x0000_t202" style="position:absolute;left:1678;top:3480;width:8538;height:454" fillcolor="#669" stroked="f" strokecolor="#669" strokeweight="1pt">
              <v:fill opacity="46531f" color2="#ccdaec" o:opacity2="54395f" rotate="t" focusposition=".5,.5" focussize="" focus="100%" type="gradient"/>
              <v:textbox style="mso-next-textbox:#_x0000_s3169" inset=",0,,0">
                <w:txbxContent>
                  <w:p w:rsidR="00046EA7" w:rsidRPr="002861BA" w:rsidRDefault="00046EA7" w:rsidP="002861BA">
                    <w:pPr>
                      <w:autoSpaceDE w:val="0"/>
                      <w:autoSpaceDN w:val="0"/>
                      <w:adjustRightInd w:val="0"/>
                      <w:spacing w:before="60"/>
                      <w:jc w:val="both"/>
                      <w:rPr>
                        <w:rFonts w:ascii="Candara" w:hAnsi="Candara" w:cs="Bookman Old Style"/>
                        <w:b/>
                        <w:shadow/>
                        <w:color w:val="333399"/>
                        <w:sz w:val="44"/>
                        <w:szCs w:val="28"/>
                        <w:lang w:val="pt-BR"/>
                      </w:rPr>
                    </w:pPr>
                    <w:r w:rsidRPr="002861BA">
                      <w:rPr>
                        <w:rFonts w:ascii="Candara" w:hAnsi="Candara"/>
                        <w:b/>
                        <w:shadow/>
                        <w:color w:val="333399"/>
                        <w:sz w:val="44"/>
                        <w:szCs w:val="28"/>
                        <w:lang w:val="pt-BR"/>
                      </w:rPr>
                      <w:t>3. Parte Experimental</w:t>
                    </w:r>
                  </w:p>
                  <w:p w:rsidR="00046EA7" w:rsidRPr="00C52C26" w:rsidRDefault="00046EA7" w:rsidP="002861BA">
                    <w:pPr>
                      <w:ind w:hanging="142"/>
                      <w:rPr>
                        <w:rFonts w:ascii="Candara" w:hAnsi="Candara"/>
                      </w:rPr>
                    </w:pPr>
                  </w:p>
                </w:txbxContent>
              </v:textbox>
            </v:shape>
            <v:shape id="_x0000_s3170" type="#_x0000_t32" style="position:absolute;left:1678;top:3952;width:8538;height:0" o:connectortype="straight" strokecolor="#339" strokeweight="1.5pt"/>
          </v:group>
        </w:pict>
      </w:r>
    </w:p>
    <w:p w:rsidR="00727764" w:rsidRPr="00751D14" w:rsidRDefault="00727764" w:rsidP="00727764">
      <w:pPr>
        <w:rPr>
          <w:rFonts w:ascii="Trebuchet MS" w:hAnsi="Trebuchet MS"/>
          <w:b/>
          <w:shadow/>
          <w:color w:val="333399"/>
          <w:sz w:val="26"/>
          <w:szCs w:val="26"/>
        </w:rPr>
      </w:pPr>
    </w:p>
    <w:p w:rsidR="002861BA" w:rsidRDefault="002861BA" w:rsidP="002861BA">
      <w:pPr>
        <w:rPr>
          <w:rFonts w:ascii="Trebuchet MS" w:hAnsi="Trebuchet MS"/>
          <w:b/>
          <w:shadow/>
          <w:color w:val="333399"/>
          <w:sz w:val="26"/>
          <w:szCs w:val="26"/>
        </w:rPr>
      </w:pPr>
    </w:p>
    <w:p w:rsidR="00727764" w:rsidRPr="002861BA" w:rsidRDefault="00727764" w:rsidP="00727764">
      <w:pPr>
        <w:spacing w:after="240"/>
        <w:rPr>
          <w:rFonts w:ascii="Trebuchet MS" w:hAnsi="Trebuchet MS"/>
          <w:b/>
          <w:smallCaps/>
          <w:shadow/>
          <w:color w:val="333399"/>
          <w:sz w:val="28"/>
          <w:szCs w:val="28"/>
        </w:rPr>
      </w:pPr>
      <w:r w:rsidRPr="002861BA">
        <w:rPr>
          <w:rFonts w:ascii="Trebuchet MS" w:hAnsi="Trebuchet MS"/>
          <w:b/>
          <w:shadow/>
          <w:color w:val="333399"/>
          <w:sz w:val="28"/>
          <w:szCs w:val="28"/>
        </w:rPr>
        <w:t xml:space="preserve">3.1. </w:t>
      </w:r>
      <w:r w:rsidRPr="002861BA">
        <w:rPr>
          <w:rFonts w:ascii="Trebuchet MS" w:hAnsi="Trebuchet MS"/>
          <w:b/>
          <w:smallCaps/>
          <w:shadow/>
          <w:color w:val="333399"/>
          <w:sz w:val="28"/>
          <w:szCs w:val="28"/>
        </w:rPr>
        <w:t>Reagentes</w:t>
      </w:r>
    </w:p>
    <w:p w:rsidR="00727764" w:rsidRPr="00751D14" w:rsidRDefault="00727764" w:rsidP="00727764">
      <w:pPr>
        <w:spacing w:line="360" w:lineRule="auto"/>
        <w:ind w:firstLine="180"/>
        <w:jc w:val="both"/>
        <w:rPr>
          <w:rFonts w:ascii="Trebuchet MS" w:hAnsi="Trebuchet MS"/>
          <w:b/>
          <w:smallCaps/>
          <w:shadow/>
        </w:rPr>
      </w:pPr>
      <w:r w:rsidRPr="00751D14">
        <w:rPr>
          <w:rFonts w:ascii="Trebuchet MS" w:hAnsi="Trebuchet MS"/>
        </w:rPr>
        <w:tab/>
      </w:r>
      <w:r w:rsidRPr="009E323D">
        <w:rPr>
          <w:rFonts w:ascii="Trebuchet MS" w:hAnsi="Trebuchet MS"/>
          <w:sz w:val="20"/>
        </w:rPr>
        <w:t xml:space="preserve">Os </w:t>
      </w:r>
      <w:r w:rsidRPr="009E323D">
        <w:rPr>
          <w:rFonts w:ascii="Trebuchet MS" w:hAnsi="Trebuchet MS"/>
          <w:b/>
          <w:sz w:val="20"/>
        </w:rPr>
        <w:t xml:space="preserve">reagentes </w:t>
      </w:r>
      <w:r w:rsidRPr="009E323D">
        <w:rPr>
          <w:rFonts w:ascii="Trebuchet MS" w:hAnsi="Trebuchet MS"/>
          <w:sz w:val="20"/>
        </w:rPr>
        <w:t>utilizados ao longo do trabalho experimental foram obtidos a partir dos seguintes fabricantes: Sigma-Aldrich Co. (St. Louis, MO, USA), Pronalab S.A. (Lisboa, Port</w:t>
      </w:r>
      <w:r w:rsidRPr="009E323D">
        <w:rPr>
          <w:rFonts w:ascii="Trebuchet MS" w:hAnsi="Trebuchet MS"/>
          <w:sz w:val="20"/>
        </w:rPr>
        <w:t>u</w:t>
      </w:r>
      <w:r w:rsidRPr="009E323D">
        <w:rPr>
          <w:rFonts w:ascii="Trebuchet MS" w:hAnsi="Trebuchet MS"/>
          <w:sz w:val="20"/>
        </w:rPr>
        <w:t>gal), Panreac Química SA (Barcelona, Spain) e Merck KGaA (Darmstadt, Germany), excepto quando discriminados ao longo do procedimento experimental.</w:t>
      </w:r>
    </w:p>
    <w:p w:rsidR="00727764" w:rsidRPr="00751D14" w:rsidRDefault="00727764" w:rsidP="00727764">
      <w:pPr>
        <w:ind w:firstLine="180"/>
        <w:rPr>
          <w:rFonts w:ascii="Trebuchet MS" w:hAnsi="Trebuchet MS"/>
          <w:b/>
          <w:smallCaps/>
          <w:shadow/>
          <w:color w:val="333399"/>
          <w:sz w:val="16"/>
          <w:szCs w:val="16"/>
        </w:rPr>
      </w:pPr>
    </w:p>
    <w:p w:rsidR="00727764" w:rsidRPr="002861BA" w:rsidRDefault="00727764" w:rsidP="00727764">
      <w:pPr>
        <w:spacing w:after="240"/>
        <w:rPr>
          <w:rFonts w:ascii="Trebuchet MS" w:hAnsi="Trebuchet MS"/>
          <w:b/>
          <w:smallCaps/>
          <w:shadow/>
          <w:color w:val="333399"/>
          <w:sz w:val="28"/>
          <w:szCs w:val="28"/>
        </w:rPr>
      </w:pPr>
      <w:r w:rsidRPr="002861BA">
        <w:rPr>
          <w:rFonts w:ascii="Trebuchet MS" w:hAnsi="Trebuchet MS"/>
          <w:b/>
          <w:shadow/>
          <w:color w:val="333399"/>
          <w:sz w:val="28"/>
          <w:szCs w:val="28"/>
        </w:rPr>
        <w:t xml:space="preserve">3.2. </w:t>
      </w:r>
      <w:r w:rsidRPr="002861BA">
        <w:rPr>
          <w:rFonts w:ascii="Trebuchet MS" w:hAnsi="Trebuchet MS"/>
          <w:b/>
          <w:smallCaps/>
          <w:shadow/>
          <w:color w:val="333399"/>
          <w:sz w:val="28"/>
          <w:szCs w:val="28"/>
        </w:rPr>
        <w:t>Material e Instrumentação</w:t>
      </w:r>
    </w:p>
    <w:p w:rsidR="00727764" w:rsidRPr="009E323D" w:rsidRDefault="00727764" w:rsidP="009E5E77">
      <w:pPr>
        <w:spacing w:after="120" w:line="360" w:lineRule="auto"/>
        <w:ind w:firstLine="708"/>
        <w:jc w:val="both"/>
        <w:rPr>
          <w:rFonts w:ascii="Trebuchet MS" w:hAnsi="Trebuchet MS"/>
          <w:sz w:val="20"/>
        </w:rPr>
      </w:pPr>
      <w:r w:rsidRPr="009E323D">
        <w:rPr>
          <w:rFonts w:ascii="Trebuchet MS" w:hAnsi="Trebuchet MS"/>
          <w:sz w:val="20"/>
        </w:rPr>
        <w:t xml:space="preserve">O </w:t>
      </w:r>
      <w:r w:rsidRPr="009E323D">
        <w:rPr>
          <w:rFonts w:ascii="Trebuchet MS" w:hAnsi="Trebuchet MS"/>
          <w:b/>
          <w:sz w:val="20"/>
        </w:rPr>
        <w:t xml:space="preserve">material </w:t>
      </w:r>
      <w:r w:rsidRPr="009E323D">
        <w:rPr>
          <w:rFonts w:ascii="Trebuchet MS" w:hAnsi="Trebuchet MS"/>
          <w:sz w:val="20"/>
        </w:rPr>
        <w:t>utilizado no decorrer do trabalho laboratorial foi o corrente num laborat</w:t>
      </w:r>
      <w:r w:rsidRPr="009E323D">
        <w:rPr>
          <w:rFonts w:ascii="Trebuchet MS" w:hAnsi="Trebuchet MS"/>
          <w:sz w:val="20"/>
        </w:rPr>
        <w:t>ó</w:t>
      </w:r>
      <w:r w:rsidRPr="009E323D">
        <w:rPr>
          <w:rFonts w:ascii="Trebuchet MS" w:hAnsi="Trebuchet MS"/>
          <w:sz w:val="20"/>
        </w:rPr>
        <w:t>rio de investigação em Bioquímica, destacam-se apenas os mais relevantes:</w:t>
      </w:r>
    </w:p>
    <w:p w:rsidR="00727764" w:rsidRPr="009E323D" w:rsidRDefault="00727764" w:rsidP="00727764">
      <w:pPr>
        <w:spacing w:after="200" w:line="360" w:lineRule="auto"/>
        <w:ind w:left="720"/>
        <w:contextualSpacing/>
        <w:jc w:val="both"/>
        <w:rPr>
          <w:rFonts w:ascii="Trebuchet MS" w:eastAsiaTheme="minorHAnsi" w:hAnsi="Trebuchet MS" w:cstheme="minorBidi"/>
          <w:sz w:val="20"/>
          <w:lang w:val="en-US"/>
        </w:rPr>
      </w:pPr>
      <w:r w:rsidRPr="009E323D">
        <w:rPr>
          <w:rFonts w:ascii="Trebuchet MS" w:eastAsiaTheme="minorHAnsi" w:hAnsi="Trebuchet MS" w:cstheme="minorBidi"/>
          <w:noProof/>
          <w:sz w:val="20"/>
          <w:lang w:eastAsia="pt-PT"/>
        </w:rPr>
        <w:drawing>
          <wp:anchor distT="0" distB="0" distL="114300" distR="114300" simplePos="0" relativeHeight="251668992" behindDoc="1" locked="0" layoutInCell="1" allowOverlap="1">
            <wp:simplePos x="0" y="0"/>
            <wp:positionH relativeFrom="column">
              <wp:posOffset>4256405</wp:posOffset>
            </wp:positionH>
            <wp:positionV relativeFrom="paragraph">
              <wp:posOffset>93980</wp:posOffset>
            </wp:positionV>
            <wp:extent cx="908685" cy="908685"/>
            <wp:effectExtent l="19050" t="0" r="5715" b="0"/>
            <wp:wrapTight wrapText="bothSides">
              <wp:wrapPolygon edited="0">
                <wp:start x="-453" y="0"/>
                <wp:lineTo x="-453" y="21283"/>
                <wp:lineTo x="21736" y="21283"/>
                <wp:lineTo x="21736" y="0"/>
                <wp:lineTo x="-453" y="0"/>
              </wp:wrapPolygon>
            </wp:wrapTight>
            <wp:docPr id="2" name="Imagem 61" descr="http://www.bdbiosciences.com/external_files/dl/img/prod/web_images/2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www.bdbiosciences.com/external_files/dl/img/prod/web_images/2350.jpg"/>
                    <pic:cNvPicPr>
                      <a:picLocks noChangeAspect="1" noChangeArrowheads="1"/>
                    </pic:cNvPicPr>
                  </pic:nvPicPr>
                  <pic:blipFill>
                    <a:blip r:embed="rId17" cstate="print"/>
                    <a:srcRect/>
                    <a:stretch>
                      <a:fillRect/>
                    </a:stretch>
                  </pic:blipFill>
                  <pic:spPr bwMode="auto">
                    <a:xfrm>
                      <a:off x="0" y="0"/>
                      <a:ext cx="908685" cy="908685"/>
                    </a:xfrm>
                    <a:prstGeom prst="rect">
                      <a:avLst/>
                    </a:prstGeom>
                    <a:noFill/>
                    <a:ln w="9525">
                      <a:noFill/>
                      <a:miter lim="800000"/>
                      <a:headEnd/>
                      <a:tailEnd/>
                    </a:ln>
                  </pic:spPr>
                </pic:pic>
              </a:graphicData>
            </a:graphic>
          </wp:anchor>
        </w:drawing>
      </w: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lang w:val="en-US"/>
        </w:rPr>
        <w:t xml:space="preserve"> Material de dissecação; </w:t>
      </w:r>
    </w:p>
    <w:p w:rsidR="00727764" w:rsidRPr="009E323D" w:rsidRDefault="00727764" w:rsidP="00727764">
      <w:pPr>
        <w:spacing w:after="200" w:line="360" w:lineRule="auto"/>
        <w:ind w:left="720"/>
        <w:contextualSpacing/>
        <w:jc w:val="both"/>
        <w:rPr>
          <w:rFonts w:ascii="Trebuchet MS" w:eastAsiaTheme="minorHAnsi" w:hAnsi="Trebuchet MS" w:cstheme="minorBidi"/>
          <w:sz w:val="20"/>
          <w:lang w:val="en-US"/>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lang w:val="en-US"/>
        </w:rPr>
        <w:t xml:space="preserve"> </w:t>
      </w:r>
      <w:r w:rsidR="00B14C53">
        <w:rPr>
          <w:rFonts w:ascii="Trebuchet MS" w:eastAsiaTheme="minorHAnsi" w:hAnsi="Trebuchet MS" w:cstheme="minorBidi"/>
          <w:sz w:val="20"/>
          <w:lang w:val="en-US"/>
        </w:rPr>
        <w:t>“</w:t>
      </w:r>
      <w:r w:rsidRPr="009E323D">
        <w:rPr>
          <w:rFonts w:ascii="Trebuchet MS" w:eastAsiaTheme="minorHAnsi" w:hAnsi="Trebuchet MS" w:cstheme="minorBidi"/>
          <w:sz w:val="20"/>
          <w:lang w:val="en-US"/>
        </w:rPr>
        <w:t>Cell strainers</w:t>
      </w:r>
      <w:r w:rsidR="00B14C53">
        <w:rPr>
          <w:rFonts w:ascii="Trebuchet MS" w:eastAsiaTheme="minorHAnsi" w:hAnsi="Trebuchet MS" w:cstheme="minorBidi"/>
          <w:sz w:val="20"/>
          <w:lang w:val="en-US"/>
        </w:rPr>
        <w:t>”</w:t>
      </w:r>
      <w:r w:rsidRPr="009E323D">
        <w:rPr>
          <w:rFonts w:ascii="Trebuchet MS" w:eastAsiaTheme="minorHAnsi" w:hAnsi="Trebuchet MS" w:cstheme="minorBidi"/>
          <w:sz w:val="20"/>
          <w:lang w:val="en-US"/>
        </w:rPr>
        <w:t xml:space="preserve"> (70</w:t>
      </w:r>
      <w:r w:rsidRPr="009E323D">
        <w:rPr>
          <w:rFonts w:ascii="Trebuchet MS" w:eastAsiaTheme="minorHAnsi" w:hAnsi="Trebuchet MS" w:cstheme="minorBidi"/>
          <w:sz w:val="20"/>
        </w:rPr>
        <w:t>μ</w:t>
      </w:r>
      <w:r w:rsidRPr="009E323D">
        <w:rPr>
          <w:rFonts w:ascii="Trebuchet MS" w:eastAsiaTheme="minorHAnsi" w:hAnsi="Trebuchet MS" w:cstheme="minorBidi"/>
          <w:sz w:val="20"/>
          <w:lang w:val="en-US"/>
        </w:rPr>
        <w:t>m Nylon</w:t>
      </w:r>
      <w:r w:rsidR="00B14C53">
        <w:rPr>
          <w:rFonts w:ascii="Trebuchet MS" w:eastAsiaTheme="minorHAnsi" w:hAnsi="Trebuchet MS" w:cstheme="minorBidi"/>
          <w:sz w:val="20"/>
          <w:lang w:val="en-US"/>
        </w:rPr>
        <w:t>;</w:t>
      </w:r>
      <w:r w:rsidRPr="009E323D">
        <w:rPr>
          <w:rFonts w:ascii="Trebuchet MS" w:eastAsiaTheme="minorHAnsi" w:hAnsi="Trebuchet MS" w:cstheme="minorBidi"/>
          <w:sz w:val="20"/>
          <w:lang w:val="en-US"/>
        </w:rPr>
        <w:t xml:space="preserve"> Becton Dickinson Labware, Franklin Lakes, NJ);</w:t>
      </w:r>
    </w:p>
    <w:p w:rsidR="00727764" w:rsidRPr="009E323D" w:rsidRDefault="0035151F" w:rsidP="00727764">
      <w:pPr>
        <w:spacing w:after="200" w:line="360" w:lineRule="auto"/>
        <w:ind w:left="720"/>
        <w:contextualSpacing/>
        <w:jc w:val="both"/>
        <w:rPr>
          <w:rFonts w:ascii="Trebuchet MS" w:eastAsiaTheme="minorHAnsi" w:hAnsi="Trebuchet MS" w:cstheme="minorBidi"/>
          <w:sz w:val="20"/>
        </w:rPr>
      </w:pPr>
      <w:r w:rsidRPr="0035151F">
        <w:rPr>
          <w:rFonts w:ascii="Trebuchet MS" w:eastAsiaTheme="minorHAnsi" w:hAnsi="Trebuchet MS" w:cs="Arial"/>
          <w:noProof/>
          <w:sz w:val="16"/>
          <w:szCs w:val="20"/>
        </w:rPr>
        <w:pict>
          <v:shape id="_x0000_s3171" type="#_x0000_t202" style="position:absolute;left:0;text-align:left;margin-left:286.45pt;margin-top:18.65pt;width:182.6pt;height:60.4pt;z-index:251670016;mso-width-relative:margin;mso-height-relative:margin" stroked="f">
            <v:textbox>
              <w:txbxContent>
                <w:p w:rsidR="00046EA7" w:rsidRPr="009E323D" w:rsidRDefault="00046EA7" w:rsidP="00727764">
                  <w:pPr>
                    <w:jc w:val="center"/>
                    <w:rPr>
                      <w:rFonts w:ascii="Trebuchet MS" w:hAnsi="Trebuchet MS"/>
                      <w:sz w:val="18"/>
                      <w:szCs w:val="18"/>
                    </w:rPr>
                  </w:pPr>
                  <w:r w:rsidRPr="009E323D">
                    <w:rPr>
                      <w:rFonts w:ascii="Trebuchet MS" w:hAnsi="Trebuchet MS"/>
                      <w:b/>
                      <w:sz w:val="18"/>
                      <w:szCs w:val="18"/>
                    </w:rPr>
                    <w:t>Fig.3.1.</w:t>
                  </w:r>
                  <w:r w:rsidRPr="009E323D">
                    <w:rPr>
                      <w:rFonts w:ascii="Trebuchet MS" w:hAnsi="Trebuchet MS"/>
                      <w:sz w:val="18"/>
                      <w:szCs w:val="18"/>
                    </w:rPr>
                    <w:t xml:space="preserve"> </w:t>
                  </w:r>
                  <w:r w:rsidRPr="009E323D">
                    <w:rPr>
                      <w:rFonts w:ascii="Trebuchet MS" w:hAnsi="Trebuchet MS"/>
                      <w:i/>
                      <w:sz w:val="18"/>
                      <w:szCs w:val="18"/>
                    </w:rPr>
                    <w:t>Cell strainer</w:t>
                  </w:r>
                  <w:r w:rsidRPr="009E323D">
                    <w:rPr>
                      <w:rFonts w:ascii="Trebuchet MS" w:hAnsi="Trebuchet MS"/>
                      <w:sz w:val="18"/>
                      <w:szCs w:val="18"/>
                    </w:rPr>
                    <w:t xml:space="preserve"> (Adaptado de </w:t>
                  </w:r>
                  <w:hyperlink r:id="rId18" w:history="1">
                    <w:r w:rsidRPr="009E323D">
                      <w:rPr>
                        <w:rStyle w:val="Hiperligao"/>
                        <w:rFonts w:ascii="Trebuchet MS" w:hAnsi="Trebuchet MS"/>
                        <w:sz w:val="18"/>
                        <w:szCs w:val="18"/>
                      </w:rPr>
                      <w:t>http://www.bdbiosciences.com/ptProduct.jsp?prodId=364195&amp;key=cell+strainer&amp;param=search&amp;mterms=true</w:t>
                    </w:r>
                  </w:hyperlink>
                  <w:r w:rsidRPr="009E323D">
                    <w:rPr>
                      <w:rFonts w:ascii="Trebuchet MS" w:hAnsi="Trebuchet MS"/>
                      <w:sz w:val="18"/>
                      <w:szCs w:val="18"/>
                    </w:rPr>
                    <w:t xml:space="preserve"> - Consultado em 10-09-2010).</w:t>
                  </w:r>
                </w:p>
              </w:txbxContent>
            </v:textbox>
          </v:shape>
        </w:pict>
      </w:r>
      <w:r w:rsidR="00727764" w:rsidRPr="009E323D">
        <w:rPr>
          <w:rFonts w:ascii="Trebuchet MS" w:eastAsiaTheme="minorHAnsi" w:hAnsi="Trebuchet MS" w:cstheme="minorBidi"/>
          <w:sz w:val="20"/>
        </w:rPr>
        <w:sym w:font="Wingdings" w:char="F046"/>
      </w:r>
      <w:r w:rsidR="00727764" w:rsidRPr="009E323D">
        <w:rPr>
          <w:rFonts w:ascii="Trebuchet MS" w:eastAsiaTheme="minorHAnsi" w:hAnsi="Trebuchet MS" w:cstheme="minorBidi"/>
          <w:sz w:val="20"/>
        </w:rPr>
        <w:t xml:space="preserve"> Garrafa de azoto (100% N</w:t>
      </w:r>
      <w:r w:rsidR="00727764" w:rsidRPr="009E323D">
        <w:rPr>
          <w:rFonts w:ascii="Trebuchet MS" w:eastAsiaTheme="minorHAnsi" w:hAnsi="Trebuchet MS" w:cstheme="minorBidi"/>
          <w:sz w:val="20"/>
          <w:vertAlign w:val="subscript"/>
        </w:rPr>
        <w:t>2</w:t>
      </w:r>
      <w:r w:rsidR="00727764" w:rsidRPr="009E323D">
        <w:rPr>
          <w:rFonts w:ascii="Trebuchet MS" w:eastAsiaTheme="minorHAnsi" w:hAnsi="Trebuchet MS" w:cstheme="minorBidi"/>
          <w:sz w:val="20"/>
        </w:rPr>
        <w:t>);</w:t>
      </w:r>
    </w:p>
    <w:p w:rsidR="00727764" w:rsidRPr="009E323D" w:rsidRDefault="00727764" w:rsidP="00727764">
      <w:pPr>
        <w:spacing w:after="200" w:line="360" w:lineRule="auto"/>
        <w:ind w:left="720"/>
        <w:contextualSpacing/>
        <w:jc w:val="both"/>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 xml:space="preserve"> Garrafa de carbogénio (95% O</w:t>
      </w:r>
      <w:r w:rsidRPr="009E323D">
        <w:rPr>
          <w:rFonts w:ascii="Trebuchet MS" w:eastAsiaTheme="minorHAnsi" w:hAnsi="Trebuchet MS" w:cstheme="minorBidi"/>
          <w:sz w:val="20"/>
          <w:vertAlign w:val="subscript"/>
        </w:rPr>
        <w:t>2</w:t>
      </w:r>
      <w:r w:rsidRPr="009E323D">
        <w:rPr>
          <w:rFonts w:ascii="Trebuchet MS" w:eastAsiaTheme="minorHAnsi" w:hAnsi="Trebuchet MS" w:cstheme="minorBidi"/>
          <w:sz w:val="20"/>
        </w:rPr>
        <w:t xml:space="preserve"> + 5% CO</w:t>
      </w:r>
      <w:r w:rsidRPr="009E323D">
        <w:rPr>
          <w:rFonts w:ascii="Trebuchet MS" w:eastAsiaTheme="minorHAnsi" w:hAnsi="Trebuchet MS" w:cstheme="minorBidi"/>
          <w:sz w:val="20"/>
          <w:vertAlign w:val="subscript"/>
        </w:rPr>
        <w:t>2</w:t>
      </w:r>
      <w:r w:rsidRPr="009E323D">
        <w:rPr>
          <w:rFonts w:ascii="Trebuchet MS" w:eastAsiaTheme="minorHAnsi" w:hAnsi="Trebuchet MS" w:cstheme="minorBidi"/>
          <w:sz w:val="20"/>
        </w:rPr>
        <w:t>);</w:t>
      </w:r>
      <w:r w:rsidRPr="009E323D">
        <w:rPr>
          <w:rFonts w:ascii="Trebuchet MS" w:eastAsiaTheme="minorHAnsi" w:hAnsi="Trebuchet MS" w:cs="Arial"/>
          <w:sz w:val="16"/>
          <w:szCs w:val="20"/>
        </w:rPr>
        <w:t xml:space="preserve"> </w:t>
      </w:r>
    </w:p>
    <w:p w:rsidR="00727764" w:rsidRPr="009E323D" w:rsidRDefault="00727764" w:rsidP="00727764">
      <w:pPr>
        <w:spacing w:after="200" w:line="360" w:lineRule="auto"/>
        <w:ind w:left="720"/>
        <w:contextualSpacing/>
        <w:jc w:val="both"/>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 xml:space="preserve"> Guilhotina; </w:t>
      </w:r>
    </w:p>
    <w:p w:rsidR="00727764" w:rsidRPr="009E323D" w:rsidRDefault="00727764" w:rsidP="00727764">
      <w:pPr>
        <w:spacing w:line="360" w:lineRule="auto"/>
        <w:ind w:left="720"/>
        <w:contextualSpacing/>
        <w:jc w:val="both"/>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 xml:space="preserve"> Termómetro;</w:t>
      </w:r>
    </w:p>
    <w:p w:rsidR="00727764" w:rsidRDefault="00727764" w:rsidP="00727764">
      <w:pPr>
        <w:spacing w:line="360" w:lineRule="auto"/>
        <w:ind w:left="720"/>
        <w:contextualSpacing/>
        <w:jc w:val="both"/>
        <w:rPr>
          <w:rFonts w:ascii="Trebuchet MS" w:eastAsiaTheme="minorHAnsi" w:hAnsi="Trebuchet MS" w:cstheme="minorBidi"/>
          <w:sz w:val="16"/>
          <w:szCs w:val="16"/>
        </w:rPr>
      </w:pPr>
    </w:p>
    <w:p w:rsidR="009E5E77" w:rsidRPr="00751D14" w:rsidRDefault="009E5E77" w:rsidP="00727764">
      <w:pPr>
        <w:spacing w:line="360" w:lineRule="auto"/>
        <w:ind w:left="720"/>
        <w:contextualSpacing/>
        <w:jc w:val="both"/>
        <w:rPr>
          <w:rFonts w:ascii="Trebuchet MS" w:eastAsiaTheme="minorHAnsi" w:hAnsi="Trebuchet MS" w:cstheme="minorBidi"/>
          <w:sz w:val="16"/>
          <w:szCs w:val="16"/>
        </w:rPr>
      </w:pPr>
    </w:p>
    <w:p w:rsidR="00727764" w:rsidRPr="009E323D" w:rsidRDefault="00B14C53" w:rsidP="00727764">
      <w:pPr>
        <w:spacing w:line="360" w:lineRule="auto"/>
        <w:ind w:firstLine="708"/>
        <w:jc w:val="both"/>
        <w:rPr>
          <w:rFonts w:ascii="Trebuchet MS" w:hAnsi="Trebuchet MS"/>
          <w:sz w:val="20"/>
          <w:szCs w:val="20"/>
        </w:rPr>
      </w:pPr>
      <w:r w:rsidRPr="00B14C53">
        <w:rPr>
          <w:rFonts w:ascii="Trebuchet MS" w:hAnsi="Trebuchet MS"/>
          <w:b/>
          <w:sz w:val="20"/>
          <w:szCs w:val="20"/>
        </w:rPr>
        <w:t>A</w:t>
      </w:r>
      <w:r w:rsidR="00727764" w:rsidRPr="009E323D">
        <w:rPr>
          <w:rFonts w:ascii="Trebuchet MS" w:hAnsi="Trebuchet MS"/>
          <w:b/>
          <w:sz w:val="20"/>
          <w:szCs w:val="20"/>
        </w:rPr>
        <w:t>parelhos/equipamentos</w:t>
      </w:r>
      <w:r w:rsidR="00727764" w:rsidRPr="009E323D">
        <w:rPr>
          <w:rFonts w:ascii="Trebuchet MS" w:hAnsi="Trebuchet MS"/>
          <w:sz w:val="20"/>
          <w:szCs w:val="20"/>
        </w:rPr>
        <w:t xml:space="preserve"> utilizados na realização do presente trabalho de investig</w:t>
      </w:r>
      <w:r w:rsidR="00727764" w:rsidRPr="009E323D">
        <w:rPr>
          <w:rFonts w:ascii="Trebuchet MS" w:hAnsi="Trebuchet MS"/>
          <w:sz w:val="20"/>
          <w:szCs w:val="20"/>
        </w:rPr>
        <w:t>a</w:t>
      </w:r>
      <w:r w:rsidR="00727764" w:rsidRPr="009E323D">
        <w:rPr>
          <w:rFonts w:ascii="Trebuchet MS" w:hAnsi="Trebuchet MS"/>
          <w:sz w:val="20"/>
          <w:szCs w:val="20"/>
        </w:rPr>
        <w:t>ção</w:t>
      </w:r>
      <w:r>
        <w:rPr>
          <w:rFonts w:ascii="Trebuchet MS" w:hAnsi="Trebuchet MS"/>
          <w:sz w:val="20"/>
          <w:szCs w:val="20"/>
        </w:rPr>
        <w:t>:</w:t>
      </w:r>
    </w:p>
    <w:p w:rsidR="00727764" w:rsidRPr="009E323D" w:rsidRDefault="00727764" w:rsidP="00727764">
      <w:pPr>
        <w:spacing w:line="360" w:lineRule="auto"/>
        <w:ind w:firstLine="708"/>
        <w:rPr>
          <w:rFonts w:ascii="Trebuchet MS" w:hAnsi="Trebuchet MS"/>
          <w:sz w:val="20"/>
          <w:szCs w:val="20"/>
        </w:rPr>
      </w:pPr>
      <w:r w:rsidRPr="009E323D">
        <w:rPr>
          <w:rFonts w:ascii="Trebuchet MS" w:eastAsiaTheme="minorHAnsi" w:hAnsi="Trebuchet MS" w:cstheme="minorBidi"/>
          <w:sz w:val="20"/>
          <w:szCs w:val="20"/>
        </w:rPr>
        <w:sym w:font="Wingdings" w:char="F046"/>
      </w:r>
      <w:r w:rsidRPr="009E323D">
        <w:rPr>
          <w:rFonts w:ascii="Trebuchet MS" w:hAnsi="Trebuchet MS"/>
          <w:sz w:val="20"/>
          <w:szCs w:val="20"/>
        </w:rPr>
        <w:t xml:space="preserve"> Agitador de vórtice: Velp scientific; </w:t>
      </w:r>
    </w:p>
    <w:p w:rsidR="00727764" w:rsidRPr="009E323D" w:rsidRDefault="00727764" w:rsidP="00727764">
      <w:pPr>
        <w:spacing w:line="360" w:lineRule="auto"/>
        <w:ind w:firstLine="708"/>
        <w:rPr>
          <w:rFonts w:ascii="Trebuchet MS" w:hAnsi="Trebuchet MS"/>
          <w:sz w:val="20"/>
          <w:szCs w:val="20"/>
        </w:rPr>
      </w:pPr>
      <w:r w:rsidRPr="009E323D">
        <w:rPr>
          <w:rFonts w:ascii="Trebuchet MS" w:eastAsiaTheme="minorHAnsi" w:hAnsi="Trebuchet MS" w:cstheme="minorBidi"/>
          <w:sz w:val="20"/>
          <w:szCs w:val="20"/>
        </w:rPr>
        <w:sym w:font="Wingdings" w:char="F046"/>
      </w:r>
      <w:r w:rsidRPr="009E323D">
        <w:rPr>
          <w:rFonts w:ascii="Trebuchet MS" w:hAnsi="Trebuchet MS"/>
          <w:sz w:val="20"/>
          <w:szCs w:val="20"/>
        </w:rPr>
        <w:t xml:space="preserve"> Agitador orbital: GFL; 300S;</w:t>
      </w:r>
    </w:p>
    <w:p w:rsidR="00727764" w:rsidRPr="009E323D" w:rsidRDefault="00727764" w:rsidP="00727764">
      <w:pPr>
        <w:spacing w:line="360" w:lineRule="auto"/>
        <w:ind w:left="720"/>
        <w:contextualSpacing/>
        <w:jc w:val="both"/>
        <w:rPr>
          <w:rFonts w:ascii="Trebuchet MS" w:eastAsiaTheme="minorHAnsi" w:hAnsi="Trebuchet MS" w:cstheme="minorBidi"/>
          <w:color w:val="365F91" w:themeColor="accent1" w:themeShade="BF"/>
          <w:sz w:val="20"/>
          <w:szCs w:val="20"/>
        </w:rPr>
      </w:pPr>
      <w:r w:rsidRPr="009E323D">
        <w:rPr>
          <w:rFonts w:ascii="Trebuchet MS" w:eastAsiaTheme="minorHAnsi" w:hAnsi="Trebuchet MS" w:cstheme="minorBidi"/>
          <w:sz w:val="20"/>
          <w:szCs w:val="20"/>
        </w:rPr>
        <w:sym w:font="Wingdings" w:char="F046"/>
      </w:r>
      <w:r w:rsidRPr="009E323D">
        <w:rPr>
          <w:rFonts w:ascii="Trebuchet MS" w:eastAsiaTheme="minorHAnsi" w:hAnsi="Trebuchet MS" w:cstheme="minorBidi"/>
          <w:sz w:val="20"/>
          <w:szCs w:val="20"/>
        </w:rPr>
        <w:t xml:space="preserve"> Banho termostatizado com agitação: Bibby; SBS 30;</w:t>
      </w:r>
    </w:p>
    <w:p w:rsidR="00727764" w:rsidRPr="009E323D" w:rsidRDefault="00727764" w:rsidP="00727764">
      <w:pPr>
        <w:spacing w:line="360" w:lineRule="auto"/>
        <w:ind w:left="720"/>
        <w:contextualSpacing/>
        <w:jc w:val="both"/>
        <w:rPr>
          <w:rFonts w:ascii="Trebuchet MS" w:eastAsiaTheme="minorHAnsi" w:hAnsi="Trebuchet MS" w:cstheme="minorBidi"/>
          <w:sz w:val="20"/>
          <w:szCs w:val="20"/>
        </w:rPr>
      </w:pPr>
      <w:r w:rsidRPr="009E323D">
        <w:rPr>
          <w:rFonts w:ascii="Trebuchet MS" w:eastAsiaTheme="minorHAnsi" w:hAnsi="Trebuchet MS" w:cstheme="minorBidi"/>
          <w:sz w:val="20"/>
          <w:szCs w:val="20"/>
        </w:rPr>
        <w:sym w:font="Wingdings" w:char="F046"/>
      </w:r>
      <w:r w:rsidRPr="009E323D">
        <w:rPr>
          <w:rFonts w:ascii="Trebuchet MS" w:eastAsiaTheme="minorHAnsi" w:hAnsi="Trebuchet MS" w:cstheme="minorBidi"/>
          <w:sz w:val="20"/>
          <w:szCs w:val="20"/>
        </w:rPr>
        <w:t xml:space="preserve"> Balança Analítica: Startorius; CP225D; precisão: ± 0,00001g;</w:t>
      </w:r>
    </w:p>
    <w:p w:rsidR="00727764" w:rsidRPr="009E323D" w:rsidRDefault="00727764" w:rsidP="00727764">
      <w:pPr>
        <w:spacing w:line="360" w:lineRule="auto"/>
        <w:ind w:left="720"/>
        <w:contextualSpacing/>
        <w:jc w:val="both"/>
        <w:rPr>
          <w:rFonts w:ascii="Trebuchet MS" w:eastAsiaTheme="minorHAnsi" w:hAnsi="Trebuchet MS" w:cstheme="minorBidi"/>
          <w:sz w:val="20"/>
          <w:szCs w:val="20"/>
        </w:rPr>
      </w:pPr>
      <w:r w:rsidRPr="009E323D">
        <w:rPr>
          <w:rFonts w:ascii="Trebuchet MS" w:eastAsiaTheme="minorHAnsi" w:hAnsi="Trebuchet MS" w:cstheme="minorBidi"/>
          <w:sz w:val="20"/>
          <w:szCs w:val="20"/>
        </w:rPr>
        <w:sym w:font="Wingdings" w:char="F046"/>
      </w:r>
      <w:r w:rsidRPr="009E323D">
        <w:rPr>
          <w:rFonts w:ascii="Trebuchet MS" w:eastAsiaTheme="minorHAnsi" w:hAnsi="Trebuchet MS" w:cstheme="minorBidi"/>
          <w:sz w:val="20"/>
          <w:szCs w:val="20"/>
        </w:rPr>
        <w:t xml:space="preserve"> Balança Técnica</w:t>
      </w:r>
      <w:r w:rsidR="00534FEB" w:rsidRPr="009E323D">
        <w:rPr>
          <w:rFonts w:ascii="Trebuchet MS" w:eastAsiaTheme="minorHAnsi" w:hAnsi="Trebuchet MS" w:cstheme="minorBidi"/>
          <w:sz w:val="20"/>
          <w:szCs w:val="20"/>
        </w:rPr>
        <w:t>;</w:t>
      </w:r>
    </w:p>
    <w:p w:rsidR="00727764" w:rsidRPr="009E323D" w:rsidRDefault="00727764" w:rsidP="00727764">
      <w:pPr>
        <w:spacing w:line="360" w:lineRule="auto"/>
        <w:ind w:left="720"/>
        <w:contextualSpacing/>
        <w:jc w:val="both"/>
        <w:rPr>
          <w:rFonts w:ascii="Trebuchet MS" w:eastAsiaTheme="minorHAnsi" w:hAnsi="Trebuchet MS" w:cstheme="minorBidi"/>
          <w:b/>
          <w:sz w:val="20"/>
          <w:szCs w:val="20"/>
        </w:rPr>
      </w:pPr>
      <w:r w:rsidRPr="009E323D">
        <w:rPr>
          <w:rFonts w:ascii="Trebuchet MS" w:eastAsiaTheme="minorHAnsi" w:hAnsi="Trebuchet MS" w:cstheme="minorBidi"/>
          <w:sz w:val="20"/>
          <w:szCs w:val="20"/>
        </w:rPr>
        <w:sym w:font="Wingdings" w:char="F046"/>
      </w:r>
      <w:r w:rsidRPr="009E323D">
        <w:rPr>
          <w:rFonts w:ascii="Trebuchet MS" w:eastAsiaTheme="minorHAnsi" w:hAnsi="Trebuchet MS" w:cstheme="minorBidi"/>
          <w:sz w:val="20"/>
          <w:szCs w:val="20"/>
        </w:rPr>
        <w:t xml:space="preserve"> Bomba peristáltica: MiniPuls 3 (Gilson);</w:t>
      </w:r>
    </w:p>
    <w:p w:rsidR="00727764" w:rsidRPr="009E323D" w:rsidRDefault="00727764" w:rsidP="00727764">
      <w:pPr>
        <w:spacing w:line="360" w:lineRule="auto"/>
        <w:ind w:left="720"/>
        <w:contextualSpacing/>
        <w:jc w:val="both"/>
        <w:rPr>
          <w:rFonts w:ascii="Trebuchet MS" w:eastAsiaTheme="minorHAnsi" w:hAnsi="Trebuchet MS" w:cstheme="minorBidi"/>
          <w:sz w:val="20"/>
          <w:szCs w:val="20"/>
        </w:rPr>
      </w:pPr>
      <w:r w:rsidRPr="009E323D">
        <w:rPr>
          <w:rFonts w:ascii="Trebuchet MS" w:eastAsiaTheme="minorHAnsi" w:hAnsi="Trebuchet MS" w:cstheme="minorBidi"/>
          <w:sz w:val="20"/>
          <w:szCs w:val="20"/>
        </w:rPr>
        <w:sym w:font="Wingdings" w:char="F046"/>
      </w:r>
      <w:r w:rsidRPr="009E323D">
        <w:rPr>
          <w:rFonts w:ascii="Trebuchet MS" w:eastAsiaTheme="minorHAnsi" w:hAnsi="Trebuchet MS" w:cstheme="minorBidi"/>
          <w:sz w:val="20"/>
          <w:szCs w:val="20"/>
        </w:rPr>
        <w:t>Centrifuga de alta velocidade: Sigma, 3-18K;</w:t>
      </w:r>
    </w:p>
    <w:p w:rsidR="00727764" w:rsidRPr="009E323D" w:rsidRDefault="00727764" w:rsidP="00727764">
      <w:pPr>
        <w:spacing w:line="360" w:lineRule="auto"/>
        <w:ind w:firstLine="708"/>
        <w:rPr>
          <w:rFonts w:ascii="Trebuchet MS" w:hAnsi="Trebuchet MS"/>
          <w:sz w:val="20"/>
          <w:szCs w:val="20"/>
        </w:rPr>
      </w:pPr>
      <w:r w:rsidRPr="009E323D">
        <w:rPr>
          <w:rFonts w:ascii="Trebuchet MS" w:eastAsiaTheme="minorHAnsi" w:hAnsi="Trebuchet MS" w:cstheme="minorBidi"/>
          <w:sz w:val="20"/>
          <w:szCs w:val="20"/>
        </w:rPr>
        <w:sym w:font="Wingdings" w:char="F046"/>
      </w:r>
      <w:r w:rsidRPr="009E323D">
        <w:rPr>
          <w:rFonts w:ascii="Trebuchet MS" w:eastAsiaTheme="minorHAnsi" w:hAnsi="Trebuchet MS" w:cstheme="minorBidi"/>
          <w:sz w:val="20"/>
          <w:szCs w:val="20"/>
        </w:rPr>
        <w:t xml:space="preserve"> Centrifuga de Bancada: Eppendorf, até 14000 r.p.m. 5415R;</w:t>
      </w:r>
    </w:p>
    <w:p w:rsidR="00727764" w:rsidRPr="009E323D" w:rsidRDefault="00727764" w:rsidP="00727764">
      <w:pPr>
        <w:spacing w:line="360" w:lineRule="auto"/>
        <w:ind w:firstLine="708"/>
        <w:rPr>
          <w:rFonts w:ascii="Trebuchet MS" w:eastAsiaTheme="minorHAnsi" w:hAnsi="Trebuchet MS" w:cstheme="minorBidi"/>
          <w:sz w:val="20"/>
          <w:szCs w:val="20"/>
        </w:rPr>
      </w:pPr>
      <w:r w:rsidRPr="009E323D">
        <w:rPr>
          <w:rFonts w:ascii="Trebuchet MS" w:eastAsiaTheme="minorHAnsi" w:hAnsi="Trebuchet MS" w:cstheme="minorBidi"/>
          <w:sz w:val="20"/>
          <w:szCs w:val="20"/>
        </w:rPr>
        <w:sym w:font="Wingdings" w:char="F046"/>
      </w:r>
      <w:r w:rsidRPr="009E323D">
        <w:rPr>
          <w:rFonts w:ascii="Trebuchet MS" w:eastAsiaTheme="minorHAnsi" w:hAnsi="Trebuchet MS" w:cstheme="minorBidi"/>
          <w:sz w:val="20"/>
          <w:szCs w:val="20"/>
        </w:rPr>
        <w:t>Espectrofotómetro UV/Visivel: Biothec, Ultrospec 3000;</w:t>
      </w:r>
    </w:p>
    <w:p w:rsidR="00727764" w:rsidRPr="009E323D" w:rsidRDefault="00727764" w:rsidP="00727764">
      <w:pPr>
        <w:spacing w:line="360" w:lineRule="auto"/>
        <w:ind w:firstLine="708"/>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 xml:space="preserve"> Estufa a 37ºC;</w:t>
      </w:r>
    </w:p>
    <w:p w:rsidR="00727764" w:rsidRPr="009E323D" w:rsidRDefault="00727764" w:rsidP="00727764">
      <w:pPr>
        <w:spacing w:line="360" w:lineRule="auto"/>
        <w:ind w:firstLine="708"/>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 xml:space="preserve"> </w:t>
      </w:r>
      <w:r w:rsidRPr="009E323D">
        <w:rPr>
          <w:rFonts w:ascii="Trebuchet MS" w:hAnsi="Trebuchet MS"/>
          <w:sz w:val="20"/>
        </w:rPr>
        <w:t>Fluorímetro: Horiba Jobin Yvon (Fluoromax-4+Micromax 384);</w:t>
      </w:r>
    </w:p>
    <w:p w:rsidR="00727764" w:rsidRPr="009E323D" w:rsidRDefault="00727764" w:rsidP="00727764">
      <w:pPr>
        <w:spacing w:line="360" w:lineRule="auto"/>
        <w:ind w:firstLine="708"/>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Homogeneizador: Ika-werke; T25;</w:t>
      </w:r>
    </w:p>
    <w:p w:rsidR="00727764" w:rsidRPr="009E323D" w:rsidRDefault="00727764" w:rsidP="00727764">
      <w:pPr>
        <w:spacing w:line="360" w:lineRule="auto"/>
        <w:ind w:firstLine="708"/>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Leitor de microplacas de Elisa: Benchmark (Biorad);</w:t>
      </w:r>
    </w:p>
    <w:p w:rsidR="00727764" w:rsidRPr="009E323D" w:rsidRDefault="00727764" w:rsidP="00727764">
      <w:pPr>
        <w:spacing w:line="360" w:lineRule="auto"/>
        <w:ind w:firstLine="708"/>
        <w:rPr>
          <w:rFonts w:ascii="Trebuchet MS" w:eastAsiaTheme="minorHAnsi" w:hAnsi="Trebuchet MS" w:cstheme="minorBidi"/>
          <w:sz w:val="20"/>
        </w:rPr>
      </w:pP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Medidor de pH: Metrohm;</w:t>
      </w:r>
    </w:p>
    <w:p w:rsidR="00727764" w:rsidRPr="009E323D" w:rsidRDefault="00727764" w:rsidP="00727764">
      <w:pPr>
        <w:spacing w:line="360" w:lineRule="auto"/>
        <w:ind w:firstLine="708"/>
        <w:rPr>
          <w:rFonts w:ascii="Trebuchet MS" w:hAnsi="Trebuchet MS"/>
          <w:sz w:val="20"/>
        </w:rPr>
      </w:pPr>
      <w:r w:rsidRPr="009E323D">
        <w:rPr>
          <w:rFonts w:ascii="Trebuchet MS" w:eastAsiaTheme="minorHAnsi" w:hAnsi="Trebuchet MS" w:cstheme="minorBidi"/>
          <w:sz w:val="20"/>
        </w:rPr>
        <w:sym w:font="Wingdings" w:char="F046"/>
      </w:r>
      <w:r w:rsidRPr="009E323D">
        <w:rPr>
          <w:rFonts w:ascii="Trebuchet MS" w:hAnsi="Trebuchet MS"/>
          <w:sz w:val="20"/>
        </w:rPr>
        <w:t>Micrótomo: McIlwain Tissue Chopper (Campden Instruments);</w:t>
      </w:r>
    </w:p>
    <w:p w:rsidR="00727764" w:rsidRPr="009E323D" w:rsidRDefault="00727764" w:rsidP="00727764">
      <w:pPr>
        <w:spacing w:line="360" w:lineRule="auto"/>
        <w:ind w:firstLine="708"/>
        <w:rPr>
          <w:rFonts w:ascii="Trebuchet MS" w:hAnsi="Trebuchet MS"/>
          <w:sz w:val="20"/>
        </w:rPr>
      </w:pPr>
      <w:r w:rsidRPr="009E323D">
        <w:rPr>
          <w:rFonts w:ascii="Trebuchet MS" w:eastAsiaTheme="minorHAnsi" w:hAnsi="Trebuchet MS" w:cstheme="minorBidi"/>
          <w:sz w:val="20"/>
        </w:rPr>
        <w:sym w:font="Wingdings" w:char="F046"/>
      </w:r>
      <w:r w:rsidRPr="009E323D">
        <w:rPr>
          <w:rFonts w:ascii="Trebuchet MS" w:hAnsi="Trebuchet MS"/>
          <w:sz w:val="20"/>
        </w:rPr>
        <w:t xml:space="preserve"> Placa </w:t>
      </w:r>
      <w:r w:rsidR="00E16B5B" w:rsidRPr="009E323D">
        <w:rPr>
          <w:rFonts w:ascii="Trebuchet MS" w:hAnsi="Trebuchet MS"/>
          <w:sz w:val="20"/>
        </w:rPr>
        <w:t xml:space="preserve">opaca </w:t>
      </w:r>
      <w:r w:rsidRPr="009E323D">
        <w:rPr>
          <w:rFonts w:ascii="Trebuchet MS" w:hAnsi="Trebuchet MS"/>
          <w:sz w:val="20"/>
        </w:rPr>
        <w:t xml:space="preserve">de 96 poços para fluorimetro: Corning; </w:t>
      </w:r>
    </w:p>
    <w:p w:rsidR="00727764" w:rsidRDefault="00727764" w:rsidP="00727764">
      <w:pPr>
        <w:spacing w:line="360" w:lineRule="auto"/>
        <w:ind w:firstLine="708"/>
        <w:rPr>
          <w:rFonts w:ascii="Trebuchet MS" w:eastAsiaTheme="minorHAnsi" w:hAnsi="Trebuchet MS" w:cstheme="minorBidi"/>
          <w:sz w:val="20"/>
        </w:rPr>
      </w:pPr>
      <w:r w:rsidRPr="009E323D">
        <w:rPr>
          <w:rFonts w:ascii="Trebuchet MS" w:eastAsiaTheme="minorHAnsi" w:hAnsi="Trebuchet MS" w:cstheme="minorBidi"/>
          <w:noProof/>
          <w:sz w:val="20"/>
          <w:lang w:eastAsia="pt-PT"/>
        </w:rPr>
        <w:lastRenderedPageBreak/>
        <w:drawing>
          <wp:anchor distT="0" distB="0" distL="114300" distR="114300" simplePos="0" relativeHeight="251671040" behindDoc="1" locked="0" layoutInCell="1" allowOverlap="1">
            <wp:simplePos x="0" y="0"/>
            <wp:positionH relativeFrom="column">
              <wp:posOffset>2952750</wp:posOffset>
            </wp:positionH>
            <wp:positionV relativeFrom="paragraph">
              <wp:posOffset>28575</wp:posOffset>
            </wp:positionV>
            <wp:extent cx="1457960" cy="1115060"/>
            <wp:effectExtent l="19050" t="0" r="8890" b="0"/>
            <wp:wrapTight wrapText="bothSides">
              <wp:wrapPolygon edited="0">
                <wp:start x="-282" y="0"/>
                <wp:lineTo x="-282" y="21403"/>
                <wp:lineTo x="21732" y="21403"/>
                <wp:lineTo x="21732" y="0"/>
                <wp:lineTo x="-282" y="0"/>
              </wp:wrapPolygon>
            </wp:wrapTight>
            <wp:docPr id="3" name="Imagem 80" descr="McIlwain Tissue Chopper">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McIlwain Tissue Chopper">
                      <a:hlinkClick r:id="rId19"/>
                    </pic:cNvPr>
                    <pic:cNvPicPr>
                      <a:picLocks noChangeAspect="1" noChangeArrowheads="1"/>
                    </pic:cNvPicPr>
                  </pic:nvPicPr>
                  <pic:blipFill>
                    <a:blip r:embed="rId20" cstate="print"/>
                    <a:srcRect t="13606" b="10583"/>
                    <a:stretch>
                      <a:fillRect/>
                    </a:stretch>
                  </pic:blipFill>
                  <pic:spPr bwMode="auto">
                    <a:xfrm>
                      <a:off x="0" y="0"/>
                      <a:ext cx="1457960" cy="1115060"/>
                    </a:xfrm>
                    <a:prstGeom prst="rect">
                      <a:avLst/>
                    </a:prstGeom>
                    <a:noFill/>
                    <a:ln w="9525">
                      <a:noFill/>
                      <a:miter lim="800000"/>
                      <a:headEnd/>
                      <a:tailEnd/>
                    </a:ln>
                  </pic:spPr>
                </pic:pic>
              </a:graphicData>
            </a:graphic>
          </wp:anchor>
        </w:drawing>
      </w:r>
      <w:r w:rsidRPr="009E323D">
        <w:rPr>
          <w:rFonts w:ascii="Trebuchet MS" w:eastAsiaTheme="minorHAnsi" w:hAnsi="Trebuchet MS" w:cstheme="minorBidi"/>
          <w:sz w:val="20"/>
        </w:rPr>
        <w:sym w:font="Wingdings" w:char="F046"/>
      </w:r>
      <w:r w:rsidRPr="009E323D">
        <w:rPr>
          <w:rFonts w:ascii="Trebuchet MS" w:eastAsiaTheme="minorHAnsi" w:hAnsi="Trebuchet MS" w:cstheme="minorBidi"/>
          <w:sz w:val="20"/>
        </w:rPr>
        <w:t xml:space="preserve"> Sonicador: Elma; 570H;</w:t>
      </w:r>
    </w:p>
    <w:p w:rsidR="009E5E77" w:rsidRDefault="009E5E77" w:rsidP="00727764">
      <w:pPr>
        <w:spacing w:line="360" w:lineRule="auto"/>
        <w:ind w:firstLine="708"/>
        <w:rPr>
          <w:rFonts w:ascii="Trebuchet MS" w:eastAsiaTheme="minorHAnsi" w:hAnsi="Trebuchet MS" w:cstheme="minorBidi"/>
          <w:sz w:val="20"/>
        </w:rPr>
      </w:pPr>
    </w:p>
    <w:p w:rsidR="009E5E77" w:rsidRPr="009E323D" w:rsidRDefault="009E5E77" w:rsidP="00727764">
      <w:pPr>
        <w:spacing w:line="360" w:lineRule="auto"/>
        <w:ind w:firstLine="708"/>
        <w:rPr>
          <w:rFonts w:ascii="Trebuchet MS" w:eastAsiaTheme="minorHAnsi" w:hAnsi="Trebuchet MS" w:cstheme="minorBidi"/>
          <w:sz w:val="20"/>
        </w:rPr>
      </w:pPr>
    </w:p>
    <w:p w:rsidR="00727764" w:rsidRPr="00751D14" w:rsidRDefault="00727764" w:rsidP="00727764">
      <w:pPr>
        <w:spacing w:after="200" w:line="360" w:lineRule="auto"/>
        <w:ind w:firstLine="708"/>
        <w:contextualSpacing/>
        <w:jc w:val="center"/>
        <w:rPr>
          <w:rFonts w:ascii="Trebuchet MS" w:hAnsi="Trebuchet MS"/>
          <w:b/>
          <w:sz w:val="22"/>
        </w:rPr>
      </w:pPr>
    </w:p>
    <w:p w:rsidR="00727764" w:rsidRPr="00751D14" w:rsidRDefault="00727764" w:rsidP="00727764">
      <w:pPr>
        <w:spacing w:after="200" w:line="360" w:lineRule="auto"/>
        <w:ind w:firstLine="708"/>
        <w:contextualSpacing/>
        <w:jc w:val="center"/>
        <w:rPr>
          <w:rFonts w:ascii="Trebuchet MS" w:hAnsi="Trebuchet MS"/>
          <w:b/>
          <w:sz w:val="22"/>
        </w:rPr>
      </w:pPr>
    </w:p>
    <w:p w:rsidR="00727764" w:rsidRPr="009E323D" w:rsidRDefault="00727764" w:rsidP="00727764">
      <w:pPr>
        <w:spacing w:after="200"/>
        <w:contextualSpacing/>
        <w:jc w:val="right"/>
        <w:rPr>
          <w:rFonts w:ascii="Trebuchet MS" w:hAnsi="Trebuchet MS"/>
          <w:sz w:val="18"/>
          <w:szCs w:val="22"/>
        </w:rPr>
      </w:pPr>
      <w:r w:rsidRPr="009E323D">
        <w:rPr>
          <w:rFonts w:ascii="Trebuchet MS" w:hAnsi="Trebuchet MS"/>
          <w:b/>
          <w:sz w:val="18"/>
        </w:rPr>
        <w:t>Fig. 3.</w:t>
      </w:r>
      <w:r w:rsidRPr="009E323D">
        <w:rPr>
          <w:rFonts w:ascii="Trebuchet MS" w:hAnsi="Trebuchet MS"/>
          <w:b/>
          <w:sz w:val="18"/>
          <w:szCs w:val="22"/>
        </w:rPr>
        <w:t>2.</w:t>
      </w:r>
      <w:r w:rsidRPr="009E323D">
        <w:rPr>
          <w:rFonts w:ascii="Trebuchet MS" w:hAnsi="Trebuchet MS"/>
          <w:sz w:val="18"/>
          <w:szCs w:val="22"/>
        </w:rPr>
        <w:t xml:space="preserve"> Micrótomo (</w:t>
      </w:r>
      <w:r w:rsidR="0035151F" w:rsidRPr="009E323D">
        <w:rPr>
          <w:rFonts w:ascii="Trebuchet MS" w:hAnsi="Trebuchet MS"/>
          <w:sz w:val="18"/>
          <w:szCs w:val="22"/>
        </w:rPr>
        <w:fldChar w:fldCharType="begin"/>
      </w:r>
      <w:r w:rsidRPr="009E323D">
        <w:rPr>
          <w:rFonts w:ascii="Trebuchet MS" w:hAnsi="Trebuchet MS"/>
          <w:sz w:val="18"/>
          <w:szCs w:val="22"/>
        </w:rPr>
        <w:instrText xml:space="preserve"> HYPERLINK "http://www.campdeninstruments.com/ </w:instrText>
      </w:r>
    </w:p>
    <w:p w:rsidR="00727764" w:rsidRPr="009E323D" w:rsidRDefault="00727764" w:rsidP="00727764">
      <w:pPr>
        <w:spacing w:after="200"/>
        <w:contextualSpacing/>
        <w:rPr>
          <w:rFonts w:ascii="Trebuchet MS" w:hAnsi="Trebuchet MS"/>
          <w:color w:val="0000FF" w:themeColor="hyperlink"/>
          <w:sz w:val="18"/>
          <w:szCs w:val="22"/>
          <w:u w:val="single"/>
        </w:rPr>
      </w:pPr>
      <w:r w:rsidRPr="009E323D">
        <w:rPr>
          <w:rFonts w:ascii="Trebuchet MS" w:hAnsi="Trebuchet MS"/>
          <w:sz w:val="18"/>
          <w:szCs w:val="22"/>
        </w:rPr>
        <w:instrText xml:space="preserve">product_list.asp?SubCatID2=19" </w:instrText>
      </w:r>
      <w:r w:rsidR="0035151F" w:rsidRPr="009E323D">
        <w:rPr>
          <w:rFonts w:ascii="Trebuchet MS" w:hAnsi="Trebuchet MS"/>
          <w:sz w:val="18"/>
          <w:szCs w:val="22"/>
        </w:rPr>
        <w:fldChar w:fldCharType="separate"/>
      </w:r>
      <w:r w:rsidRPr="009E323D">
        <w:rPr>
          <w:rFonts w:ascii="Trebuchet MS" w:hAnsi="Trebuchet MS"/>
          <w:color w:val="0000FF" w:themeColor="hyperlink"/>
          <w:sz w:val="18"/>
          <w:szCs w:val="22"/>
          <w:u w:val="single"/>
        </w:rPr>
        <w:t xml:space="preserve">http://www.campdeninstruments.com/ </w:t>
      </w:r>
    </w:p>
    <w:p w:rsidR="00727764" w:rsidRPr="00751D14" w:rsidRDefault="00727764" w:rsidP="00727764">
      <w:pPr>
        <w:spacing w:after="200"/>
        <w:ind w:left="2977"/>
        <w:contextualSpacing/>
        <w:rPr>
          <w:rFonts w:ascii="Trebuchet MS" w:hAnsi="Trebuchet MS"/>
          <w:sz w:val="22"/>
        </w:rPr>
      </w:pPr>
      <w:r w:rsidRPr="009E323D">
        <w:rPr>
          <w:rFonts w:ascii="Trebuchet MS" w:hAnsi="Trebuchet MS"/>
          <w:color w:val="0000FF" w:themeColor="hyperlink"/>
          <w:sz w:val="18"/>
          <w:szCs w:val="22"/>
          <w:u w:val="single"/>
        </w:rPr>
        <w:t>product_list.asp?SubCatID2=19</w:t>
      </w:r>
      <w:r w:rsidR="0035151F" w:rsidRPr="009E323D">
        <w:rPr>
          <w:rFonts w:ascii="Trebuchet MS" w:hAnsi="Trebuchet MS"/>
          <w:sz w:val="18"/>
          <w:szCs w:val="22"/>
        </w:rPr>
        <w:fldChar w:fldCharType="end"/>
      </w:r>
      <w:r w:rsidRPr="009E323D">
        <w:rPr>
          <w:rFonts w:ascii="Trebuchet MS" w:hAnsi="Trebuchet MS"/>
          <w:sz w:val="18"/>
          <w:szCs w:val="22"/>
        </w:rPr>
        <w:t xml:space="preserve"> - Consultado em 10-09</w:t>
      </w:r>
      <w:r w:rsidRPr="009E323D">
        <w:rPr>
          <w:rFonts w:ascii="Trebuchet MS" w:hAnsi="Trebuchet MS"/>
          <w:sz w:val="18"/>
        </w:rPr>
        <w:t>-2010)</w:t>
      </w:r>
      <w:r w:rsidR="002441ED">
        <w:rPr>
          <w:rFonts w:ascii="Trebuchet MS" w:hAnsi="Trebuchet MS"/>
          <w:sz w:val="18"/>
        </w:rPr>
        <w:t>.</w:t>
      </w:r>
    </w:p>
    <w:p w:rsidR="00727764" w:rsidRPr="00751D14" w:rsidRDefault="00727764" w:rsidP="00727764">
      <w:pPr>
        <w:ind w:firstLine="180"/>
        <w:rPr>
          <w:rFonts w:ascii="Trebuchet MS" w:hAnsi="Trebuchet MS"/>
          <w:b/>
          <w:smallCaps/>
          <w:shadow/>
          <w:color w:val="333399"/>
        </w:rPr>
      </w:pPr>
    </w:p>
    <w:p w:rsidR="00E16B5B" w:rsidRPr="00751D14" w:rsidRDefault="00E16B5B" w:rsidP="00727764">
      <w:pPr>
        <w:ind w:firstLine="180"/>
        <w:rPr>
          <w:rFonts w:ascii="Trebuchet MS" w:hAnsi="Trebuchet MS"/>
          <w:b/>
          <w:smallCaps/>
          <w:shadow/>
          <w:color w:val="333399"/>
        </w:rPr>
      </w:pPr>
    </w:p>
    <w:p w:rsidR="00727764" w:rsidRPr="002861BA" w:rsidRDefault="00727764" w:rsidP="00727764">
      <w:pPr>
        <w:spacing w:line="360" w:lineRule="auto"/>
        <w:rPr>
          <w:rFonts w:ascii="Trebuchet MS" w:hAnsi="Trebuchet MS"/>
          <w:b/>
          <w:smallCaps/>
          <w:shadow/>
          <w:color w:val="333399"/>
          <w:sz w:val="28"/>
          <w:szCs w:val="28"/>
        </w:rPr>
      </w:pPr>
      <w:r w:rsidRPr="002861BA">
        <w:rPr>
          <w:rFonts w:ascii="Trebuchet MS" w:hAnsi="Trebuchet MS"/>
          <w:b/>
          <w:smallCaps/>
          <w:shadow/>
          <w:color w:val="333399"/>
          <w:sz w:val="28"/>
          <w:szCs w:val="28"/>
        </w:rPr>
        <w:t xml:space="preserve">3.3. Procedimento Experimental </w:t>
      </w:r>
    </w:p>
    <w:p w:rsidR="00727764" w:rsidRPr="00751D14" w:rsidRDefault="00727764" w:rsidP="00727764">
      <w:pPr>
        <w:spacing w:line="360" w:lineRule="auto"/>
        <w:ind w:firstLine="180"/>
        <w:jc w:val="both"/>
        <w:rPr>
          <w:rFonts w:ascii="Trebuchet MS" w:hAnsi="Trebuchet MS"/>
        </w:rPr>
      </w:pPr>
      <w:r w:rsidRPr="00751D14">
        <w:rPr>
          <w:rFonts w:ascii="Trebuchet MS" w:hAnsi="Trebuchet MS"/>
        </w:rPr>
        <w:tab/>
      </w:r>
      <w:r w:rsidRPr="009E323D">
        <w:rPr>
          <w:rFonts w:ascii="Trebuchet MS" w:hAnsi="Trebuchet MS"/>
          <w:sz w:val="20"/>
        </w:rPr>
        <w:t>Nesta secção são descritas as técnicas gerais que foram rotineiramente usadas ao lo</w:t>
      </w:r>
      <w:r w:rsidRPr="009E323D">
        <w:rPr>
          <w:rFonts w:ascii="Trebuchet MS" w:hAnsi="Trebuchet MS"/>
          <w:sz w:val="20"/>
        </w:rPr>
        <w:t>n</w:t>
      </w:r>
      <w:r w:rsidRPr="009E323D">
        <w:rPr>
          <w:rFonts w:ascii="Trebuchet MS" w:hAnsi="Trebuchet MS"/>
          <w:sz w:val="20"/>
        </w:rPr>
        <w:t xml:space="preserve">go do trabalho laboratorial </w:t>
      </w:r>
      <w:r w:rsidR="00567A42">
        <w:rPr>
          <w:rFonts w:ascii="Trebuchet MS" w:hAnsi="Trebuchet MS"/>
          <w:sz w:val="20"/>
        </w:rPr>
        <w:t xml:space="preserve">objecto </w:t>
      </w:r>
      <w:r w:rsidRPr="009E323D">
        <w:rPr>
          <w:rFonts w:ascii="Trebuchet MS" w:hAnsi="Trebuchet MS"/>
          <w:sz w:val="20"/>
        </w:rPr>
        <w:t xml:space="preserve">desta dissertação de mestrado.  </w:t>
      </w:r>
    </w:p>
    <w:p w:rsidR="00727764" w:rsidRPr="00751D14" w:rsidRDefault="00727764" w:rsidP="00727764">
      <w:pPr>
        <w:spacing w:line="360" w:lineRule="auto"/>
        <w:ind w:firstLine="180"/>
        <w:rPr>
          <w:rFonts w:ascii="Trebuchet MS" w:hAnsi="Trebuchet MS"/>
          <w:sz w:val="16"/>
          <w:szCs w:val="16"/>
        </w:rPr>
      </w:pPr>
    </w:p>
    <w:p w:rsidR="00727764" w:rsidRPr="00751D14" w:rsidRDefault="00727764" w:rsidP="006D1BC3">
      <w:pPr>
        <w:spacing w:line="480" w:lineRule="auto"/>
        <w:rPr>
          <w:rFonts w:ascii="Trebuchet MS" w:hAnsi="Trebuchet MS"/>
          <w:b/>
          <w:shadow/>
          <w:color w:val="333399"/>
        </w:rPr>
      </w:pPr>
      <w:r w:rsidRPr="00751D14">
        <w:rPr>
          <w:rFonts w:ascii="Trebuchet MS" w:hAnsi="Trebuchet MS"/>
          <w:b/>
          <w:shadow/>
          <w:color w:val="333399"/>
        </w:rPr>
        <w:t xml:space="preserve">      3.3.1. Sistema de perfusão</w:t>
      </w:r>
      <w:r w:rsidR="00D22713">
        <w:rPr>
          <w:rFonts w:ascii="Trebuchet MS" w:hAnsi="Trebuchet MS"/>
          <w:b/>
          <w:shadow/>
          <w:color w:val="333399"/>
        </w:rPr>
        <w:t xml:space="preserve"> – Implementação e Optimização</w:t>
      </w:r>
      <w:r w:rsidRPr="00751D14">
        <w:rPr>
          <w:rFonts w:ascii="Trebuchet MS" w:hAnsi="Trebuchet MS"/>
          <w:b/>
          <w:shadow/>
          <w:color w:val="333399"/>
        </w:rPr>
        <w:t xml:space="preserve"> </w:t>
      </w:r>
    </w:p>
    <w:p w:rsidR="00727764" w:rsidRPr="009E323D" w:rsidRDefault="00727764" w:rsidP="00727764">
      <w:pPr>
        <w:spacing w:after="200" w:line="360" w:lineRule="auto"/>
        <w:ind w:firstLine="708"/>
        <w:contextualSpacing/>
        <w:jc w:val="both"/>
        <w:rPr>
          <w:rFonts w:ascii="Trebuchet MS" w:hAnsi="Trebuchet MS"/>
          <w:sz w:val="20"/>
        </w:rPr>
      </w:pPr>
      <w:r w:rsidRPr="009E323D">
        <w:rPr>
          <w:rFonts w:ascii="Trebuchet MS" w:hAnsi="Trebuchet MS"/>
          <w:sz w:val="20"/>
        </w:rPr>
        <w:t xml:space="preserve">O sistema de perfusão (Fig. 3.3) </w:t>
      </w:r>
      <w:r w:rsidR="00D22713">
        <w:rPr>
          <w:rFonts w:ascii="Trebuchet MS" w:hAnsi="Trebuchet MS"/>
          <w:sz w:val="20"/>
        </w:rPr>
        <w:t>implementado</w:t>
      </w:r>
      <w:r w:rsidRPr="009E323D">
        <w:rPr>
          <w:rFonts w:ascii="Trebuchet MS" w:hAnsi="Trebuchet MS"/>
          <w:sz w:val="20"/>
        </w:rPr>
        <w:t xml:space="preserve"> consiste num circuito de tubagens transparentes de </w:t>
      </w:r>
      <w:r w:rsidR="00567A42">
        <w:rPr>
          <w:rFonts w:ascii="Trebuchet MS" w:hAnsi="Trebuchet MS"/>
          <w:sz w:val="20"/>
        </w:rPr>
        <w:t>PVC (Cloreto de Polivinilo)</w:t>
      </w:r>
      <w:r w:rsidRPr="009E323D">
        <w:rPr>
          <w:rFonts w:ascii="Trebuchet MS" w:hAnsi="Trebuchet MS"/>
          <w:sz w:val="20"/>
        </w:rPr>
        <w:t>, ligados a câmaras de perfusão (Fig. 3.4). O si</w:t>
      </w:r>
      <w:r w:rsidRPr="009E323D">
        <w:rPr>
          <w:rFonts w:ascii="Trebuchet MS" w:hAnsi="Trebuchet MS"/>
          <w:sz w:val="20"/>
        </w:rPr>
        <w:t>s</w:t>
      </w:r>
      <w:r w:rsidRPr="009E323D">
        <w:rPr>
          <w:rFonts w:ascii="Trebuchet MS" w:hAnsi="Trebuchet MS"/>
          <w:sz w:val="20"/>
        </w:rPr>
        <w:t xml:space="preserve">tema de perfusão é constituído por 8 câmaras de perfusão individuais. Cada circuito </w:t>
      </w:r>
      <w:r w:rsidR="00534FEB" w:rsidRPr="009E323D">
        <w:rPr>
          <w:rFonts w:ascii="Trebuchet MS" w:hAnsi="Trebuchet MS"/>
          <w:sz w:val="20"/>
        </w:rPr>
        <w:t>é co</w:t>
      </w:r>
      <w:r w:rsidR="00534FEB" w:rsidRPr="009E323D">
        <w:rPr>
          <w:rFonts w:ascii="Trebuchet MS" w:hAnsi="Trebuchet MS"/>
          <w:sz w:val="20"/>
        </w:rPr>
        <w:t>m</w:t>
      </w:r>
      <w:r w:rsidR="00534FEB" w:rsidRPr="009E323D">
        <w:rPr>
          <w:rFonts w:ascii="Trebuchet MS" w:hAnsi="Trebuchet MS"/>
          <w:sz w:val="20"/>
        </w:rPr>
        <w:t xml:space="preserve">posto por uma câmara de perfusão e tubagens, em que </w:t>
      </w:r>
      <w:r w:rsidRPr="009E323D">
        <w:rPr>
          <w:rFonts w:ascii="Trebuchet MS" w:hAnsi="Trebuchet MS"/>
          <w:sz w:val="20"/>
        </w:rPr>
        <w:t>com</w:t>
      </w:r>
      <w:r w:rsidR="00534FEB" w:rsidRPr="009E323D">
        <w:rPr>
          <w:rFonts w:ascii="Trebuchet MS" w:hAnsi="Trebuchet MS"/>
          <w:sz w:val="20"/>
        </w:rPr>
        <w:t>preende</w:t>
      </w:r>
      <w:r w:rsidRPr="009E323D">
        <w:rPr>
          <w:rFonts w:ascii="Trebuchet MS" w:hAnsi="Trebuchet MS"/>
          <w:sz w:val="20"/>
        </w:rPr>
        <w:t xml:space="preserve"> uma porção inicial de tubagem, seguido de um </w:t>
      </w:r>
      <w:r w:rsidRPr="009E323D">
        <w:rPr>
          <w:rFonts w:ascii="Trebuchet MS" w:hAnsi="Trebuchet MS"/>
          <w:i/>
          <w:sz w:val="20"/>
        </w:rPr>
        <w:t>bubble trap</w:t>
      </w:r>
      <w:r w:rsidRPr="009E323D">
        <w:rPr>
          <w:rFonts w:ascii="Trebuchet MS" w:hAnsi="Trebuchet MS"/>
          <w:sz w:val="20"/>
        </w:rPr>
        <w:t xml:space="preserve"> (“apanha bolhas”) para </w:t>
      </w:r>
      <w:r w:rsidR="00534FEB" w:rsidRPr="009E323D">
        <w:rPr>
          <w:rFonts w:ascii="Trebuchet MS" w:hAnsi="Trebuchet MS"/>
          <w:sz w:val="20"/>
        </w:rPr>
        <w:t>reter</w:t>
      </w:r>
      <w:r w:rsidRPr="009E323D">
        <w:rPr>
          <w:rFonts w:ascii="Trebuchet MS" w:hAnsi="Trebuchet MS"/>
          <w:sz w:val="20"/>
        </w:rPr>
        <w:t xml:space="preserve"> as bolhas</w:t>
      </w:r>
      <w:r w:rsidR="00534FEB" w:rsidRPr="009E323D">
        <w:rPr>
          <w:rFonts w:ascii="Trebuchet MS" w:hAnsi="Trebuchet MS"/>
          <w:sz w:val="20"/>
        </w:rPr>
        <w:t xml:space="preserve"> de ar</w:t>
      </w:r>
      <w:r w:rsidRPr="009E323D">
        <w:rPr>
          <w:rFonts w:ascii="Trebuchet MS" w:hAnsi="Trebuchet MS"/>
          <w:sz w:val="20"/>
        </w:rPr>
        <w:t>, a câmara de perfusão e porção final de tubagem. As câmaras de perfusão encontram-se submersas no banho termostatizado.</w:t>
      </w:r>
    </w:p>
    <w:p w:rsidR="00727764" w:rsidRPr="00751D14" w:rsidRDefault="00727764" w:rsidP="00727764">
      <w:pPr>
        <w:spacing w:after="200"/>
        <w:ind w:firstLine="708"/>
        <w:contextualSpacing/>
        <w:jc w:val="both"/>
        <w:rPr>
          <w:rFonts w:ascii="Trebuchet MS" w:hAnsi="Trebuchet MS"/>
        </w:rPr>
      </w:pPr>
    </w:p>
    <w:p w:rsidR="00727764" w:rsidRPr="00751D14" w:rsidRDefault="00F62485" w:rsidP="00727764">
      <w:pPr>
        <w:spacing w:after="200" w:line="360" w:lineRule="auto"/>
        <w:ind w:firstLine="708"/>
        <w:contextualSpacing/>
        <w:jc w:val="both"/>
        <w:rPr>
          <w:rFonts w:ascii="Trebuchet MS" w:hAnsi="Trebuchet MS"/>
        </w:rPr>
      </w:pPr>
      <w:r>
        <w:rPr>
          <w:rFonts w:ascii="Trebuchet MS" w:hAnsi="Trebuchet MS"/>
          <w:noProof/>
          <w:lang w:eastAsia="pt-PT"/>
        </w:rPr>
        <w:drawing>
          <wp:anchor distT="0" distB="0" distL="114300" distR="114300" simplePos="0" relativeHeight="251674112" behindDoc="1" locked="0" layoutInCell="1" allowOverlap="1">
            <wp:simplePos x="0" y="0"/>
            <wp:positionH relativeFrom="column">
              <wp:posOffset>102235</wp:posOffset>
            </wp:positionH>
            <wp:positionV relativeFrom="paragraph">
              <wp:posOffset>20955</wp:posOffset>
            </wp:positionV>
            <wp:extent cx="2371090" cy="1779905"/>
            <wp:effectExtent l="19050" t="0" r="0" b="0"/>
            <wp:wrapTight wrapText="bothSides">
              <wp:wrapPolygon edited="0">
                <wp:start x="-174" y="0"/>
                <wp:lineTo x="-174" y="21269"/>
                <wp:lineTo x="21519" y="21269"/>
                <wp:lineTo x="21519" y="0"/>
                <wp:lineTo x="-174" y="0"/>
              </wp:wrapPolygon>
            </wp:wrapTight>
            <wp:docPr id="6" name="Imagem 95" descr="C:\Users\Blandina Esteves\Desktop\Tese Mestrado BQ\Fotos Mestrado BQ\S70003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descr="C:\Users\Blandina Esteves\Desktop\Tese Mestrado BQ\Fotos Mestrado BQ\S7000372.JPG"/>
                    <pic:cNvPicPr>
                      <a:picLocks noChangeAspect="1" noChangeArrowheads="1"/>
                    </pic:cNvPicPr>
                  </pic:nvPicPr>
                  <pic:blipFill>
                    <a:blip r:embed="rId21" cstate="print"/>
                    <a:srcRect/>
                    <a:stretch>
                      <a:fillRect/>
                    </a:stretch>
                  </pic:blipFill>
                  <pic:spPr bwMode="auto">
                    <a:xfrm>
                      <a:off x="0" y="0"/>
                      <a:ext cx="2371090" cy="1779905"/>
                    </a:xfrm>
                    <a:prstGeom prst="rect">
                      <a:avLst/>
                    </a:prstGeom>
                    <a:noFill/>
                    <a:ln w="9525">
                      <a:noFill/>
                      <a:miter lim="800000"/>
                      <a:headEnd/>
                      <a:tailEnd/>
                    </a:ln>
                  </pic:spPr>
                </pic:pic>
              </a:graphicData>
            </a:graphic>
          </wp:anchor>
        </w:drawing>
      </w:r>
      <w:r>
        <w:rPr>
          <w:rFonts w:ascii="Trebuchet MS" w:hAnsi="Trebuchet MS"/>
          <w:noProof/>
          <w:lang w:eastAsia="pt-PT"/>
        </w:rPr>
        <w:drawing>
          <wp:anchor distT="0" distB="0" distL="114300" distR="114300" simplePos="0" relativeHeight="251675136" behindDoc="1" locked="0" layoutInCell="1" allowOverlap="1">
            <wp:simplePos x="0" y="0"/>
            <wp:positionH relativeFrom="column">
              <wp:posOffset>2567305</wp:posOffset>
            </wp:positionH>
            <wp:positionV relativeFrom="paragraph">
              <wp:posOffset>10160</wp:posOffset>
            </wp:positionV>
            <wp:extent cx="2376170" cy="1786890"/>
            <wp:effectExtent l="19050" t="0" r="5080" b="0"/>
            <wp:wrapTight wrapText="bothSides">
              <wp:wrapPolygon edited="0">
                <wp:start x="-173" y="0"/>
                <wp:lineTo x="-173" y="21416"/>
                <wp:lineTo x="21646" y="21416"/>
                <wp:lineTo x="21646" y="0"/>
                <wp:lineTo x="-173" y="0"/>
              </wp:wrapPolygon>
            </wp:wrapTight>
            <wp:docPr id="5" name="Imagem 94" descr="C:\Users\Blandina Esteves\Desktop\Tese Mestrado BQ\Fotos Mestrado BQ\S7000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Blandina Esteves\Desktop\Tese Mestrado BQ\Fotos Mestrado BQ\S7000400.JPG"/>
                    <pic:cNvPicPr>
                      <a:picLocks noChangeAspect="1" noChangeArrowheads="1"/>
                    </pic:cNvPicPr>
                  </pic:nvPicPr>
                  <pic:blipFill>
                    <a:blip r:embed="rId22" cstate="print"/>
                    <a:srcRect/>
                    <a:stretch>
                      <a:fillRect/>
                    </a:stretch>
                  </pic:blipFill>
                  <pic:spPr bwMode="auto">
                    <a:xfrm>
                      <a:off x="0" y="0"/>
                      <a:ext cx="2376170" cy="1786890"/>
                    </a:xfrm>
                    <a:prstGeom prst="rect">
                      <a:avLst/>
                    </a:prstGeom>
                    <a:noFill/>
                    <a:ln w="9525">
                      <a:noFill/>
                      <a:miter lim="800000"/>
                      <a:headEnd/>
                      <a:tailEnd/>
                    </a:ln>
                  </pic:spPr>
                </pic:pic>
              </a:graphicData>
            </a:graphic>
          </wp:anchor>
        </w:drawing>
      </w: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contextualSpacing/>
        <w:jc w:val="center"/>
        <w:rPr>
          <w:rFonts w:ascii="Trebuchet MS" w:hAnsi="Trebuchet MS"/>
          <w:b/>
          <w:sz w:val="22"/>
        </w:rPr>
      </w:pPr>
    </w:p>
    <w:p w:rsidR="00F62485" w:rsidRDefault="00F62485" w:rsidP="00727764">
      <w:pPr>
        <w:spacing w:after="200" w:line="360" w:lineRule="auto"/>
        <w:contextualSpacing/>
        <w:jc w:val="center"/>
        <w:rPr>
          <w:rFonts w:ascii="Trebuchet MS" w:hAnsi="Trebuchet MS"/>
          <w:b/>
          <w:sz w:val="18"/>
        </w:rPr>
      </w:pPr>
    </w:p>
    <w:p w:rsidR="00727764" w:rsidRDefault="00727764" w:rsidP="00727764">
      <w:pPr>
        <w:spacing w:after="200" w:line="360" w:lineRule="auto"/>
        <w:contextualSpacing/>
        <w:jc w:val="center"/>
        <w:rPr>
          <w:rFonts w:ascii="Trebuchet MS" w:hAnsi="Trebuchet MS"/>
          <w:sz w:val="18"/>
        </w:rPr>
      </w:pPr>
      <w:r w:rsidRPr="009E323D">
        <w:rPr>
          <w:rFonts w:ascii="Trebuchet MS" w:hAnsi="Trebuchet MS"/>
          <w:b/>
          <w:sz w:val="18"/>
        </w:rPr>
        <w:t>Fig. 3.3.</w:t>
      </w:r>
      <w:r w:rsidRPr="009E323D">
        <w:rPr>
          <w:rFonts w:ascii="Trebuchet MS" w:hAnsi="Trebuchet MS"/>
          <w:sz w:val="18"/>
        </w:rPr>
        <w:t xml:space="preserve"> Sistema de perfusão.</w:t>
      </w:r>
    </w:p>
    <w:p w:rsidR="006D1BC3" w:rsidRPr="009E323D" w:rsidRDefault="006D1BC3" w:rsidP="00F62485">
      <w:pPr>
        <w:spacing w:after="200" w:line="480" w:lineRule="auto"/>
        <w:contextualSpacing/>
        <w:jc w:val="center"/>
        <w:rPr>
          <w:rFonts w:ascii="Trebuchet MS" w:hAnsi="Trebuchet MS"/>
          <w:sz w:val="18"/>
        </w:rPr>
      </w:pPr>
    </w:p>
    <w:p w:rsidR="00727764" w:rsidRPr="00751D14" w:rsidRDefault="00727764" w:rsidP="00727764">
      <w:pPr>
        <w:spacing w:after="200" w:line="360" w:lineRule="auto"/>
        <w:contextualSpacing/>
        <w:jc w:val="center"/>
        <w:rPr>
          <w:rFonts w:ascii="Trebuchet MS" w:hAnsi="Trebuchet MS"/>
        </w:rPr>
      </w:pPr>
      <w:r w:rsidRPr="00751D14">
        <w:rPr>
          <w:rFonts w:ascii="Trebuchet MS" w:hAnsi="Trebuchet MS"/>
          <w:noProof/>
          <w:lang w:eastAsia="pt-PT"/>
        </w:rPr>
        <w:drawing>
          <wp:inline distT="0" distB="0" distL="0" distR="0">
            <wp:extent cx="2507921" cy="1308232"/>
            <wp:effectExtent l="19050" t="0" r="6679" b="0"/>
            <wp:docPr id="7" name="Imagem 83" descr="C:\Users\Blandina Esteves\Desktop\Tese Mestrado BQ\Fotos Mestrado BQ\Imagem(1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C:\Users\Blandina Esteves\Desktop\Tese Mestrado BQ\Fotos Mestrado BQ\Imagem(189).jpg"/>
                    <pic:cNvPicPr>
                      <a:picLocks noChangeAspect="1" noChangeArrowheads="1"/>
                    </pic:cNvPicPr>
                  </pic:nvPicPr>
                  <pic:blipFill>
                    <a:blip r:embed="rId23" cstate="print"/>
                    <a:srcRect b="29921"/>
                    <a:stretch>
                      <a:fillRect/>
                    </a:stretch>
                  </pic:blipFill>
                  <pic:spPr bwMode="auto">
                    <a:xfrm>
                      <a:off x="0" y="0"/>
                      <a:ext cx="2513488" cy="1311136"/>
                    </a:xfrm>
                    <a:prstGeom prst="rect">
                      <a:avLst/>
                    </a:prstGeom>
                    <a:noFill/>
                    <a:ln w="9525">
                      <a:noFill/>
                      <a:miter lim="800000"/>
                      <a:headEnd/>
                      <a:tailEnd/>
                    </a:ln>
                  </pic:spPr>
                </pic:pic>
              </a:graphicData>
            </a:graphic>
          </wp:inline>
        </w:drawing>
      </w:r>
    </w:p>
    <w:p w:rsidR="00727764" w:rsidRPr="00F62485" w:rsidRDefault="00727764" w:rsidP="00F62485">
      <w:pPr>
        <w:spacing w:after="200" w:line="360" w:lineRule="auto"/>
        <w:contextualSpacing/>
        <w:jc w:val="center"/>
        <w:rPr>
          <w:rFonts w:ascii="Trebuchet MS" w:hAnsi="Trebuchet MS"/>
          <w:sz w:val="18"/>
        </w:rPr>
      </w:pPr>
      <w:r w:rsidRPr="009E323D">
        <w:rPr>
          <w:rFonts w:ascii="Trebuchet MS" w:hAnsi="Trebuchet MS"/>
          <w:b/>
          <w:sz w:val="18"/>
        </w:rPr>
        <w:t>Fig. 3.4.</w:t>
      </w:r>
      <w:r w:rsidR="00534FEB" w:rsidRPr="009E323D">
        <w:rPr>
          <w:rFonts w:ascii="Trebuchet MS" w:hAnsi="Trebuchet MS"/>
          <w:sz w:val="18"/>
        </w:rPr>
        <w:t xml:space="preserve"> Circuito de </w:t>
      </w:r>
      <w:r w:rsidRPr="009E323D">
        <w:rPr>
          <w:rFonts w:ascii="Trebuchet MS" w:hAnsi="Trebuchet MS"/>
          <w:sz w:val="18"/>
        </w:rPr>
        <w:t>perfusão individual.</w:t>
      </w:r>
    </w:p>
    <w:p w:rsidR="00727764" w:rsidRPr="009E323D" w:rsidRDefault="00727764" w:rsidP="00727764">
      <w:pPr>
        <w:spacing w:after="200" w:line="360" w:lineRule="auto"/>
        <w:ind w:firstLine="708"/>
        <w:contextualSpacing/>
        <w:jc w:val="both"/>
        <w:rPr>
          <w:rFonts w:ascii="Trebuchet MS" w:hAnsi="Trebuchet MS"/>
          <w:sz w:val="20"/>
        </w:rPr>
      </w:pPr>
      <w:r w:rsidRPr="009E323D">
        <w:rPr>
          <w:rFonts w:ascii="Trebuchet MS" w:hAnsi="Trebuchet MS"/>
          <w:sz w:val="20"/>
        </w:rPr>
        <w:lastRenderedPageBreak/>
        <w:t xml:space="preserve">A bomba peristáltica (Fig. 3.5) permite que a perfusão esteja continuamente a </w:t>
      </w:r>
      <w:r w:rsidR="00D34390">
        <w:rPr>
          <w:rFonts w:ascii="Trebuchet MS" w:hAnsi="Trebuchet MS"/>
          <w:sz w:val="20"/>
        </w:rPr>
        <w:t>de</w:t>
      </w:r>
      <w:r w:rsidR="00567A42">
        <w:rPr>
          <w:rFonts w:ascii="Trebuchet MS" w:hAnsi="Trebuchet MS"/>
          <w:sz w:val="20"/>
        </w:rPr>
        <w:t>co</w:t>
      </w:r>
      <w:r w:rsidR="00567A42">
        <w:rPr>
          <w:rFonts w:ascii="Trebuchet MS" w:hAnsi="Trebuchet MS"/>
          <w:sz w:val="20"/>
        </w:rPr>
        <w:t>r</w:t>
      </w:r>
      <w:r w:rsidR="00567A42">
        <w:rPr>
          <w:rFonts w:ascii="Trebuchet MS" w:hAnsi="Trebuchet MS"/>
          <w:sz w:val="20"/>
        </w:rPr>
        <w:t>rer</w:t>
      </w:r>
      <w:r w:rsidRPr="009E323D">
        <w:rPr>
          <w:rFonts w:ascii="Trebuchet MS" w:hAnsi="Trebuchet MS"/>
          <w:sz w:val="20"/>
        </w:rPr>
        <w:t xml:space="preserve"> com um fluxo de</w:t>
      </w:r>
      <w:r w:rsidR="00567A42">
        <w:rPr>
          <w:rFonts w:ascii="Trebuchet MS" w:hAnsi="Trebuchet MS"/>
          <w:sz w:val="20"/>
        </w:rPr>
        <w:t>terminado</w:t>
      </w:r>
      <w:r w:rsidRPr="009E323D">
        <w:rPr>
          <w:rFonts w:ascii="Trebuchet MS" w:hAnsi="Trebuchet MS"/>
          <w:sz w:val="20"/>
        </w:rPr>
        <w:t xml:space="preserve"> 1 mL/min</w:t>
      </w:r>
      <w:r w:rsidR="009E323D" w:rsidRPr="009E323D">
        <w:rPr>
          <w:rFonts w:ascii="Trebuchet MS" w:hAnsi="Trebuchet MS"/>
          <w:sz w:val="20"/>
        </w:rPr>
        <w:t>uto</w:t>
      </w:r>
      <w:r w:rsidRPr="009E323D">
        <w:rPr>
          <w:rFonts w:ascii="Trebuchet MS" w:hAnsi="Trebuchet MS"/>
          <w:sz w:val="20"/>
        </w:rPr>
        <w:t xml:space="preserve">. </w:t>
      </w:r>
    </w:p>
    <w:p w:rsidR="00727764" w:rsidRPr="00751D14" w:rsidRDefault="00F62485" w:rsidP="00727764">
      <w:pPr>
        <w:spacing w:after="200" w:line="360" w:lineRule="auto"/>
        <w:ind w:firstLine="708"/>
        <w:contextualSpacing/>
        <w:jc w:val="both"/>
        <w:rPr>
          <w:rFonts w:ascii="Trebuchet MS" w:hAnsi="Trebuchet MS"/>
        </w:rPr>
      </w:pPr>
      <w:r>
        <w:rPr>
          <w:rFonts w:ascii="Trebuchet MS" w:hAnsi="Trebuchet MS"/>
          <w:noProof/>
          <w:lang w:eastAsia="pt-PT"/>
        </w:rPr>
        <w:drawing>
          <wp:anchor distT="0" distB="0" distL="114300" distR="114300" simplePos="0" relativeHeight="251673088" behindDoc="1" locked="0" layoutInCell="1" allowOverlap="1">
            <wp:simplePos x="0" y="0"/>
            <wp:positionH relativeFrom="column">
              <wp:posOffset>2606040</wp:posOffset>
            </wp:positionH>
            <wp:positionV relativeFrom="paragraph">
              <wp:posOffset>154305</wp:posOffset>
            </wp:positionV>
            <wp:extent cx="1870075" cy="1424305"/>
            <wp:effectExtent l="19050" t="0" r="0" b="0"/>
            <wp:wrapTight wrapText="bothSides">
              <wp:wrapPolygon edited="0">
                <wp:start x="-220" y="0"/>
                <wp:lineTo x="-220" y="21379"/>
                <wp:lineTo x="21563" y="21379"/>
                <wp:lineTo x="21563" y="0"/>
                <wp:lineTo x="-220" y="0"/>
              </wp:wrapPolygon>
            </wp:wrapTight>
            <wp:docPr id="8" name="Imagem 82" descr="C:\Users\Blandina Esteves\Desktop\Tese Mestrado BQ\Fotos Mestrado BQ\Imagem(1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Blandina Esteves\Desktop\Tese Mestrado BQ\Fotos Mestrado BQ\Imagem(193).jpg"/>
                    <pic:cNvPicPr>
                      <a:picLocks noChangeAspect="1" noChangeArrowheads="1"/>
                    </pic:cNvPicPr>
                  </pic:nvPicPr>
                  <pic:blipFill>
                    <a:blip r:embed="rId24" cstate="print"/>
                    <a:srcRect/>
                    <a:stretch>
                      <a:fillRect/>
                    </a:stretch>
                  </pic:blipFill>
                  <pic:spPr bwMode="auto">
                    <a:xfrm>
                      <a:off x="0" y="0"/>
                      <a:ext cx="1870075" cy="1424305"/>
                    </a:xfrm>
                    <a:prstGeom prst="rect">
                      <a:avLst/>
                    </a:prstGeom>
                    <a:noFill/>
                    <a:ln w="9525">
                      <a:noFill/>
                      <a:miter lim="800000"/>
                      <a:headEnd/>
                      <a:tailEnd/>
                    </a:ln>
                  </pic:spPr>
                </pic:pic>
              </a:graphicData>
            </a:graphic>
          </wp:anchor>
        </w:drawing>
      </w:r>
      <w:r>
        <w:rPr>
          <w:rFonts w:ascii="Trebuchet MS" w:hAnsi="Trebuchet MS"/>
          <w:noProof/>
          <w:lang w:eastAsia="pt-PT"/>
        </w:rPr>
        <w:drawing>
          <wp:anchor distT="0" distB="0" distL="114300" distR="114300" simplePos="0" relativeHeight="251672064" behindDoc="1" locked="0" layoutInCell="1" allowOverlap="1">
            <wp:simplePos x="0" y="0"/>
            <wp:positionH relativeFrom="column">
              <wp:posOffset>657860</wp:posOffset>
            </wp:positionH>
            <wp:positionV relativeFrom="paragraph">
              <wp:posOffset>154305</wp:posOffset>
            </wp:positionV>
            <wp:extent cx="1905635" cy="1424305"/>
            <wp:effectExtent l="19050" t="0" r="0" b="0"/>
            <wp:wrapTight wrapText="bothSides">
              <wp:wrapPolygon edited="0">
                <wp:start x="-216" y="0"/>
                <wp:lineTo x="-216" y="21379"/>
                <wp:lineTo x="21593" y="21379"/>
                <wp:lineTo x="21593" y="0"/>
                <wp:lineTo x="-216" y="0"/>
              </wp:wrapPolygon>
            </wp:wrapTight>
            <wp:docPr id="9" name="Imagem 84" descr="C:\Users\Blandina Esteves\Desktop\Tese Mestrado BQ\Fotos Mestrado BQ\Imagem(1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Blandina Esteves\Desktop\Tese Mestrado BQ\Fotos Mestrado BQ\Imagem(133).jpg"/>
                    <pic:cNvPicPr>
                      <a:picLocks noChangeAspect="1" noChangeArrowheads="1"/>
                    </pic:cNvPicPr>
                  </pic:nvPicPr>
                  <pic:blipFill>
                    <a:blip r:embed="rId25" cstate="print"/>
                    <a:srcRect/>
                    <a:stretch>
                      <a:fillRect/>
                    </a:stretch>
                  </pic:blipFill>
                  <pic:spPr bwMode="auto">
                    <a:xfrm>
                      <a:off x="0" y="0"/>
                      <a:ext cx="1905635" cy="1424305"/>
                    </a:xfrm>
                    <a:prstGeom prst="rect">
                      <a:avLst/>
                    </a:prstGeom>
                    <a:noFill/>
                    <a:ln w="9525">
                      <a:noFill/>
                      <a:miter lim="800000"/>
                      <a:headEnd/>
                      <a:tailEnd/>
                    </a:ln>
                  </pic:spPr>
                </pic:pic>
              </a:graphicData>
            </a:graphic>
          </wp:anchor>
        </w:drawing>
      </w:r>
    </w:p>
    <w:p w:rsidR="00727764" w:rsidRPr="00751D14" w:rsidRDefault="00727764" w:rsidP="00727764">
      <w:pPr>
        <w:spacing w:after="200" w:line="360" w:lineRule="auto"/>
        <w:ind w:firstLine="708"/>
        <w:contextualSpacing/>
        <w:jc w:val="both"/>
        <w:rPr>
          <w:rFonts w:ascii="Trebuchet MS" w:hAnsi="Trebuchet MS"/>
        </w:rPr>
      </w:pPr>
      <w:r w:rsidRPr="00751D14">
        <w:rPr>
          <w:rFonts w:ascii="Trebuchet MS" w:hAnsi="Trebuchet MS"/>
          <w:snapToGrid w:val="0"/>
          <w:color w:val="000000"/>
          <w:w w:val="0"/>
          <w:sz w:val="0"/>
          <w:szCs w:val="0"/>
          <w:u w:color="000000"/>
          <w:bdr w:val="none" w:sz="0" w:space="0" w:color="000000"/>
          <w:shd w:val="clear" w:color="000000" w:fill="000000"/>
        </w:rPr>
        <w:t xml:space="preserve"> </w:t>
      </w: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both"/>
        <w:rPr>
          <w:rFonts w:ascii="Trebuchet MS" w:hAnsi="Trebuchet MS"/>
        </w:rPr>
      </w:pPr>
    </w:p>
    <w:p w:rsidR="00E16B5B" w:rsidRPr="00751D14" w:rsidRDefault="00E16B5B"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both"/>
        <w:rPr>
          <w:rFonts w:ascii="Trebuchet MS" w:hAnsi="Trebuchet MS"/>
        </w:rPr>
      </w:pPr>
    </w:p>
    <w:p w:rsidR="00727764" w:rsidRPr="009E323D" w:rsidRDefault="00727764" w:rsidP="00727764">
      <w:pPr>
        <w:spacing w:after="200" w:line="276" w:lineRule="auto"/>
        <w:jc w:val="center"/>
        <w:rPr>
          <w:rFonts w:ascii="Trebuchet MS" w:eastAsiaTheme="minorHAnsi" w:hAnsi="Trebuchet MS" w:cstheme="minorBidi"/>
          <w:sz w:val="18"/>
          <w:szCs w:val="22"/>
        </w:rPr>
      </w:pPr>
      <w:r w:rsidRPr="009E323D">
        <w:rPr>
          <w:rFonts w:ascii="Trebuchet MS" w:eastAsiaTheme="minorHAnsi" w:hAnsi="Trebuchet MS" w:cstheme="minorBidi"/>
          <w:b/>
          <w:sz w:val="18"/>
          <w:szCs w:val="22"/>
        </w:rPr>
        <w:t xml:space="preserve">Fig. 3.5. </w:t>
      </w:r>
      <w:r w:rsidRPr="009E323D">
        <w:rPr>
          <w:rFonts w:ascii="Trebuchet MS" w:eastAsiaTheme="minorHAnsi" w:hAnsi="Trebuchet MS" w:cstheme="minorBidi"/>
          <w:sz w:val="18"/>
          <w:szCs w:val="22"/>
        </w:rPr>
        <w:t>Bomba peristáltica.</w:t>
      </w:r>
    </w:p>
    <w:p w:rsidR="0038133F" w:rsidRPr="00751D14" w:rsidRDefault="0038133F" w:rsidP="0038133F">
      <w:pPr>
        <w:spacing w:line="276" w:lineRule="auto"/>
        <w:jc w:val="center"/>
        <w:rPr>
          <w:rFonts w:ascii="Trebuchet MS" w:eastAsiaTheme="minorHAnsi" w:hAnsi="Trebuchet MS" w:cstheme="minorBidi"/>
          <w:sz w:val="22"/>
          <w:szCs w:val="22"/>
        </w:rPr>
      </w:pPr>
    </w:p>
    <w:p w:rsidR="00727764" w:rsidRPr="009E323D" w:rsidRDefault="00727764" w:rsidP="00727764">
      <w:pPr>
        <w:spacing w:after="200" w:line="360" w:lineRule="auto"/>
        <w:ind w:firstLine="708"/>
        <w:contextualSpacing/>
        <w:jc w:val="both"/>
        <w:rPr>
          <w:rFonts w:ascii="Trebuchet MS" w:hAnsi="Trebuchet MS"/>
          <w:sz w:val="20"/>
        </w:rPr>
      </w:pPr>
      <w:r w:rsidRPr="009E323D">
        <w:rPr>
          <w:rFonts w:ascii="Trebuchet MS" w:hAnsi="Trebuchet MS"/>
          <w:sz w:val="20"/>
        </w:rPr>
        <w:t>As câmaras de perfusão (Fig.3.6) são hermeticamente fechadas e de pequeno volume</w:t>
      </w:r>
      <w:r w:rsidR="006B37CC">
        <w:rPr>
          <w:rFonts w:ascii="Trebuchet MS" w:hAnsi="Trebuchet MS"/>
          <w:sz w:val="20"/>
        </w:rPr>
        <w:t xml:space="preserve">. </w:t>
      </w:r>
      <w:r w:rsidRPr="009E323D">
        <w:rPr>
          <w:rFonts w:ascii="Trebuchet MS" w:hAnsi="Trebuchet MS"/>
          <w:sz w:val="20"/>
        </w:rPr>
        <w:t>Foram con</w:t>
      </w:r>
      <w:r w:rsidR="00540BD8" w:rsidRPr="009E323D">
        <w:rPr>
          <w:rFonts w:ascii="Trebuchet MS" w:hAnsi="Trebuchet MS"/>
          <w:sz w:val="20"/>
        </w:rPr>
        <w:t>struídas a partir de um</w:t>
      </w:r>
      <w:r w:rsidR="006B37CC">
        <w:rPr>
          <w:rFonts w:ascii="Trebuchet MS" w:hAnsi="Trebuchet MS"/>
          <w:sz w:val="20"/>
        </w:rPr>
        <w:t xml:space="preserve"> tubo</w:t>
      </w:r>
      <w:r w:rsidR="00540BD8" w:rsidRPr="009E323D">
        <w:rPr>
          <w:rFonts w:ascii="Trebuchet MS" w:hAnsi="Trebuchet MS"/>
          <w:sz w:val="20"/>
        </w:rPr>
        <w:t xml:space="preserve"> falcon, em que se introduziu no seu interior </w:t>
      </w:r>
      <w:r w:rsidRPr="009E323D">
        <w:rPr>
          <w:rFonts w:ascii="Trebuchet MS" w:hAnsi="Trebuchet MS"/>
          <w:sz w:val="20"/>
        </w:rPr>
        <w:t xml:space="preserve">um </w:t>
      </w:r>
      <w:r w:rsidRPr="009E323D">
        <w:rPr>
          <w:rFonts w:ascii="Trebuchet MS" w:hAnsi="Trebuchet MS"/>
          <w:i/>
          <w:sz w:val="20"/>
        </w:rPr>
        <w:t>cell strainner</w:t>
      </w:r>
      <w:r w:rsidRPr="009E323D">
        <w:rPr>
          <w:rFonts w:ascii="Trebuchet MS" w:hAnsi="Trebuchet MS"/>
          <w:sz w:val="20"/>
        </w:rPr>
        <w:t xml:space="preserve"> (Fig. 3.1) para suportar as fatias de cérebro</w:t>
      </w:r>
      <w:r w:rsidR="00540BD8" w:rsidRPr="009E323D">
        <w:rPr>
          <w:rFonts w:ascii="Trebuchet MS" w:hAnsi="Trebuchet MS"/>
          <w:sz w:val="20"/>
        </w:rPr>
        <w:t xml:space="preserve"> de rato</w:t>
      </w:r>
      <w:r w:rsidRPr="009E323D">
        <w:rPr>
          <w:rFonts w:ascii="Trebuchet MS" w:hAnsi="Trebuchet MS"/>
          <w:sz w:val="20"/>
        </w:rPr>
        <w:t xml:space="preserve">. </w:t>
      </w:r>
    </w:p>
    <w:p w:rsidR="00727764" w:rsidRPr="00751D14" w:rsidRDefault="00727764" w:rsidP="00727764">
      <w:pPr>
        <w:spacing w:after="200" w:line="360" w:lineRule="auto"/>
        <w:ind w:firstLine="708"/>
        <w:contextualSpacing/>
        <w:jc w:val="both"/>
        <w:rPr>
          <w:rFonts w:ascii="Trebuchet MS" w:hAnsi="Trebuchet MS"/>
        </w:rPr>
      </w:pPr>
      <w:r w:rsidRPr="00751D14">
        <w:rPr>
          <w:rFonts w:ascii="Trebuchet MS" w:hAnsi="Trebuchet MS"/>
          <w:noProof/>
          <w:lang w:eastAsia="pt-PT"/>
        </w:rPr>
        <w:drawing>
          <wp:anchor distT="0" distB="0" distL="114300" distR="114300" simplePos="0" relativeHeight="251676160" behindDoc="1" locked="0" layoutInCell="1" allowOverlap="1">
            <wp:simplePos x="0" y="0"/>
            <wp:positionH relativeFrom="column">
              <wp:posOffset>2068830</wp:posOffset>
            </wp:positionH>
            <wp:positionV relativeFrom="paragraph">
              <wp:posOffset>216535</wp:posOffset>
            </wp:positionV>
            <wp:extent cx="878205" cy="1071245"/>
            <wp:effectExtent l="19050" t="0" r="0" b="0"/>
            <wp:wrapTight wrapText="bothSides">
              <wp:wrapPolygon edited="0">
                <wp:start x="-469" y="0"/>
                <wp:lineTo x="-469" y="21126"/>
                <wp:lineTo x="21553" y="21126"/>
                <wp:lineTo x="21553" y="0"/>
                <wp:lineTo x="-469" y="0"/>
              </wp:wrapPolygon>
            </wp:wrapTight>
            <wp:docPr id="10" name="Imagem 64" descr="C:\Users\Blandina Esteves\Desktop\Tese Mestrado BQ\Fotos Mestrado BQ\S70003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Blandina Esteves\Desktop\Tese Mestrado BQ\Fotos Mestrado BQ\S7000389.JPG"/>
                    <pic:cNvPicPr>
                      <a:picLocks noChangeAspect="1" noChangeArrowheads="1"/>
                    </pic:cNvPicPr>
                  </pic:nvPicPr>
                  <pic:blipFill>
                    <a:blip r:embed="rId26" cstate="print"/>
                    <a:srcRect b="9085"/>
                    <a:stretch>
                      <a:fillRect/>
                    </a:stretch>
                  </pic:blipFill>
                  <pic:spPr bwMode="auto">
                    <a:xfrm>
                      <a:off x="0" y="0"/>
                      <a:ext cx="878205" cy="1071245"/>
                    </a:xfrm>
                    <a:prstGeom prst="rect">
                      <a:avLst/>
                    </a:prstGeom>
                    <a:noFill/>
                    <a:ln w="9525">
                      <a:noFill/>
                      <a:miter lim="800000"/>
                      <a:headEnd/>
                      <a:tailEnd/>
                    </a:ln>
                  </pic:spPr>
                </pic:pic>
              </a:graphicData>
            </a:graphic>
          </wp:anchor>
        </w:drawing>
      </w:r>
    </w:p>
    <w:p w:rsidR="00727764" w:rsidRPr="00751D14" w:rsidRDefault="00727764" w:rsidP="00727764">
      <w:pPr>
        <w:spacing w:after="200" w:line="360" w:lineRule="auto"/>
        <w:ind w:firstLine="708"/>
        <w:contextualSpacing/>
        <w:jc w:val="both"/>
        <w:rPr>
          <w:rFonts w:ascii="Trebuchet MS" w:hAnsi="Trebuchet MS"/>
        </w:rPr>
      </w:pPr>
      <w:r w:rsidRPr="00751D14">
        <w:rPr>
          <w:rFonts w:ascii="Trebuchet MS" w:hAnsi="Trebuchet MS"/>
          <w:noProof/>
          <w:lang w:eastAsia="pt-PT"/>
        </w:rPr>
        <w:drawing>
          <wp:anchor distT="0" distB="0" distL="114300" distR="114300" simplePos="0" relativeHeight="251678208" behindDoc="1" locked="0" layoutInCell="1" allowOverlap="1">
            <wp:simplePos x="0" y="0"/>
            <wp:positionH relativeFrom="column">
              <wp:posOffset>3120390</wp:posOffset>
            </wp:positionH>
            <wp:positionV relativeFrom="paragraph">
              <wp:posOffset>111760</wp:posOffset>
            </wp:positionV>
            <wp:extent cx="1194435" cy="891540"/>
            <wp:effectExtent l="19050" t="0" r="5715" b="0"/>
            <wp:wrapTight wrapText="bothSides">
              <wp:wrapPolygon edited="0">
                <wp:start x="-344" y="0"/>
                <wp:lineTo x="-344" y="21231"/>
                <wp:lineTo x="21703" y="21231"/>
                <wp:lineTo x="21703" y="0"/>
                <wp:lineTo x="-344" y="0"/>
              </wp:wrapPolygon>
            </wp:wrapTight>
            <wp:docPr id="11" name="Imagem 65" descr="C:\Users\Blandina Esteves\Desktop\Tese Mestrado BQ\Fotos Mestrado BQ\S70003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Blandina Esteves\Desktop\Tese Mestrado BQ\Fotos Mestrado BQ\S7000383.JPG"/>
                    <pic:cNvPicPr>
                      <a:picLocks noChangeAspect="1" noChangeArrowheads="1"/>
                    </pic:cNvPicPr>
                  </pic:nvPicPr>
                  <pic:blipFill>
                    <a:blip r:embed="rId27" cstate="print"/>
                    <a:srcRect/>
                    <a:stretch>
                      <a:fillRect/>
                    </a:stretch>
                  </pic:blipFill>
                  <pic:spPr bwMode="auto">
                    <a:xfrm>
                      <a:off x="0" y="0"/>
                      <a:ext cx="1194435" cy="891540"/>
                    </a:xfrm>
                    <a:prstGeom prst="rect">
                      <a:avLst/>
                    </a:prstGeom>
                    <a:noFill/>
                    <a:ln w="9525">
                      <a:noFill/>
                      <a:miter lim="800000"/>
                      <a:headEnd/>
                      <a:tailEnd/>
                    </a:ln>
                  </pic:spPr>
                </pic:pic>
              </a:graphicData>
            </a:graphic>
          </wp:anchor>
        </w:drawing>
      </w:r>
      <w:r w:rsidRPr="00751D14">
        <w:rPr>
          <w:rFonts w:ascii="Trebuchet MS" w:hAnsi="Trebuchet MS"/>
          <w:noProof/>
          <w:lang w:eastAsia="pt-PT"/>
        </w:rPr>
        <w:drawing>
          <wp:anchor distT="0" distB="0" distL="114300" distR="114300" simplePos="0" relativeHeight="251677184" behindDoc="1" locked="0" layoutInCell="1" allowOverlap="1">
            <wp:simplePos x="0" y="0"/>
            <wp:positionH relativeFrom="column">
              <wp:posOffset>756285</wp:posOffset>
            </wp:positionH>
            <wp:positionV relativeFrom="paragraph">
              <wp:posOffset>150495</wp:posOffset>
            </wp:positionV>
            <wp:extent cx="1091565" cy="857885"/>
            <wp:effectExtent l="19050" t="0" r="0" b="0"/>
            <wp:wrapTight wrapText="bothSides">
              <wp:wrapPolygon edited="0">
                <wp:start x="-377" y="0"/>
                <wp:lineTo x="-377" y="21104"/>
                <wp:lineTo x="21487" y="21104"/>
                <wp:lineTo x="21487" y="0"/>
                <wp:lineTo x="-377" y="0"/>
              </wp:wrapPolygon>
            </wp:wrapTight>
            <wp:docPr id="12" name="Imagem 66" descr="C:\Users\Blandina Esteves\Desktop\Tese Mestrado BQ\Fotos Mestrado BQ\S70003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Blandina Esteves\Desktop\Tese Mestrado BQ\Fotos Mestrado BQ\S7000384.JPG"/>
                    <pic:cNvPicPr>
                      <a:picLocks noChangeAspect="1" noChangeArrowheads="1"/>
                    </pic:cNvPicPr>
                  </pic:nvPicPr>
                  <pic:blipFill>
                    <a:blip r:embed="rId28" cstate="print"/>
                    <a:srcRect l="11249" t="10013" r="11249" b="10013"/>
                    <a:stretch>
                      <a:fillRect/>
                    </a:stretch>
                  </pic:blipFill>
                  <pic:spPr bwMode="auto">
                    <a:xfrm>
                      <a:off x="0" y="0"/>
                      <a:ext cx="1091565" cy="857885"/>
                    </a:xfrm>
                    <a:prstGeom prst="rect">
                      <a:avLst/>
                    </a:prstGeom>
                    <a:noFill/>
                    <a:ln w="9525">
                      <a:noFill/>
                      <a:miter lim="800000"/>
                      <a:headEnd/>
                      <a:tailEnd/>
                    </a:ln>
                  </pic:spPr>
                </pic:pic>
              </a:graphicData>
            </a:graphic>
          </wp:anchor>
        </w:drawing>
      </w: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both"/>
        <w:rPr>
          <w:rFonts w:ascii="Trebuchet MS" w:hAnsi="Trebuchet MS"/>
        </w:rPr>
      </w:pPr>
    </w:p>
    <w:p w:rsidR="00727764" w:rsidRPr="00751D14" w:rsidRDefault="00727764" w:rsidP="00727764">
      <w:pPr>
        <w:spacing w:after="200" w:line="360" w:lineRule="auto"/>
        <w:ind w:firstLine="708"/>
        <w:contextualSpacing/>
        <w:jc w:val="center"/>
        <w:rPr>
          <w:rFonts w:ascii="Trebuchet MS" w:hAnsi="Trebuchet MS"/>
        </w:rPr>
      </w:pPr>
    </w:p>
    <w:p w:rsidR="00727764" w:rsidRPr="009E323D" w:rsidRDefault="00727764" w:rsidP="00727764">
      <w:pPr>
        <w:spacing w:after="200" w:line="360" w:lineRule="auto"/>
        <w:contextualSpacing/>
        <w:jc w:val="center"/>
        <w:rPr>
          <w:rFonts w:ascii="Trebuchet MS" w:hAnsi="Trebuchet MS"/>
          <w:sz w:val="18"/>
        </w:rPr>
      </w:pPr>
      <w:r w:rsidRPr="009E323D">
        <w:rPr>
          <w:rFonts w:ascii="Trebuchet MS" w:hAnsi="Trebuchet MS"/>
          <w:b/>
          <w:sz w:val="18"/>
        </w:rPr>
        <w:t>Fig. 3.6.</w:t>
      </w:r>
      <w:r w:rsidRPr="009E323D">
        <w:rPr>
          <w:rFonts w:ascii="Trebuchet MS" w:hAnsi="Trebuchet MS"/>
          <w:sz w:val="18"/>
        </w:rPr>
        <w:t xml:space="preserve"> </w:t>
      </w:r>
      <w:r w:rsidR="006D2BD4" w:rsidRPr="009E323D">
        <w:rPr>
          <w:rFonts w:ascii="Trebuchet MS" w:hAnsi="Trebuchet MS"/>
          <w:sz w:val="18"/>
        </w:rPr>
        <w:t>Ilustração representativa da constituição de uma</w:t>
      </w:r>
      <w:r w:rsidRPr="009E323D">
        <w:rPr>
          <w:rFonts w:ascii="Trebuchet MS" w:hAnsi="Trebuchet MS"/>
          <w:sz w:val="18"/>
        </w:rPr>
        <w:t xml:space="preserve"> câmara de perfusão.</w:t>
      </w:r>
    </w:p>
    <w:p w:rsidR="00727764" w:rsidRPr="00751D14" w:rsidRDefault="00727764" w:rsidP="00727764">
      <w:pPr>
        <w:spacing w:after="200" w:line="360" w:lineRule="auto"/>
        <w:contextualSpacing/>
        <w:jc w:val="both"/>
        <w:rPr>
          <w:rFonts w:ascii="Trebuchet MS" w:eastAsiaTheme="minorHAnsi" w:hAnsi="Trebuchet MS" w:cstheme="minorBidi"/>
        </w:rPr>
      </w:pPr>
    </w:p>
    <w:p w:rsidR="00D76B1B" w:rsidRDefault="00D76B1B" w:rsidP="00D22713">
      <w:pPr>
        <w:spacing w:after="200" w:line="360" w:lineRule="auto"/>
        <w:ind w:firstLine="709"/>
        <w:contextualSpacing/>
        <w:jc w:val="both"/>
        <w:rPr>
          <w:rFonts w:ascii="Trebuchet MS" w:eastAsiaTheme="minorHAnsi" w:hAnsi="Trebuchet MS" w:cstheme="minorBidi"/>
          <w:sz w:val="20"/>
        </w:rPr>
      </w:pPr>
      <w:r w:rsidRPr="009E323D">
        <w:rPr>
          <w:rFonts w:ascii="Trebuchet MS" w:eastAsiaTheme="minorHAnsi" w:hAnsi="Trebuchet MS" w:cstheme="minorBidi"/>
          <w:sz w:val="20"/>
        </w:rPr>
        <w:t>A temperatura foi monitorizada ao longo do procedimento experimental</w:t>
      </w:r>
      <w:r w:rsidR="00A016E6">
        <w:rPr>
          <w:rFonts w:ascii="Trebuchet MS" w:eastAsiaTheme="minorHAnsi" w:hAnsi="Trebuchet MS" w:cstheme="minorBidi"/>
          <w:sz w:val="20"/>
        </w:rPr>
        <w:t>.</w:t>
      </w:r>
    </w:p>
    <w:p w:rsidR="00D22713" w:rsidRDefault="00A016E6" w:rsidP="00D22713">
      <w:pPr>
        <w:spacing w:after="200" w:line="360" w:lineRule="auto"/>
        <w:ind w:firstLine="709"/>
        <w:contextualSpacing/>
        <w:jc w:val="both"/>
        <w:rPr>
          <w:rFonts w:ascii="Trebuchet MS" w:eastAsiaTheme="minorHAnsi" w:hAnsi="Trebuchet MS" w:cstheme="minorBidi"/>
          <w:sz w:val="20"/>
        </w:rPr>
      </w:pPr>
      <w:r>
        <w:rPr>
          <w:rFonts w:ascii="Trebuchet MS" w:hAnsi="Trebuchet MS"/>
          <w:sz w:val="20"/>
        </w:rPr>
        <w:t>As condições de perfusão foram ajustadas,</w:t>
      </w:r>
      <w:r w:rsidR="00D22713">
        <w:rPr>
          <w:rFonts w:ascii="Trebuchet MS" w:hAnsi="Trebuchet MS"/>
          <w:sz w:val="20"/>
        </w:rPr>
        <w:t xml:space="preserve"> </w:t>
      </w:r>
      <w:proofErr w:type="gramStart"/>
      <w:r w:rsidR="00D22713">
        <w:rPr>
          <w:rFonts w:ascii="Trebuchet MS" w:hAnsi="Trebuchet MS"/>
          <w:sz w:val="20"/>
        </w:rPr>
        <w:t>de forma a que</w:t>
      </w:r>
      <w:proofErr w:type="gramEnd"/>
      <w:r w:rsidR="00D22713">
        <w:rPr>
          <w:rFonts w:ascii="Trebuchet MS" w:hAnsi="Trebuchet MS"/>
          <w:sz w:val="20"/>
        </w:rPr>
        <w:t xml:space="preserve"> a temperatura no interior das </w:t>
      </w:r>
      <w:r w:rsidR="00D76B1B">
        <w:rPr>
          <w:rFonts w:ascii="Trebuchet MS" w:hAnsi="Trebuchet MS"/>
          <w:sz w:val="20"/>
        </w:rPr>
        <w:t>câmaras</w:t>
      </w:r>
      <w:r w:rsidR="00D22713">
        <w:rPr>
          <w:rFonts w:ascii="Trebuchet MS" w:hAnsi="Trebuchet MS"/>
          <w:sz w:val="20"/>
        </w:rPr>
        <w:t xml:space="preserve"> </w:t>
      </w:r>
      <w:r w:rsidR="00D76B1B">
        <w:rPr>
          <w:rFonts w:ascii="Trebuchet MS" w:eastAsiaTheme="minorHAnsi" w:hAnsi="Trebuchet MS" w:cstheme="minorBidi"/>
          <w:sz w:val="20"/>
        </w:rPr>
        <w:t>permanecesse a</w:t>
      </w:r>
      <w:r w:rsidR="00D22713">
        <w:rPr>
          <w:rFonts w:ascii="Trebuchet MS" w:eastAsiaTheme="minorHAnsi" w:hAnsi="Trebuchet MS" w:cstheme="minorBidi"/>
          <w:sz w:val="20"/>
        </w:rPr>
        <w:t xml:space="preserve"> 37ºC, pelo que, se testou diferentes </w:t>
      </w:r>
      <w:r w:rsidR="00D76B1B">
        <w:rPr>
          <w:rFonts w:ascii="Trebuchet MS" w:eastAsiaTheme="minorHAnsi" w:hAnsi="Trebuchet MS" w:cstheme="minorBidi"/>
          <w:sz w:val="20"/>
        </w:rPr>
        <w:t>velocidades de perfusão</w:t>
      </w:r>
      <w:r w:rsidR="00D22713">
        <w:rPr>
          <w:rFonts w:ascii="Trebuchet MS" w:eastAsiaTheme="minorHAnsi" w:hAnsi="Trebuchet MS" w:cstheme="minorBidi"/>
          <w:sz w:val="20"/>
        </w:rPr>
        <w:t>, em tubagens com diferentes diâmetros</w:t>
      </w:r>
      <w:r w:rsidR="00D76B1B">
        <w:rPr>
          <w:rFonts w:ascii="Trebuchet MS" w:eastAsiaTheme="minorHAnsi" w:hAnsi="Trebuchet MS" w:cstheme="minorBidi"/>
          <w:sz w:val="20"/>
        </w:rPr>
        <w:t>, a diferentes temperaturas do</w:t>
      </w:r>
      <w:r w:rsidR="00D22713">
        <w:rPr>
          <w:rFonts w:ascii="Trebuchet MS" w:eastAsiaTheme="minorHAnsi" w:hAnsi="Trebuchet MS" w:cstheme="minorBidi"/>
          <w:sz w:val="20"/>
        </w:rPr>
        <w:t xml:space="preserve"> </w:t>
      </w:r>
      <w:r w:rsidR="00D76B1B">
        <w:rPr>
          <w:rFonts w:ascii="Trebuchet MS" w:eastAsiaTheme="minorHAnsi" w:hAnsi="Trebuchet MS" w:cstheme="minorBidi"/>
          <w:sz w:val="20"/>
        </w:rPr>
        <w:t>banho termostatizado.</w:t>
      </w:r>
    </w:p>
    <w:p w:rsidR="00727764" w:rsidRPr="009E323D" w:rsidRDefault="00D22713" w:rsidP="00727764">
      <w:pPr>
        <w:spacing w:after="200" w:line="360" w:lineRule="auto"/>
        <w:ind w:firstLine="709"/>
        <w:contextualSpacing/>
        <w:jc w:val="both"/>
        <w:rPr>
          <w:rFonts w:ascii="Trebuchet MS" w:eastAsiaTheme="minorHAnsi" w:hAnsi="Trebuchet MS" w:cstheme="minorBidi"/>
          <w:sz w:val="20"/>
        </w:rPr>
      </w:pPr>
      <w:r>
        <w:rPr>
          <w:rFonts w:ascii="Trebuchet MS" w:eastAsiaTheme="minorHAnsi" w:hAnsi="Trebuchet MS" w:cstheme="minorBidi"/>
          <w:sz w:val="20"/>
        </w:rPr>
        <w:t xml:space="preserve"> </w:t>
      </w:r>
      <w:r w:rsidR="00727764" w:rsidRPr="009E323D">
        <w:rPr>
          <w:rFonts w:ascii="Trebuchet MS" w:eastAsiaTheme="minorHAnsi" w:hAnsi="Trebuchet MS" w:cstheme="minorBidi"/>
          <w:sz w:val="20"/>
        </w:rPr>
        <w:t xml:space="preserve">A temperatura do banho </w:t>
      </w:r>
      <w:r w:rsidR="00727764" w:rsidRPr="009E323D">
        <w:rPr>
          <w:rFonts w:ascii="Trebuchet MS" w:eastAsiaTheme="minorHAnsi" w:hAnsi="Trebuchet MS" w:cstheme="minorBidi"/>
          <w:bCs/>
          <w:sz w:val="20"/>
        </w:rPr>
        <w:t xml:space="preserve">termostatizado </w:t>
      </w:r>
      <w:r w:rsidR="006D2BD4" w:rsidRPr="009E323D">
        <w:rPr>
          <w:rFonts w:ascii="Trebuchet MS" w:eastAsiaTheme="minorHAnsi" w:hAnsi="Trebuchet MS" w:cstheme="minorBidi"/>
          <w:sz w:val="20"/>
        </w:rPr>
        <w:t>foi</w:t>
      </w:r>
      <w:r w:rsidR="00727764" w:rsidRPr="009E323D">
        <w:rPr>
          <w:rFonts w:ascii="Trebuchet MS" w:eastAsiaTheme="minorHAnsi" w:hAnsi="Trebuchet MS" w:cstheme="minorBidi"/>
          <w:sz w:val="20"/>
        </w:rPr>
        <w:t xml:space="preserve"> mantida a 38ºC, para que nas câmaras de perfusão a temperatura esteja a 37ºC, para o fluxo de 1mL/min. Dietrich </w:t>
      </w:r>
      <w:r w:rsidR="00194A32" w:rsidRPr="009E323D">
        <w:rPr>
          <w:rFonts w:ascii="Trebuchet MS" w:eastAsiaTheme="minorHAnsi" w:hAnsi="Trebuchet MS" w:cstheme="minorBidi"/>
          <w:i/>
          <w:sz w:val="20"/>
        </w:rPr>
        <w:t xml:space="preserve">et al. </w:t>
      </w:r>
      <w:r w:rsidR="00727764" w:rsidRPr="009E323D">
        <w:rPr>
          <w:rFonts w:ascii="Trebuchet MS" w:eastAsiaTheme="minorHAnsi" w:hAnsi="Trebuchet MS" w:cstheme="minorBidi"/>
          <w:sz w:val="20"/>
        </w:rPr>
        <w:t>(1990b) demonstraram que a falta de monitorização ou controlo da temperatura cerebral, pode intr</w:t>
      </w:r>
      <w:r w:rsidR="00727764" w:rsidRPr="009E323D">
        <w:rPr>
          <w:rFonts w:ascii="Trebuchet MS" w:eastAsiaTheme="minorHAnsi" w:hAnsi="Trebuchet MS" w:cstheme="minorBidi"/>
          <w:sz w:val="20"/>
        </w:rPr>
        <w:t>o</w:t>
      </w:r>
      <w:r w:rsidR="00727764" w:rsidRPr="009E323D">
        <w:rPr>
          <w:rFonts w:ascii="Trebuchet MS" w:eastAsiaTheme="minorHAnsi" w:hAnsi="Trebuchet MS" w:cstheme="minorBidi"/>
          <w:sz w:val="20"/>
        </w:rPr>
        <w:t xml:space="preserve">duzir variabilidade nos resultados de estudos experimentais sobre isquémia. </w:t>
      </w:r>
    </w:p>
    <w:p w:rsidR="00D22713" w:rsidRDefault="00727764" w:rsidP="00727764">
      <w:pPr>
        <w:spacing w:after="200" w:line="360" w:lineRule="auto"/>
        <w:ind w:firstLine="709"/>
        <w:contextualSpacing/>
        <w:jc w:val="both"/>
        <w:rPr>
          <w:rFonts w:ascii="Trebuchet MS" w:hAnsi="Trebuchet MS"/>
          <w:sz w:val="20"/>
        </w:rPr>
      </w:pPr>
      <w:r w:rsidRPr="009E323D">
        <w:rPr>
          <w:rFonts w:ascii="Trebuchet MS" w:hAnsi="Trebuchet MS"/>
          <w:sz w:val="20"/>
          <w:lang w:val="en-US"/>
        </w:rPr>
        <w:t xml:space="preserve">Green </w:t>
      </w:r>
      <w:r w:rsidR="00194A32" w:rsidRPr="009E323D">
        <w:rPr>
          <w:rFonts w:ascii="Trebuchet MS" w:hAnsi="Trebuchet MS"/>
          <w:i/>
          <w:sz w:val="20"/>
          <w:lang w:val="en-US"/>
        </w:rPr>
        <w:t xml:space="preserve">et al. </w:t>
      </w:r>
      <w:r w:rsidRPr="009E323D">
        <w:rPr>
          <w:rFonts w:ascii="Trebuchet MS" w:hAnsi="Trebuchet MS"/>
          <w:sz w:val="20"/>
          <w:lang w:val="en-US"/>
        </w:rPr>
        <w:t xml:space="preserve">(1992), Dietrich </w:t>
      </w:r>
      <w:r w:rsidR="00194A32" w:rsidRPr="009E323D">
        <w:rPr>
          <w:rFonts w:ascii="Trebuchet MS" w:hAnsi="Trebuchet MS"/>
          <w:i/>
          <w:sz w:val="20"/>
          <w:lang w:val="en-US"/>
        </w:rPr>
        <w:t xml:space="preserve">et al. </w:t>
      </w:r>
      <w:r w:rsidRPr="009E323D">
        <w:rPr>
          <w:rFonts w:ascii="Trebuchet MS" w:hAnsi="Trebuchet MS"/>
          <w:sz w:val="20"/>
        </w:rPr>
        <w:t>(1990b) demonstraram que enquanto a hipotermia leve (33ºC) proteg</w:t>
      </w:r>
      <w:r w:rsidR="00D22713">
        <w:rPr>
          <w:rFonts w:ascii="Trebuchet MS" w:hAnsi="Trebuchet MS"/>
          <w:sz w:val="20"/>
        </w:rPr>
        <w:t>ia</w:t>
      </w:r>
      <w:r w:rsidRPr="009E323D">
        <w:rPr>
          <w:rFonts w:ascii="Trebuchet MS" w:hAnsi="Trebuchet MS"/>
          <w:sz w:val="20"/>
        </w:rPr>
        <w:t xml:space="preserve"> o cérebro da isquémia, a hipertermia leve (39ºC e 36ºC respectivamente) piora significativamente resultados histopatológicos e comportamentais.</w:t>
      </w:r>
    </w:p>
    <w:p w:rsidR="00D76B1B" w:rsidRDefault="00D76B1B" w:rsidP="00727764">
      <w:pPr>
        <w:spacing w:line="360" w:lineRule="auto"/>
        <w:ind w:firstLine="708"/>
        <w:contextualSpacing/>
        <w:jc w:val="both"/>
        <w:rPr>
          <w:rFonts w:ascii="Trebuchet MS" w:hAnsi="Trebuchet MS"/>
          <w:sz w:val="20"/>
        </w:rPr>
      </w:pPr>
    </w:p>
    <w:p w:rsidR="00F96662" w:rsidRPr="00B76828" w:rsidRDefault="00F96662" w:rsidP="00F96662">
      <w:pPr>
        <w:ind w:firstLine="180"/>
        <w:jc w:val="both"/>
        <w:rPr>
          <w:rFonts w:ascii="Trebuchet MS" w:eastAsiaTheme="minorHAnsi" w:hAnsi="Trebuchet MS" w:cstheme="minorBidi"/>
          <w:b/>
          <w:smallCaps/>
          <w:shadow/>
          <w:u w:val="single"/>
        </w:rPr>
      </w:pPr>
      <w:r w:rsidRPr="00B76828">
        <w:rPr>
          <w:rFonts w:ascii="Trebuchet MS" w:eastAsiaTheme="minorHAnsi" w:hAnsi="Trebuchet MS" w:cstheme="minorBidi"/>
          <w:b/>
          <w:smallCaps/>
          <w:shadow/>
          <w:sz w:val="20"/>
        </w:rPr>
        <w:sym w:font="Wingdings" w:char="F0D6"/>
      </w:r>
      <w:r>
        <w:rPr>
          <w:rFonts w:ascii="Trebuchet MS" w:eastAsiaTheme="minorHAnsi" w:hAnsi="Trebuchet MS" w:cstheme="minorBidi"/>
          <w:b/>
          <w:smallCaps/>
          <w:shadow/>
          <w:u w:val="single"/>
        </w:rPr>
        <w:t>Vantagens do Sistema de P</w:t>
      </w:r>
      <w:r w:rsidRPr="00B76828">
        <w:rPr>
          <w:rFonts w:ascii="Trebuchet MS" w:eastAsiaTheme="minorHAnsi" w:hAnsi="Trebuchet MS" w:cstheme="minorBidi"/>
          <w:b/>
          <w:smallCaps/>
          <w:shadow/>
          <w:u w:val="single"/>
        </w:rPr>
        <w:t>erfusão</w:t>
      </w:r>
    </w:p>
    <w:p w:rsidR="00F96662" w:rsidRPr="00B76828" w:rsidRDefault="00F96662" w:rsidP="00F96662">
      <w:pPr>
        <w:ind w:firstLine="180"/>
        <w:jc w:val="both"/>
        <w:rPr>
          <w:rFonts w:ascii="Trebuchet MS" w:eastAsiaTheme="minorHAnsi" w:hAnsi="Trebuchet MS" w:cs="Garamond-Book"/>
          <w:sz w:val="20"/>
          <w:szCs w:val="20"/>
        </w:rPr>
      </w:pPr>
    </w:p>
    <w:p w:rsidR="00F96662" w:rsidRPr="00B76828" w:rsidRDefault="00A016E6" w:rsidP="00F96662">
      <w:pPr>
        <w:autoSpaceDE w:val="0"/>
        <w:autoSpaceDN w:val="0"/>
        <w:adjustRightInd w:val="0"/>
        <w:spacing w:line="360" w:lineRule="auto"/>
        <w:ind w:firstLine="708"/>
        <w:jc w:val="both"/>
        <w:rPr>
          <w:rFonts w:ascii="Trebuchet MS" w:eastAsiaTheme="minorHAnsi" w:hAnsi="Trebuchet MS" w:cstheme="minorBidi"/>
          <w:sz w:val="20"/>
        </w:rPr>
      </w:pPr>
      <w:r>
        <w:rPr>
          <w:rFonts w:ascii="Trebuchet MS" w:eastAsiaTheme="minorHAnsi" w:hAnsi="Trebuchet MS" w:cstheme="minorBidi"/>
          <w:sz w:val="20"/>
        </w:rPr>
        <w:t>O</w:t>
      </w:r>
      <w:r w:rsidR="00F96662" w:rsidRPr="00B76828">
        <w:rPr>
          <w:rFonts w:ascii="Trebuchet MS" w:eastAsiaTheme="minorHAnsi" w:hAnsi="Trebuchet MS" w:cstheme="minorBidi"/>
          <w:sz w:val="20"/>
        </w:rPr>
        <w:t xml:space="preserve"> </w:t>
      </w:r>
      <w:r w:rsidR="00F96662" w:rsidRPr="00B76828">
        <w:rPr>
          <w:rFonts w:ascii="Trebuchet MS" w:eastAsiaTheme="minorHAnsi" w:hAnsi="Trebuchet MS" w:cstheme="minorBidi"/>
          <w:sz w:val="20"/>
          <w:u w:val="single"/>
        </w:rPr>
        <w:t>sistema de câmaras de perfusão ad</w:t>
      </w:r>
      <w:r>
        <w:rPr>
          <w:rFonts w:ascii="Trebuchet MS" w:eastAsiaTheme="minorHAnsi" w:hAnsi="Trebuchet MS" w:cstheme="minorBidi"/>
          <w:sz w:val="20"/>
          <w:u w:val="single"/>
        </w:rPr>
        <w:t>o</w:t>
      </w:r>
      <w:r w:rsidR="00F96662" w:rsidRPr="00B76828">
        <w:rPr>
          <w:rFonts w:ascii="Trebuchet MS" w:eastAsiaTheme="minorHAnsi" w:hAnsi="Trebuchet MS" w:cstheme="minorBidi"/>
          <w:sz w:val="20"/>
          <w:u w:val="single"/>
        </w:rPr>
        <w:t>ptado</w:t>
      </w:r>
      <w:r w:rsidR="00F96662" w:rsidRPr="00B76828">
        <w:rPr>
          <w:rFonts w:ascii="Trebuchet MS" w:eastAsiaTheme="minorHAnsi" w:hAnsi="Trebuchet MS" w:cstheme="minorBidi"/>
          <w:sz w:val="20"/>
        </w:rPr>
        <w:t xml:space="preserve"> </w:t>
      </w:r>
      <w:r>
        <w:rPr>
          <w:rFonts w:ascii="Trebuchet MS" w:eastAsiaTheme="minorHAnsi" w:hAnsi="Trebuchet MS" w:cstheme="minorBidi"/>
          <w:sz w:val="20"/>
        </w:rPr>
        <w:t>oferece vantagens em relação a</w:t>
      </w:r>
      <w:r w:rsidR="00F96662" w:rsidRPr="00B76828">
        <w:rPr>
          <w:rFonts w:ascii="Trebuchet MS" w:eastAsiaTheme="minorHAnsi" w:hAnsi="Trebuchet MS" w:cstheme="minorBidi"/>
          <w:sz w:val="20"/>
        </w:rPr>
        <w:t xml:space="preserve"> modelos convencionais utilizados por outros investigadores (Monette </w:t>
      </w:r>
      <w:r w:rsidR="00F96662" w:rsidRPr="00B76828">
        <w:rPr>
          <w:rFonts w:ascii="Trebuchet MS" w:eastAsiaTheme="minorHAnsi" w:hAnsi="Trebuchet MS" w:cstheme="minorBidi"/>
          <w:i/>
          <w:sz w:val="20"/>
        </w:rPr>
        <w:t>et al.</w:t>
      </w:r>
      <w:r w:rsidR="00F96662" w:rsidRPr="00B76828">
        <w:rPr>
          <w:rFonts w:ascii="Trebuchet MS" w:eastAsiaTheme="minorHAnsi" w:hAnsi="Trebuchet MS" w:cstheme="minorBidi"/>
          <w:sz w:val="20"/>
        </w:rPr>
        <w:t xml:space="preserve">, 1998; Toner </w:t>
      </w:r>
      <w:r w:rsidR="00F96662" w:rsidRPr="00B76828">
        <w:rPr>
          <w:rFonts w:ascii="Trebuchet MS" w:eastAsiaTheme="minorHAnsi" w:hAnsi="Trebuchet MS" w:cstheme="minorBidi"/>
          <w:i/>
          <w:sz w:val="20"/>
        </w:rPr>
        <w:t>et al.</w:t>
      </w:r>
      <w:r w:rsidR="00F96662" w:rsidRPr="00B76828">
        <w:rPr>
          <w:rFonts w:ascii="Trebuchet MS" w:eastAsiaTheme="minorHAnsi" w:hAnsi="Trebuchet MS" w:cstheme="minorBidi"/>
          <w:sz w:val="20"/>
        </w:rPr>
        <w:t xml:space="preserve">, 2002; Xue </w:t>
      </w:r>
      <w:r w:rsidR="00F96662" w:rsidRPr="00B76828">
        <w:rPr>
          <w:rFonts w:ascii="Trebuchet MS" w:eastAsiaTheme="minorHAnsi" w:hAnsi="Trebuchet MS" w:cstheme="minorBidi"/>
          <w:i/>
          <w:sz w:val="20"/>
        </w:rPr>
        <w:t>et al.</w:t>
      </w:r>
      <w:r w:rsidR="00F96662" w:rsidRPr="00B76828">
        <w:rPr>
          <w:rFonts w:ascii="Trebuchet MS" w:eastAsiaTheme="minorHAnsi" w:hAnsi="Trebuchet MS" w:cstheme="minorBidi"/>
          <w:sz w:val="20"/>
        </w:rPr>
        <w:t xml:space="preserve">, 2004; Zhang </w:t>
      </w:r>
      <w:r w:rsidR="00F96662" w:rsidRPr="00B76828">
        <w:rPr>
          <w:rFonts w:ascii="Trebuchet MS" w:eastAsiaTheme="minorHAnsi" w:hAnsi="Trebuchet MS" w:cstheme="minorBidi"/>
          <w:i/>
          <w:sz w:val="20"/>
        </w:rPr>
        <w:t>et al.</w:t>
      </w:r>
      <w:r w:rsidR="00F96662" w:rsidRPr="00B76828">
        <w:rPr>
          <w:rFonts w:ascii="Trebuchet MS" w:eastAsiaTheme="minorHAnsi" w:hAnsi="Trebuchet MS" w:cstheme="minorBidi"/>
          <w:sz w:val="20"/>
        </w:rPr>
        <w:t>, 2008</w:t>
      </w:r>
      <w:r>
        <w:rPr>
          <w:rFonts w:ascii="Trebuchet MS" w:eastAsiaTheme="minorHAnsi" w:hAnsi="Trebuchet MS" w:cstheme="minorBidi"/>
          <w:sz w:val="20"/>
        </w:rPr>
        <w:t>)</w:t>
      </w:r>
      <w:r w:rsidR="00F96662" w:rsidRPr="00B76828">
        <w:rPr>
          <w:rFonts w:ascii="Trebuchet MS" w:eastAsiaTheme="minorHAnsi" w:hAnsi="Trebuchet MS" w:cstheme="minorBidi"/>
          <w:sz w:val="20"/>
        </w:rPr>
        <w:t>; tais como:</w:t>
      </w:r>
    </w:p>
    <w:p w:rsidR="00F96662" w:rsidRPr="00B76828" w:rsidRDefault="00F96662" w:rsidP="00F96662">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lastRenderedPageBreak/>
        <w:t xml:space="preserve">- </w:t>
      </w:r>
      <w:proofErr w:type="gramStart"/>
      <w:r w:rsidRPr="009E323D">
        <w:rPr>
          <w:rFonts w:ascii="Trebuchet MS" w:hAnsi="Trebuchet MS"/>
          <w:sz w:val="20"/>
        </w:rPr>
        <w:t>fluxo</w:t>
      </w:r>
      <w:proofErr w:type="gramEnd"/>
      <w:r w:rsidRPr="009E323D">
        <w:rPr>
          <w:rFonts w:ascii="Trebuchet MS" w:hAnsi="Trebuchet MS"/>
          <w:sz w:val="20"/>
        </w:rPr>
        <w:t xml:space="preserve"> constante ao longo de toda a experiência (1mL/min)</w:t>
      </w:r>
      <w:r>
        <w:rPr>
          <w:rFonts w:ascii="Trebuchet MS" w:hAnsi="Trebuchet MS"/>
          <w:sz w:val="20"/>
        </w:rPr>
        <w:t>,</w:t>
      </w:r>
      <w:r w:rsidRPr="00F96662">
        <w:rPr>
          <w:rFonts w:ascii="Trebuchet MS" w:hAnsi="Trebuchet MS"/>
          <w:sz w:val="20"/>
        </w:rPr>
        <w:t xml:space="preserve"> </w:t>
      </w:r>
      <w:r>
        <w:rPr>
          <w:rFonts w:ascii="Trebuchet MS" w:hAnsi="Trebuchet MS"/>
          <w:sz w:val="20"/>
        </w:rPr>
        <w:t xml:space="preserve">o que permite uma </w:t>
      </w:r>
      <w:r w:rsidRPr="009E323D">
        <w:rPr>
          <w:rFonts w:ascii="Trebuchet MS" w:hAnsi="Trebuchet MS"/>
          <w:sz w:val="20"/>
        </w:rPr>
        <w:t>pe</w:t>
      </w:r>
      <w:r w:rsidRPr="009E323D">
        <w:rPr>
          <w:rFonts w:ascii="Trebuchet MS" w:hAnsi="Trebuchet MS"/>
          <w:sz w:val="20"/>
        </w:rPr>
        <w:t>r</w:t>
      </w:r>
      <w:r w:rsidRPr="009E323D">
        <w:rPr>
          <w:rFonts w:ascii="Trebuchet MS" w:hAnsi="Trebuchet MS"/>
          <w:sz w:val="20"/>
        </w:rPr>
        <w:t>fusão continuada sem interrup</w:t>
      </w:r>
      <w:r>
        <w:rPr>
          <w:rFonts w:ascii="Trebuchet MS" w:hAnsi="Trebuchet MS"/>
          <w:sz w:val="20"/>
        </w:rPr>
        <w:t xml:space="preserve">ções, com a vantagem </w:t>
      </w:r>
      <w:r w:rsidR="00AA3953">
        <w:rPr>
          <w:rFonts w:ascii="Trebuchet MS" w:hAnsi="Trebuchet MS"/>
          <w:sz w:val="20"/>
        </w:rPr>
        <w:t xml:space="preserve">de </w:t>
      </w:r>
      <w:r>
        <w:rPr>
          <w:rFonts w:ascii="Trebuchet MS" w:hAnsi="Trebuchet MS"/>
          <w:sz w:val="20"/>
        </w:rPr>
        <w:t xml:space="preserve">que </w:t>
      </w:r>
      <w:r w:rsidRPr="009E323D">
        <w:rPr>
          <w:rFonts w:ascii="Trebuchet MS" w:hAnsi="Trebuchet MS"/>
          <w:sz w:val="20"/>
        </w:rPr>
        <w:t xml:space="preserve">os gases estão </w:t>
      </w:r>
      <w:r w:rsidR="00A05CD6">
        <w:rPr>
          <w:rFonts w:ascii="Trebuchet MS" w:hAnsi="Trebuchet MS"/>
          <w:sz w:val="20"/>
        </w:rPr>
        <w:t xml:space="preserve"> dissolvidos</w:t>
      </w:r>
      <w:r w:rsidRPr="009E323D">
        <w:rPr>
          <w:rFonts w:ascii="Trebuchet MS" w:hAnsi="Trebuchet MS"/>
          <w:sz w:val="20"/>
        </w:rPr>
        <w:t xml:space="preserve"> no tam</w:t>
      </w:r>
      <w:r w:rsidR="00B706E0">
        <w:rPr>
          <w:rFonts w:ascii="Trebuchet MS" w:hAnsi="Trebuchet MS"/>
          <w:sz w:val="20"/>
        </w:rPr>
        <w:t>pão de perfusão</w:t>
      </w:r>
      <w:r>
        <w:rPr>
          <w:rFonts w:ascii="Trebuchet MS" w:hAnsi="Trebuchet MS"/>
          <w:sz w:val="20"/>
        </w:rPr>
        <w:t xml:space="preserve"> (</w:t>
      </w:r>
      <w:r w:rsidRPr="009E323D">
        <w:rPr>
          <w:rFonts w:ascii="Trebuchet MS" w:hAnsi="Trebuchet MS"/>
          <w:sz w:val="20"/>
        </w:rPr>
        <w:t>equilibrado com carbogénio ou azoto</w:t>
      </w:r>
      <w:r>
        <w:rPr>
          <w:rFonts w:ascii="Trebuchet MS" w:hAnsi="Trebuchet MS"/>
          <w:sz w:val="20"/>
        </w:rPr>
        <w:t>)</w:t>
      </w:r>
      <w:r w:rsidR="00AA3953">
        <w:rPr>
          <w:rFonts w:ascii="Trebuchet MS" w:hAnsi="Trebuchet MS"/>
          <w:sz w:val="20"/>
        </w:rPr>
        <w:t>, evitando</w:t>
      </w:r>
      <w:r w:rsidRPr="00B76828">
        <w:rPr>
          <w:rFonts w:ascii="Trebuchet MS" w:eastAsiaTheme="minorHAnsi" w:hAnsi="Trebuchet MS" w:cstheme="minorBidi"/>
          <w:sz w:val="20"/>
        </w:rPr>
        <w:t xml:space="preserve"> o borbulhamento dire</w:t>
      </w:r>
      <w:r w:rsidRPr="00B76828">
        <w:rPr>
          <w:rFonts w:ascii="Trebuchet MS" w:eastAsiaTheme="minorHAnsi" w:hAnsi="Trebuchet MS" w:cstheme="minorBidi"/>
          <w:sz w:val="20"/>
        </w:rPr>
        <w:t>c</w:t>
      </w:r>
      <w:r w:rsidRPr="00B76828">
        <w:rPr>
          <w:rFonts w:ascii="Trebuchet MS" w:eastAsiaTheme="minorHAnsi" w:hAnsi="Trebuchet MS" w:cstheme="minorBidi"/>
          <w:sz w:val="20"/>
        </w:rPr>
        <w:t xml:space="preserve">to de gases sobre as fatias. Desta forma, evitam-se os danos mecânicos que poderiam ocorrer durante o </w:t>
      </w:r>
      <w:r w:rsidR="00AA3953">
        <w:rPr>
          <w:rFonts w:ascii="Trebuchet MS" w:eastAsiaTheme="minorHAnsi" w:hAnsi="Trebuchet MS" w:cstheme="minorBidi"/>
          <w:sz w:val="20"/>
        </w:rPr>
        <w:t xml:space="preserve">processo de </w:t>
      </w:r>
      <w:r w:rsidRPr="00B76828">
        <w:rPr>
          <w:rFonts w:ascii="Trebuchet MS" w:eastAsiaTheme="minorHAnsi" w:hAnsi="Trebuchet MS" w:cstheme="minorBidi"/>
          <w:sz w:val="20"/>
        </w:rPr>
        <w:t>gaseamento.</w:t>
      </w:r>
    </w:p>
    <w:p w:rsidR="00F96662" w:rsidRPr="00B76828" w:rsidRDefault="00B706E0" w:rsidP="00F96662">
      <w:pPr>
        <w:autoSpaceDE w:val="0"/>
        <w:autoSpaceDN w:val="0"/>
        <w:adjustRightInd w:val="0"/>
        <w:spacing w:line="360" w:lineRule="auto"/>
        <w:ind w:firstLine="708"/>
        <w:jc w:val="both"/>
        <w:rPr>
          <w:rFonts w:ascii="Trebuchet MS" w:eastAsiaTheme="minorHAnsi" w:hAnsi="Trebuchet MS" w:cstheme="minorBidi"/>
          <w:sz w:val="20"/>
        </w:rPr>
      </w:pPr>
      <w:r>
        <w:rPr>
          <w:rFonts w:ascii="Trebuchet MS" w:eastAsiaTheme="minorHAnsi" w:hAnsi="Trebuchet MS" w:cstheme="minorBidi"/>
          <w:sz w:val="20"/>
        </w:rPr>
        <w:t xml:space="preserve">- </w:t>
      </w:r>
      <w:proofErr w:type="gramStart"/>
      <w:r>
        <w:rPr>
          <w:rFonts w:ascii="Trebuchet MS" w:eastAsiaTheme="minorHAnsi" w:hAnsi="Trebuchet MS" w:cstheme="minorBidi"/>
          <w:sz w:val="20"/>
        </w:rPr>
        <w:t>evita</w:t>
      </w:r>
      <w:proofErr w:type="gramEnd"/>
      <w:r>
        <w:rPr>
          <w:rFonts w:ascii="Trebuchet MS" w:eastAsiaTheme="minorHAnsi" w:hAnsi="Trebuchet MS" w:cstheme="minorBidi"/>
          <w:sz w:val="20"/>
        </w:rPr>
        <w:t xml:space="preserve"> a necessidade de transferência das fatias </w:t>
      </w:r>
      <w:r w:rsidR="002B1AB1">
        <w:rPr>
          <w:rFonts w:ascii="Trebuchet MS" w:eastAsiaTheme="minorHAnsi" w:hAnsi="Trebuchet MS" w:cstheme="minorBidi"/>
          <w:sz w:val="20"/>
        </w:rPr>
        <w:t>entre diferentes câmaras</w:t>
      </w:r>
      <w:r w:rsidR="00E42EC8">
        <w:rPr>
          <w:rFonts w:ascii="Trebuchet MS" w:eastAsiaTheme="minorHAnsi" w:hAnsi="Trebuchet MS" w:cstheme="minorBidi"/>
          <w:sz w:val="20"/>
        </w:rPr>
        <w:t xml:space="preserve">, que seriam </w:t>
      </w:r>
      <w:r w:rsidR="00F96662" w:rsidRPr="00B76828">
        <w:rPr>
          <w:rFonts w:ascii="Trebuchet MS" w:eastAsiaTheme="minorHAnsi" w:hAnsi="Trebuchet MS" w:cstheme="minorBidi"/>
          <w:sz w:val="20"/>
        </w:rPr>
        <w:t>necessá</w:t>
      </w:r>
      <w:r w:rsidR="00E42EC8">
        <w:rPr>
          <w:rFonts w:ascii="Trebuchet MS" w:eastAsiaTheme="minorHAnsi" w:hAnsi="Trebuchet MS" w:cstheme="minorBidi"/>
          <w:sz w:val="20"/>
        </w:rPr>
        <w:t>ria</w:t>
      </w:r>
      <w:r w:rsidR="00F96662" w:rsidRPr="00B76828">
        <w:rPr>
          <w:rFonts w:ascii="Trebuchet MS" w:eastAsiaTheme="minorHAnsi" w:hAnsi="Trebuchet MS" w:cstheme="minorBidi"/>
          <w:sz w:val="20"/>
        </w:rPr>
        <w:t xml:space="preserve"> para</w:t>
      </w:r>
      <w:r w:rsidR="00E42EC8">
        <w:rPr>
          <w:rFonts w:ascii="Trebuchet MS" w:eastAsiaTheme="minorHAnsi" w:hAnsi="Trebuchet MS" w:cstheme="minorBidi"/>
          <w:sz w:val="20"/>
        </w:rPr>
        <w:t xml:space="preserve"> aplicar</w:t>
      </w:r>
      <w:r w:rsidR="00F96662" w:rsidRPr="00B76828">
        <w:rPr>
          <w:rFonts w:ascii="Trebuchet MS" w:eastAsiaTheme="minorHAnsi" w:hAnsi="Trebuchet MS" w:cstheme="minorBidi"/>
          <w:sz w:val="20"/>
        </w:rPr>
        <w:t xml:space="preserve"> os diferentes tratamentos efectuados;</w:t>
      </w:r>
    </w:p>
    <w:p w:rsidR="00F96662" w:rsidRPr="00B76828" w:rsidRDefault="00F96662" w:rsidP="00F96662">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t xml:space="preserve">- </w:t>
      </w:r>
      <w:proofErr w:type="gramStart"/>
      <w:r w:rsidR="00AA3953">
        <w:rPr>
          <w:rFonts w:ascii="Trebuchet MS" w:eastAsiaTheme="minorHAnsi" w:hAnsi="Trebuchet MS" w:cstheme="minorBidi"/>
          <w:sz w:val="20"/>
        </w:rPr>
        <w:t>o</w:t>
      </w:r>
      <w:proofErr w:type="gramEnd"/>
      <w:r w:rsidR="00AA3953">
        <w:rPr>
          <w:rFonts w:ascii="Trebuchet MS" w:eastAsiaTheme="minorHAnsi" w:hAnsi="Trebuchet MS" w:cstheme="minorBidi"/>
          <w:sz w:val="20"/>
        </w:rPr>
        <w:t xml:space="preserve"> acondicionamento das fatias é estável</w:t>
      </w:r>
      <w:r w:rsidRPr="00B76828">
        <w:rPr>
          <w:rFonts w:ascii="Trebuchet MS" w:eastAsiaTheme="minorHAnsi" w:hAnsi="Trebuchet MS" w:cstheme="minorBidi"/>
          <w:sz w:val="20"/>
        </w:rPr>
        <w:t>, uma vez que, não são movid</w:t>
      </w:r>
      <w:r w:rsidR="00AA3953">
        <w:rPr>
          <w:rFonts w:ascii="Trebuchet MS" w:eastAsiaTheme="minorHAnsi" w:hAnsi="Trebuchet MS" w:cstheme="minorBidi"/>
          <w:sz w:val="20"/>
        </w:rPr>
        <w:t>a</w:t>
      </w:r>
      <w:r w:rsidRPr="00B76828">
        <w:rPr>
          <w:rFonts w:ascii="Trebuchet MS" w:eastAsiaTheme="minorHAnsi" w:hAnsi="Trebuchet MS" w:cstheme="minorBidi"/>
          <w:sz w:val="20"/>
        </w:rPr>
        <w:t>s nem desl</w:t>
      </w:r>
      <w:r w:rsidRPr="00B76828">
        <w:rPr>
          <w:rFonts w:ascii="Trebuchet MS" w:eastAsiaTheme="minorHAnsi" w:hAnsi="Trebuchet MS" w:cstheme="minorBidi"/>
          <w:sz w:val="20"/>
        </w:rPr>
        <w:t>o</w:t>
      </w:r>
      <w:r w:rsidRPr="00B76828">
        <w:rPr>
          <w:rFonts w:ascii="Trebuchet MS" w:eastAsiaTheme="minorHAnsi" w:hAnsi="Trebuchet MS" w:cstheme="minorBidi"/>
          <w:sz w:val="20"/>
        </w:rPr>
        <w:t xml:space="preserve">cadas, </w:t>
      </w:r>
      <w:r w:rsidR="00AA3953">
        <w:rPr>
          <w:rFonts w:ascii="Trebuchet MS" w:eastAsiaTheme="minorHAnsi" w:hAnsi="Trebuchet MS" w:cstheme="minorBidi"/>
          <w:sz w:val="20"/>
        </w:rPr>
        <w:t xml:space="preserve">estando melhor acondicionadas e </w:t>
      </w:r>
      <w:r w:rsidRPr="00B76828">
        <w:rPr>
          <w:rFonts w:ascii="Trebuchet MS" w:eastAsiaTheme="minorHAnsi" w:hAnsi="Trebuchet MS" w:cstheme="minorBidi"/>
          <w:sz w:val="20"/>
        </w:rPr>
        <w:t>sempre nas mesmas condições durante todo o prot</w:t>
      </w:r>
      <w:r w:rsidRPr="00B76828">
        <w:rPr>
          <w:rFonts w:ascii="Trebuchet MS" w:eastAsiaTheme="minorHAnsi" w:hAnsi="Trebuchet MS" w:cstheme="minorBidi"/>
          <w:sz w:val="20"/>
        </w:rPr>
        <w:t>o</w:t>
      </w:r>
      <w:r w:rsidRPr="00B76828">
        <w:rPr>
          <w:rFonts w:ascii="Trebuchet MS" w:eastAsiaTheme="minorHAnsi" w:hAnsi="Trebuchet MS" w:cstheme="minorBidi"/>
          <w:sz w:val="20"/>
        </w:rPr>
        <w:t>colo expe</w:t>
      </w:r>
      <w:r w:rsidR="00AA3953">
        <w:rPr>
          <w:rFonts w:ascii="Trebuchet MS" w:eastAsiaTheme="minorHAnsi" w:hAnsi="Trebuchet MS" w:cstheme="minorBidi"/>
          <w:sz w:val="20"/>
        </w:rPr>
        <w:t>rimental</w:t>
      </w:r>
      <w:r w:rsidRPr="009E323D">
        <w:rPr>
          <w:rFonts w:ascii="Trebuchet MS" w:hAnsi="Trebuchet MS"/>
          <w:sz w:val="20"/>
        </w:rPr>
        <w:t>, evitando, assim, danos devido ao manuseamento mecânico</w:t>
      </w:r>
      <w:r w:rsidR="00AA3953">
        <w:rPr>
          <w:rFonts w:ascii="Trebuchet MS" w:hAnsi="Trebuchet MS"/>
          <w:sz w:val="20"/>
        </w:rPr>
        <w:t xml:space="preserve"> destas.</w:t>
      </w:r>
    </w:p>
    <w:p w:rsidR="00F96662" w:rsidRPr="00B76828" w:rsidRDefault="00F96662" w:rsidP="00F96662">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t xml:space="preserve">De acordo com as condições utilizadas, </w:t>
      </w:r>
      <w:r w:rsidR="00AA3953">
        <w:rPr>
          <w:rFonts w:ascii="Trebuchet MS" w:eastAsiaTheme="minorHAnsi" w:hAnsi="Trebuchet MS" w:cstheme="minorBidi"/>
          <w:sz w:val="20"/>
        </w:rPr>
        <w:t xml:space="preserve">neste sistema de perfusão implementado </w:t>
      </w:r>
      <w:r w:rsidRPr="00B76828">
        <w:rPr>
          <w:rFonts w:ascii="Trebuchet MS" w:eastAsiaTheme="minorHAnsi" w:hAnsi="Trebuchet MS" w:cstheme="minorBidi"/>
          <w:sz w:val="20"/>
        </w:rPr>
        <w:t>ver</w:t>
      </w:r>
      <w:r w:rsidRPr="00B76828">
        <w:rPr>
          <w:rFonts w:ascii="Trebuchet MS" w:eastAsiaTheme="minorHAnsi" w:hAnsi="Trebuchet MS" w:cstheme="minorBidi"/>
          <w:sz w:val="20"/>
        </w:rPr>
        <w:t>i</w:t>
      </w:r>
      <w:r w:rsidRPr="00B76828">
        <w:rPr>
          <w:rFonts w:ascii="Trebuchet MS" w:eastAsiaTheme="minorHAnsi" w:hAnsi="Trebuchet MS" w:cstheme="minorBidi"/>
          <w:sz w:val="20"/>
        </w:rPr>
        <w:t>ficou-se que as fatias de hipocampo mant</w:t>
      </w:r>
      <w:r>
        <w:rPr>
          <w:rFonts w:ascii="Trebuchet MS" w:eastAsiaTheme="minorHAnsi" w:hAnsi="Trebuchet MS" w:cstheme="minorBidi"/>
          <w:sz w:val="20"/>
        </w:rPr>
        <w:t>iveram</w:t>
      </w:r>
      <w:r w:rsidRPr="00B76828">
        <w:rPr>
          <w:rFonts w:ascii="Trebuchet MS" w:eastAsiaTheme="minorHAnsi" w:hAnsi="Trebuchet MS" w:cstheme="minorBidi"/>
          <w:sz w:val="20"/>
        </w:rPr>
        <w:t xml:space="preserve">-se viáveis até pelo menos 7horas-8horas. O período máximo estudado foi 8horas. No entanto, os testes de viabilidade </w:t>
      </w:r>
      <w:r w:rsidR="00E42EC8">
        <w:rPr>
          <w:rFonts w:ascii="Trebuchet MS" w:eastAsiaTheme="minorHAnsi" w:hAnsi="Trebuchet MS" w:cstheme="minorBidi"/>
          <w:sz w:val="20"/>
        </w:rPr>
        <w:t xml:space="preserve">e/ou morte celular </w:t>
      </w:r>
      <w:r w:rsidRPr="00B76828">
        <w:rPr>
          <w:rFonts w:ascii="Trebuchet MS" w:eastAsiaTheme="minorHAnsi" w:hAnsi="Trebuchet MS" w:cstheme="minorBidi"/>
          <w:sz w:val="20"/>
        </w:rPr>
        <w:t xml:space="preserve">utilizados (TTC, Caspase-3 e LDH) </w:t>
      </w:r>
      <w:r>
        <w:rPr>
          <w:rFonts w:ascii="Trebuchet MS" w:eastAsiaTheme="minorHAnsi" w:hAnsi="Trebuchet MS" w:cstheme="minorBidi"/>
          <w:sz w:val="20"/>
        </w:rPr>
        <w:t>foram</w:t>
      </w:r>
      <w:r w:rsidRPr="00B76828">
        <w:rPr>
          <w:rFonts w:ascii="Trebuchet MS" w:eastAsiaTheme="minorHAnsi" w:hAnsi="Trebuchet MS" w:cstheme="minorBidi"/>
          <w:sz w:val="20"/>
        </w:rPr>
        <w:t xml:space="preserve"> aplicados até um máximo de 8horas.  </w:t>
      </w:r>
    </w:p>
    <w:p w:rsidR="00727764" w:rsidRPr="00751D14" w:rsidRDefault="00727764" w:rsidP="00727764">
      <w:pPr>
        <w:spacing w:line="360" w:lineRule="auto"/>
        <w:rPr>
          <w:rFonts w:ascii="Trebuchet MS" w:hAnsi="Trebuchet MS"/>
          <w:sz w:val="16"/>
          <w:szCs w:val="16"/>
        </w:rPr>
      </w:pPr>
    </w:p>
    <w:p w:rsidR="00727764" w:rsidRPr="00751D14" w:rsidRDefault="00727764" w:rsidP="00727764">
      <w:pPr>
        <w:spacing w:line="480" w:lineRule="auto"/>
        <w:rPr>
          <w:rFonts w:ascii="Trebuchet MS" w:hAnsi="Trebuchet MS"/>
          <w:b/>
          <w:shadow/>
          <w:color w:val="333399"/>
        </w:rPr>
      </w:pPr>
      <w:r w:rsidRPr="00751D14">
        <w:rPr>
          <w:rFonts w:ascii="Trebuchet MS" w:hAnsi="Trebuchet MS"/>
          <w:b/>
          <w:shadow/>
          <w:color w:val="333399"/>
        </w:rPr>
        <w:t xml:space="preserve">      3.3.2. Preparação de fatias de hipocampo</w:t>
      </w:r>
    </w:p>
    <w:p w:rsidR="00727764" w:rsidRPr="009E323D" w:rsidRDefault="00727764" w:rsidP="00727764">
      <w:pPr>
        <w:tabs>
          <w:tab w:val="left" w:pos="1171"/>
        </w:tabs>
        <w:spacing w:line="360" w:lineRule="auto"/>
        <w:ind w:firstLine="709"/>
        <w:jc w:val="both"/>
        <w:rPr>
          <w:rFonts w:ascii="Trebuchet MS" w:eastAsiaTheme="minorHAnsi" w:hAnsi="Trebuchet MS" w:cstheme="minorBidi"/>
          <w:sz w:val="20"/>
          <w:szCs w:val="20"/>
        </w:rPr>
      </w:pPr>
      <w:r w:rsidRPr="009E323D">
        <w:rPr>
          <w:rFonts w:ascii="Trebuchet MS" w:eastAsiaTheme="minorHAnsi" w:hAnsi="Trebuchet MS" w:cstheme="minorBidi"/>
          <w:sz w:val="20"/>
          <w:szCs w:val="20"/>
        </w:rPr>
        <w:t xml:space="preserve">A utilização de fatias de hipocampo, como </w:t>
      </w:r>
      <w:r w:rsidRPr="009E323D">
        <w:rPr>
          <w:rFonts w:ascii="Trebuchet MS" w:eastAsiaTheme="minorHAnsi" w:hAnsi="Trebuchet MS" w:cstheme="minorBidi"/>
          <w:b/>
          <w:sz w:val="20"/>
          <w:szCs w:val="20"/>
          <w:u w:val="single"/>
        </w:rPr>
        <w:t>modelo experimental</w:t>
      </w:r>
      <w:r w:rsidRPr="009E323D">
        <w:rPr>
          <w:rFonts w:ascii="Trebuchet MS" w:eastAsiaTheme="minorHAnsi" w:hAnsi="Trebuchet MS" w:cstheme="minorBidi"/>
          <w:sz w:val="20"/>
          <w:szCs w:val="20"/>
        </w:rPr>
        <w:t>, tem como finalid</w:t>
      </w:r>
      <w:r w:rsidRPr="009E323D">
        <w:rPr>
          <w:rFonts w:ascii="Trebuchet MS" w:eastAsiaTheme="minorHAnsi" w:hAnsi="Trebuchet MS" w:cstheme="minorBidi"/>
          <w:sz w:val="20"/>
          <w:szCs w:val="20"/>
        </w:rPr>
        <w:t>a</w:t>
      </w:r>
      <w:r w:rsidRPr="009E323D">
        <w:rPr>
          <w:rFonts w:ascii="Trebuchet MS" w:eastAsiaTheme="minorHAnsi" w:hAnsi="Trebuchet MS" w:cstheme="minorBidi"/>
          <w:sz w:val="20"/>
          <w:szCs w:val="20"/>
        </w:rPr>
        <w:t xml:space="preserve">de </w:t>
      </w:r>
      <w:r w:rsidRPr="009E323D">
        <w:rPr>
          <w:rFonts w:ascii="Trebuchet MS" w:eastAsiaTheme="minorHAnsi" w:hAnsi="Trebuchet MS"/>
          <w:sz w:val="20"/>
          <w:szCs w:val="20"/>
        </w:rPr>
        <w:t>estudar mecanismos de neurotoxicidade induzidos por isquémia e avaliar o potencial ne</w:t>
      </w:r>
      <w:r w:rsidRPr="009E323D">
        <w:rPr>
          <w:rFonts w:ascii="Trebuchet MS" w:eastAsiaTheme="minorHAnsi" w:hAnsi="Trebuchet MS"/>
          <w:sz w:val="20"/>
          <w:szCs w:val="20"/>
        </w:rPr>
        <w:t>u</w:t>
      </w:r>
      <w:r w:rsidRPr="009E323D">
        <w:rPr>
          <w:rFonts w:ascii="Trebuchet MS" w:eastAsiaTheme="minorHAnsi" w:hAnsi="Trebuchet MS"/>
          <w:sz w:val="20"/>
          <w:szCs w:val="20"/>
        </w:rPr>
        <w:t xml:space="preserve">roprotector de novos agentes terapêuticos. Um certo número de parâmetros morfológicos e funcionais está disponível para avaliação da viabilidade neuronal. O recurso a este modelo experimental com fatias também permite o estudo de populações neuronais selectivamente vulneráveis dentro da mesma preparação (Monette </w:t>
      </w:r>
      <w:r w:rsidR="00F96813" w:rsidRPr="009E323D">
        <w:rPr>
          <w:rFonts w:ascii="Trebuchet MS" w:eastAsiaTheme="minorHAnsi" w:hAnsi="Trebuchet MS"/>
          <w:i/>
          <w:sz w:val="20"/>
          <w:szCs w:val="20"/>
        </w:rPr>
        <w:t>et al.</w:t>
      </w:r>
      <w:r w:rsidRPr="009E323D">
        <w:rPr>
          <w:rFonts w:ascii="Trebuchet MS" w:eastAsiaTheme="minorHAnsi" w:hAnsi="Trebuchet MS"/>
          <w:sz w:val="20"/>
          <w:szCs w:val="20"/>
        </w:rPr>
        <w:t>, 1998).</w:t>
      </w:r>
    </w:p>
    <w:p w:rsidR="00727764" w:rsidRPr="009E323D" w:rsidRDefault="00727764" w:rsidP="00727764">
      <w:pPr>
        <w:spacing w:after="200" w:line="360" w:lineRule="auto"/>
        <w:ind w:firstLine="708"/>
        <w:contextualSpacing/>
        <w:jc w:val="both"/>
        <w:rPr>
          <w:rFonts w:ascii="Trebuchet MS" w:eastAsiaTheme="minorHAnsi" w:hAnsi="Trebuchet MS" w:cstheme="minorBidi"/>
          <w:sz w:val="20"/>
          <w:szCs w:val="20"/>
        </w:rPr>
      </w:pPr>
      <w:r w:rsidRPr="009E323D">
        <w:rPr>
          <w:rFonts w:ascii="Trebuchet MS" w:eastAsiaTheme="minorHAnsi" w:hAnsi="Trebuchet MS" w:cstheme="minorBidi"/>
          <w:sz w:val="20"/>
          <w:szCs w:val="20"/>
        </w:rPr>
        <w:t xml:space="preserve">Os modelos experimentais </w:t>
      </w:r>
      <w:proofErr w:type="gramStart"/>
      <w:r w:rsidR="006D2BD4" w:rsidRPr="009E323D">
        <w:rPr>
          <w:rFonts w:ascii="Trebuchet MS" w:eastAsiaTheme="minorHAnsi" w:hAnsi="Trebuchet MS" w:cstheme="minorBidi"/>
          <w:i/>
          <w:sz w:val="20"/>
          <w:szCs w:val="20"/>
        </w:rPr>
        <w:t>in vitro</w:t>
      </w:r>
      <w:proofErr w:type="gramEnd"/>
      <w:r w:rsidR="006D2BD4" w:rsidRPr="009E323D">
        <w:rPr>
          <w:rFonts w:ascii="Trebuchet MS" w:eastAsiaTheme="minorHAnsi" w:hAnsi="Trebuchet MS" w:cstheme="minorBidi"/>
          <w:i/>
          <w:sz w:val="20"/>
          <w:szCs w:val="20"/>
        </w:rPr>
        <w:t xml:space="preserve"> </w:t>
      </w:r>
      <w:r w:rsidRPr="009E323D">
        <w:rPr>
          <w:rFonts w:ascii="Trebuchet MS" w:eastAsiaTheme="minorHAnsi" w:hAnsi="Trebuchet MS" w:cstheme="minorBidi"/>
          <w:sz w:val="20"/>
          <w:szCs w:val="20"/>
        </w:rPr>
        <w:t xml:space="preserve">com fatias de cérebro proporcionam vantagens sobre os modelos </w:t>
      </w:r>
      <w:r w:rsidR="00194A32" w:rsidRPr="009E323D">
        <w:rPr>
          <w:rFonts w:ascii="Trebuchet MS" w:eastAsiaTheme="minorHAnsi" w:hAnsi="Trebuchet MS" w:cstheme="minorBidi"/>
          <w:i/>
          <w:sz w:val="20"/>
          <w:szCs w:val="20"/>
        </w:rPr>
        <w:t>in vivo</w:t>
      </w:r>
      <w:r w:rsidR="004675D6">
        <w:rPr>
          <w:rFonts w:ascii="Trebuchet MS" w:eastAsiaTheme="minorHAnsi" w:hAnsi="Trebuchet MS" w:cstheme="minorBidi"/>
          <w:sz w:val="20"/>
          <w:szCs w:val="20"/>
        </w:rPr>
        <w:t>, uma vez que, são</w:t>
      </w:r>
      <w:r w:rsidRPr="009E323D">
        <w:rPr>
          <w:rFonts w:ascii="Trebuchet MS" w:eastAsiaTheme="minorHAnsi" w:hAnsi="Trebuchet MS" w:cstheme="minorBidi"/>
          <w:sz w:val="20"/>
          <w:szCs w:val="20"/>
        </w:rPr>
        <w:t xml:space="preserve"> menos dispendiosos, demorados e complexos, permitem o melhor controlo dos parâmetros, o que vai facilitar a investigação dos mecani</w:t>
      </w:r>
      <w:r w:rsidRPr="009E323D">
        <w:rPr>
          <w:rFonts w:ascii="Trebuchet MS" w:eastAsiaTheme="minorHAnsi" w:hAnsi="Trebuchet MS" w:cstheme="minorBidi"/>
          <w:sz w:val="20"/>
          <w:szCs w:val="20"/>
        </w:rPr>
        <w:t>s</w:t>
      </w:r>
      <w:r w:rsidRPr="009E323D">
        <w:rPr>
          <w:rFonts w:ascii="Trebuchet MS" w:eastAsiaTheme="minorHAnsi" w:hAnsi="Trebuchet MS" w:cstheme="minorBidi"/>
          <w:sz w:val="20"/>
          <w:szCs w:val="20"/>
        </w:rPr>
        <w:t xml:space="preserve">mos de acção (Goldberg </w:t>
      </w:r>
      <w:r w:rsidR="00F96813" w:rsidRPr="009E323D">
        <w:rPr>
          <w:rFonts w:ascii="Trebuchet MS" w:eastAsiaTheme="minorHAnsi" w:hAnsi="Trebuchet MS" w:cstheme="minorBidi"/>
          <w:i/>
          <w:sz w:val="20"/>
          <w:szCs w:val="20"/>
        </w:rPr>
        <w:t>et al.</w:t>
      </w:r>
      <w:r w:rsidRPr="009E323D">
        <w:rPr>
          <w:rFonts w:ascii="Trebuchet MS" w:eastAsiaTheme="minorHAnsi" w:hAnsi="Trebuchet MS" w:cstheme="minorBidi"/>
          <w:sz w:val="20"/>
          <w:szCs w:val="20"/>
        </w:rPr>
        <w:t xml:space="preserve">, 1997).  </w:t>
      </w:r>
    </w:p>
    <w:p w:rsidR="00727764" w:rsidRPr="009E323D" w:rsidRDefault="00727764" w:rsidP="00727764">
      <w:pPr>
        <w:spacing w:after="200" w:line="360" w:lineRule="auto"/>
        <w:ind w:firstLine="708"/>
        <w:contextualSpacing/>
        <w:jc w:val="both"/>
        <w:rPr>
          <w:rFonts w:ascii="Trebuchet MS" w:eastAsiaTheme="minorHAnsi" w:hAnsi="Trebuchet MS" w:cstheme="minorBidi"/>
          <w:sz w:val="20"/>
          <w:szCs w:val="20"/>
        </w:rPr>
      </w:pPr>
    </w:p>
    <w:p w:rsidR="00727764" w:rsidRPr="009E323D" w:rsidRDefault="00727764" w:rsidP="00727764">
      <w:pPr>
        <w:spacing w:line="360" w:lineRule="auto"/>
        <w:contextualSpacing/>
        <w:jc w:val="both"/>
        <w:rPr>
          <w:rFonts w:ascii="Trebuchet MS" w:eastAsiaTheme="minorHAnsi" w:hAnsi="Trebuchet MS" w:cstheme="minorBidi"/>
          <w:sz w:val="20"/>
          <w:szCs w:val="20"/>
        </w:rPr>
      </w:pPr>
      <w:r w:rsidRPr="009E323D">
        <w:rPr>
          <w:rFonts w:ascii="Trebuchet MS" w:eastAsiaTheme="minorHAnsi" w:hAnsi="Trebuchet MS" w:cstheme="minorBidi"/>
          <w:b/>
          <w:sz w:val="20"/>
          <w:szCs w:val="20"/>
          <w:u w:val="single"/>
        </w:rPr>
        <w:t>Procedimento:</w:t>
      </w:r>
      <w:r w:rsidRPr="009E323D">
        <w:rPr>
          <w:rFonts w:ascii="Trebuchet MS" w:eastAsiaTheme="minorHAnsi" w:hAnsi="Trebuchet MS" w:cstheme="minorBidi"/>
          <w:sz w:val="20"/>
          <w:szCs w:val="20"/>
        </w:rPr>
        <w:t xml:space="preserve"> As fatias de hipocampo foram obtidas a partir de ratos</w:t>
      </w:r>
      <w:r w:rsidR="00635DC9" w:rsidRPr="009E323D">
        <w:rPr>
          <w:rFonts w:ascii="Trebuchet MS" w:eastAsiaTheme="minorHAnsi" w:hAnsi="Trebuchet MS" w:cstheme="minorBidi"/>
          <w:sz w:val="20"/>
          <w:szCs w:val="20"/>
        </w:rPr>
        <w:t xml:space="preserve"> Wistar</w:t>
      </w:r>
      <w:r w:rsidRPr="009E323D">
        <w:rPr>
          <w:rFonts w:ascii="Trebuchet MS" w:eastAsiaTheme="minorHAnsi" w:hAnsi="Trebuchet MS" w:cstheme="minorBidi"/>
          <w:sz w:val="20"/>
          <w:szCs w:val="20"/>
        </w:rPr>
        <w:t xml:space="preserve"> adultos: 2 a 3 meses de idade. </w:t>
      </w:r>
      <w:r w:rsidRPr="009E323D">
        <w:rPr>
          <w:rFonts w:ascii="Trebuchet MS" w:hAnsi="Trebuchet MS"/>
          <w:sz w:val="20"/>
          <w:szCs w:val="20"/>
        </w:rPr>
        <w:t xml:space="preserve">Os animais foram fornecidos pelo biotério presente na Faculdade de </w:t>
      </w:r>
      <w:r w:rsidR="006D2BD4" w:rsidRPr="009E323D">
        <w:rPr>
          <w:rFonts w:ascii="Trebuchet MS" w:hAnsi="Trebuchet MS"/>
          <w:sz w:val="20"/>
          <w:szCs w:val="20"/>
        </w:rPr>
        <w:t>C</w:t>
      </w:r>
      <w:r w:rsidRPr="009E323D">
        <w:rPr>
          <w:rFonts w:ascii="Trebuchet MS" w:hAnsi="Trebuchet MS"/>
          <w:sz w:val="20"/>
          <w:szCs w:val="20"/>
        </w:rPr>
        <w:t xml:space="preserve">iências da Saúde (Universidade da Beira Interior). </w:t>
      </w:r>
      <w:r w:rsidRPr="009E323D">
        <w:rPr>
          <w:rFonts w:ascii="Trebuchet MS" w:eastAsiaTheme="minorHAnsi" w:hAnsi="Trebuchet MS" w:cstheme="minorBidi"/>
          <w:sz w:val="20"/>
          <w:szCs w:val="20"/>
        </w:rPr>
        <w:t>Os ratos foram anestesiados com halotano</w:t>
      </w:r>
      <w:r w:rsidRPr="009E323D">
        <w:rPr>
          <w:rFonts w:ascii="Trebuchet MS" w:eastAsiaTheme="minorHAnsi" w:hAnsi="Trebuchet MS" w:cstheme="minorBidi"/>
          <w:sz w:val="20"/>
          <w:szCs w:val="20"/>
          <w:vertAlign w:val="superscript"/>
        </w:rPr>
        <w:footnoteReference w:id="1"/>
      </w:r>
      <w:r w:rsidRPr="009E323D">
        <w:rPr>
          <w:rFonts w:ascii="Trebuchet MS" w:eastAsiaTheme="minorHAnsi" w:hAnsi="Trebuchet MS" w:cstheme="minorBidi"/>
          <w:sz w:val="20"/>
          <w:szCs w:val="20"/>
        </w:rPr>
        <w:t xml:space="preserve"> (2-bromo-2-cloro-1,1,1-trifluoetano) e sacrificados por decapitação </w:t>
      </w:r>
      <w:r w:rsidR="007C6405">
        <w:rPr>
          <w:rFonts w:ascii="Trebuchet MS" w:eastAsiaTheme="minorHAnsi" w:hAnsi="Trebuchet MS" w:cstheme="minorBidi"/>
          <w:sz w:val="20"/>
          <w:szCs w:val="20"/>
        </w:rPr>
        <w:t>utilizando uma</w:t>
      </w:r>
      <w:r w:rsidRPr="009E323D">
        <w:rPr>
          <w:rFonts w:ascii="Trebuchet MS" w:eastAsiaTheme="minorHAnsi" w:hAnsi="Trebuchet MS" w:cstheme="minorBidi"/>
          <w:sz w:val="20"/>
          <w:szCs w:val="20"/>
        </w:rPr>
        <w:t xml:space="preserve"> guilhotina. O cérebro foi removido rapidamente dos crânios</w:t>
      </w:r>
      <w:r w:rsidR="002B2845" w:rsidRPr="009E323D">
        <w:rPr>
          <w:rFonts w:ascii="Trebuchet MS" w:eastAsiaTheme="minorHAnsi" w:hAnsi="Trebuchet MS" w:cstheme="minorBidi"/>
          <w:sz w:val="20"/>
          <w:szCs w:val="20"/>
        </w:rPr>
        <w:t xml:space="preserve"> (Fig. 3.7) </w:t>
      </w:r>
      <w:r w:rsidRPr="009E323D">
        <w:rPr>
          <w:rFonts w:ascii="Trebuchet MS" w:eastAsiaTheme="minorHAnsi" w:hAnsi="Trebuchet MS" w:cstheme="minorBidi"/>
          <w:sz w:val="20"/>
          <w:szCs w:val="20"/>
        </w:rPr>
        <w:t>e colocado em krebs</w:t>
      </w:r>
      <w:r w:rsidRPr="009E323D">
        <w:rPr>
          <w:rFonts w:ascii="Trebuchet MS" w:eastAsiaTheme="minorHAnsi" w:hAnsi="Trebuchet MS" w:cstheme="minorBidi"/>
          <w:sz w:val="20"/>
          <w:szCs w:val="20"/>
          <w:vertAlign w:val="superscript"/>
        </w:rPr>
        <w:footnoteReference w:id="2"/>
      </w:r>
      <w:r w:rsidRPr="009E323D">
        <w:rPr>
          <w:rFonts w:ascii="Trebuchet MS" w:eastAsiaTheme="minorHAnsi" w:hAnsi="Trebuchet MS" w:cstheme="minorBidi"/>
          <w:sz w:val="20"/>
          <w:szCs w:val="20"/>
        </w:rPr>
        <w:t xml:space="preserve"> gelado (4ºC), gaseado (Fig. 3.7). O tampão Krebs (ligeiramente modificado), saturado com carbogénio (95% CO</w:t>
      </w:r>
      <w:r w:rsidRPr="009E323D">
        <w:rPr>
          <w:rFonts w:ascii="Trebuchet MS" w:eastAsiaTheme="minorHAnsi" w:hAnsi="Trebuchet MS" w:cstheme="minorBidi"/>
          <w:sz w:val="20"/>
          <w:szCs w:val="20"/>
          <w:vertAlign w:val="subscript"/>
        </w:rPr>
        <w:t>2</w:t>
      </w:r>
      <w:r w:rsidRPr="009E323D">
        <w:rPr>
          <w:rFonts w:ascii="Trebuchet MS" w:eastAsiaTheme="minorHAnsi" w:hAnsi="Trebuchet MS" w:cstheme="minorBidi"/>
          <w:sz w:val="20"/>
          <w:szCs w:val="20"/>
        </w:rPr>
        <w:t xml:space="preserve"> e 5% O</w:t>
      </w:r>
      <w:r w:rsidRPr="009E323D">
        <w:rPr>
          <w:rFonts w:ascii="Trebuchet MS" w:eastAsiaTheme="minorHAnsi" w:hAnsi="Trebuchet MS" w:cstheme="minorBidi"/>
          <w:sz w:val="20"/>
          <w:szCs w:val="20"/>
          <w:vertAlign w:val="subscript"/>
        </w:rPr>
        <w:t>2</w:t>
      </w:r>
      <w:r w:rsidRPr="009E323D">
        <w:rPr>
          <w:rFonts w:ascii="Trebuchet MS" w:eastAsiaTheme="minorHAnsi" w:hAnsi="Trebuchet MS" w:cstheme="minorBidi"/>
          <w:sz w:val="20"/>
          <w:szCs w:val="20"/>
        </w:rPr>
        <w:t>) é constituído pela seguinte composição (em mM): 118 NaCl; 25 NaHCO</w:t>
      </w:r>
      <w:r w:rsidRPr="009E323D">
        <w:rPr>
          <w:rFonts w:ascii="Trebuchet MS" w:eastAsiaTheme="minorHAnsi" w:hAnsi="Trebuchet MS" w:cstheme="minorBidi"/>
          <w:sz w:val="20"/>
          <w:szCs w:val="20"/>
          <w:vertAlign w:val="subscript"/>
        </w:rPr>
        <w:t>3</w:t>
      </w:r>
      <w:r w:rsidRPr="009E323D">
        <w:rPr>
          <w:rFonts w:ascii="Trebuchet MS" w:eastAsiaTheme="minorHAnsi" w:hAnsi="Trebuchet MS" w:cstheme="minorBidi"/>
          <w:sz w:val="20"/>
          <w:szCs w:val="20"/>
        </w:rPr>
        <w:t>; 4,7 KCl; 11,6 glucose; 1,2 KH2PO4; 1,2 MgSO</w:t>
      </w:r>
      <w:r w:rsidRPr="009E323D">
        <w:rPr>
          <w:rFonts w:ascii="Trebuchet MS" w:eastAsiaTheme="minorHAnsi" w:hAnsi="Trebuchet MS" w:cstheme="minorBidi"/>
          <w:sz w:val="20"/>
          <w:szCs w:val="20"/>
          <w:vertAlign w:val="subscript"/>
        </w:rPr>
        <w:t>4</w:t>
      </w:r>
      <w:r w:rsidRPr="009E323D">
        <w:rPr>
          <w:rFonts w:ascii="Trebuchet MS" w:eastAsiaTheme="minorHAnsi" w:hAnsi="Trebuchet MS" w:cstheme="minorBidi"/>
          <w:sz w:val="20"/>
          <w:szCs w:val="20"/>
        </w:rPr>
        <w:t xml:space="preserve"> e 1,3 CaCl</w:t>
      </w:r>
      <w:r w:rsidRPr="009E323D">
        <w:rPr>
          <w:rFonts w:ascii="Trebuchet MS" w:eastAsiaTheme="minorHAnsi" w:hAnsi="Trebuchet MS" w:cstheme="minorBidi"/>
          <w:sz w:val="20"/>
          <w:szCs w:val="20"/>
          <w:vertAlign w:val="subscript"/>
        </w:rPr>
        <w:t xml:space="preserve">2 </w:t>
      </w:r>
      <w:r w:rsidRPr="009E323D">
        <w:rPr>
          <w:rFonts w:ascii="Trebuchet MS" w:eastAsiaTheme="minorHAnsi" w:hAnsi="Trebuchet MS" w:cstheme="minorBidi"/>
          <w:sz w:val="20"/>
          <w:szCs w:val="20"/>
        </w:rPr>
        <w:t>e tem um pH final de 7,4 (Adaptado de</w:t>
      </w:r>
      <w:r w:rsidR="00635DC9" w:rsidRPr="009E323D">
        <w:rPr>
          <w:rFonts w:ascii="Trebuchet MS" w:eastAsiaTheme="minorHAnsi" w:hAnsi="Trebuchet MS" w:cstheme="minorBidi"/>
          <w:sz w:val="20"/>
          <w:szCs w:val="20"/>
        </w:rPr>
        <w:t xml:space="preserve"> Ca</w:t>
      </w:r>
      <w:r w:rsidR="00635DC9" w:rsidRPr="009E323D">
        <w:rPr>
          <w:rFonts w:ascii="Trebuchet MS" w:eastAsiaTheme="minorHAnsi" w:hAnsi="Trebuchet MS" w:cstheme="minorBidi"/>
          <w:sz w:val="20"/>
          <w:szCs w:val="20"/>
        </w:rPr>
        <w:t>s</w:t>
      </w:r>
      <w:r w:rsidR="00635DC9" w:rsidRPr="009E323D">
        <w:rPr>
          <w:rFonts w:ascii="Trebuchet MS" w:eastAsiaTheme="minorHAnsi" w:hAnsi="Trebuchet MS" w:cstheme="minorBidi"/>
          <w:sz w:val="20"/>
          <w:szCs w:val="20"/>
        </w:rPr>
        <w:t xml:space="preserve">calheira </w:t>
      </w:r>
      <w:r w:rsidR="00F96813" w:rsidRPr="009E323D">
        <w:rPr>
          <w:rFonts w:ascii="Trebuchet MS" w:eastAsiaTheme="minorHAnsi" w:hAnsi="Trebuchet MS" w:cstheme="minorBidi"/>
          <w:i/>
          <w:sz w:val="20"/>
          <w:szCs w:val="20"/>
        </w:rPr>
        <w:t>et al.</w:t>
      </w:r>
      <w:r w:rsidR="00635DC9" w:rsidRPr="009E323D">
        <w:rPr>
          <w:rFonts w:ascii="Trebuchet MS" w:eastAsiaTheme="minorHAnsi" w:hAnsi="Trebuchet MS" w:cstheme="minorBidi"/>
          <w:sz w:val="20"/>
          <w:szCs w:val="20"/>
        </w:rPr>
        <w:t xml:space="preserve">, 2002; </w:t>
      </w:r>
      <w:r w:rsidRPr="009E323D">
        <w:rPr>
          <w:rFonts w:ascii="Trebuchet MS" w:eastAsiaTheme="minorHAnsi" w:hAnsi="Trebuchet MS" w:cstheme="minorBidi"/>
          <w:sz w:val="20"/>
          <w:szCs w:val="20"/>
        </w:rPr>
        <w:t xml:space="preserve">Pugliese </w:t>
      </w:r>
      <w:r w:rsidR="00F96813" w:rsidRPr="009E323D">
        <w:rPr>
          <w:rFonts w:ascii="Trebuchet MS" w:eastAsiaTheme="minorHAnsi" w:hAnsi="Trebuchet MS" w:cstheme="minorBidi"/>
          <w:i/>
          <w:sz w:val="20"/>
          <w:szCs w:val="20"/>
        </w:rPr>
        <w:t>et al.</w:t>
      </w:r>
      <w:r w:rsidRPr="009E323D">
        <w:rPr>
          <w:rFonts w:ascii="Trebuchet MS" w:eastAsiaTheme="minorHAnsi" w:hAnsi="Trebuchet MS" w:cstheme="minorBidi"/>
          <w:sz w:val="20"/>
          <w:szCs w:val="20"/>
        </w:rPr>
        <w:t>, 2003). Uma vez isolados os hipocampos (direito e esquerdo) (Fig.3.8)</w:t>
      </w:r>
      <w:r w:rsidR="00865353" w:rsidRPr="009E323D">
        <w:rPr>
          <w:rFonts w:ascii="Trebuchet MS" w:eastAsiaTheme="minorHAnsi" w:hAnsi="Trebuchet MS" w:cstheme="minorBidi"/>
          <w:sz w:val="20"/>
          <w:szCs w:val="20"/>
        </w:rPr>
        <w:t>, estes foram</w:t>
      </w:r>
      <w:r w:rsidRPr="009E323D">
        <w:rPr>
          <w:rFonts w:ascii="Trebuchet MS" w:eastAsiaTheme="minorHAnsi" w:hAnsi="Trebuchet MS" w:cstheme="minorBidi"/>
          <w:sz w:val="20"/>
          <w:szCs w:val="20"/>
        </w:rPr>
        <w:t xml:space="preserve"> seccionado</w:t>
      </w:r>
      <w:r w:rsidR="00865353" w:rsidRPr="009E323D">
        <w:rPr>
          <w:rFonts w:ascii="Trebuchet MS" w:eastAsiaTheme="minorHAnsi" w:hAnsi="Trebuchet MS" w:cstheme="minorBidi"/>
          <w:sz w:val="20"/>
          <w:szCs w:val="20"/>
        </w:rPr>
        <w:t>s</w:t>
      </w:r>
      <w:r w:rsidRPr="009E323D">
        <w:rPr>
          <w:rFonts w:ascii="Trebuchet MS" w:eastAsiaTheme="minorHAnsi" w:hAnsi="Trebuchet MS" w:cstheme="minorBidi"/>
          <w:sz w:val="20"/>
          <w:szCs w:val="20"/>
        </w:rPr>
        <w:t xml:space="preserve"> com o micrótomo (Fig. 3.2) em fatias transve</w:t>
      </w:r>
      <w:r w:rsidRPr="009E323D">
        <w:rPr>
          <w:rFonts w:ascii="Trebuchet MS" w:eastAsiaTheme="minorHAnsi" w:hAnsi="Trebuchet MS" w:cstheme="minorBidi"/>
          <w:sz w:val="20"/>
          <w:szCs w:val="20"/>
        </w:rPr>
        <w:t>r</w:t>
      </w:r>
      <w:r w:rsidRPr="009E323D">
        <w:rPr>
          <w:rFonts w:ascii="Trebuchet MS" w:eastAsiaTheme="minorHAnsi" w:hAnsi="Trebuchet MS" w:cstheme="minorBidi"/>
          <w:sz w:val="20"/>
          <w:szCs w:val="20"/>
        </w:rPr>
        <w:t xml:space="preserve">sais com 350 </w:t>
      </w:r>
      <w:r w:rsidRPr="009E323D">
        <w:rPr>
          <w:rFonts w:ascii="Trebuchet MS" w:eastAsiaTheme="minorHAnsi" w:hAnsi="Trebuchet MS" w:cstheme="minorBidi"/>
          <w:sz w:val="20"/>
          <w:szCs w:val="20"/>
        </w:rPr>
        <w:sym w:font="Symbol" w:char="F06D"/>
      </w:r>
      <w:r w:rsidRPr="009E323D">
        <w:rPr>
          <w:rFonts w:ascii="Trebuchet MS" w:eastAsiaTheme="minorHAnsi" w:hAnsi="Trebuchet MS" w:cstheme="minorBidi"/>
          <w:sz w:val="20"/>
          <w:szCs w:val="20"/>
        </w:rPr>
        <w:t xml:space="preserve">m de espessura (Wang </w:t>
      </w:r>
      <w:r w:rsidR="00F96813" w:rsidRPr="009E323D">
        <w:rPr>
          <w:rFonts w:ascii="Trebuchet MS" w:eastAsiaTheme="minorHAnsi" w:hAnsi="Trebuchet MS" w:cstheme="minorBidi"/>
          <w:i/>
          <w:sz w:val="20"/>
          <w:szCs w:val="20"/>
        </w:rPr>
        <w:t>et al.</w:t>
      </w:r>
      <w:r w:rsidRPr="009E323D">
        <w:rPr>
          <w:rFonts w:ascii="Trebuchet MS" w:eastAsiaTheme="minorHAnsi" w:hAnsi="Trebuchet MS" w:cstheme="minorBidi"/>
          <w:sz w:val="20"/>
          <w:szCs w:val="20"/>
        </w:rPr>
        <w:t>, 2007). Após seccionado</w:t>
      </w:r>
      <w:r w:rsidR="00865353" w:rsidRPr="009E323D">
        <w:rPr>
          <w:rFonts w:ascii="Trebuchet MS" w:eastAsiaTheme="minorHAnsi" w:hAnsi="Trebuchet MS" w:cstheme="minorBidi"/>
          <w:sz w:val="20"/>
          <w:szCs w:val="20"/>
        </w:rPr>
        <w:t>s</w:t>
      </w:r>
      <w:r w:rsidRPr="009E323D">
        <w:rPr>
          <w:rFonts w:ascii="Trebuchet MS" w:eastAsiaTheme="minorHAnsi" w:hAnsi="Trebuchet MS" w:cstheme="minorBidi"/>
          <w:sz w:val="20"/>
          <w:szCs w:val="20"/>
        </w:rPr>
        <w:t xml:space="preserve"> os hipocampos, as fatias </w:t>
      </w:r>
      <w:r w:rsidRPr="009E323D">
        <w:rPr>
          <w:rFonts w:ascii="Trebuchet MS" w:eastAsiaTheme="minorHAnsi" w:hAnsi="Trebuchet MS" w:cstheme="minorBidi"/>
          <w:sz w:val="20"/>
          <w:szCs w:val="20"/>
        </w:rPr>
        <w:lastRenderedPageBreak/>
        <w:t>foram colocadas num recipiente</w:t>
      </w:r>
      <w:r w:rsidR="00865353" w:rsidRPr="009E323D">
        <w:rPr>
          <w:rFonts w:ascii="Trebuchet MS" w:eastAsiaTheme="minorHAnsi" w:hAnsi="Trebuchet MS" w:cstheme="minorBidi"/>
          <w:sz w:val="20"/>
          <w:szCs w:val="20"/>
        </w:rPr>
        <w:t xml:space="preserve"> contendo krebs,</w:t>
      </w:r>
      <w:r w:rsidRPr="009E323D">
        <w:rPr>
          <w:rFonts w:ascii="Trebuchet MS" w:eastAsiaTheme="minorHAnsi" w:hAnsi="Trebuchet MS" w:cstheme="minorBidi"/>
          <w:sz w:val="20"/>
          <w:szCs w:val="20"/>
        </w:rPr>
        <w:t xml:space="preserve"> em </w:t>
      </w:r>
      <w:r w:rsidRPr="009E323D">
        <w:rPr>
          <w:rFonts w:ascii="Trebuchet MS" w:eastAsiaTheme="minorHAnsi" w:hAnsi="Trebuchet MS" w:cstheme="minorBidi"/>
          <w:i/>
          <w:sz w:val="20"/>
          <w:szCs w:val="20"/>
        </w:rPr>
        <w:t>cells strainers</w:t>
      </w:r>
      <w:r w:rsidRPr="009E323D">
        <w:rPr>
          <w:rFonts w:ascii="Trebuchet MS" w:eastAsiaTheme="minorHAnsi" w:hAnsi="Trebuchet MS" w:cstheme="minorBidi"/>
          <w:sz w:val="20"/>
          <w:szCs w:val="20"/>
        </w:rPr>
        <w:t xml:space="preserve"> à temperatura ambiente (25ºC), </w:t>
      </w:r>
      <w:r w:rsidR="00204035" w:rsidRPr="009E323D">
        <w:rPr>
          <w:rFonts w:ascii="Trebuchet MS" w:eastAsiaTheme="minorHAnsi" w:hAnsi="Trebuchet MS" w:cstheme="minorBidi"/>
          <w:sz w:val="20"/>
          <w:szCs w:val="20"/>
        </w:rPr>
        <w:t xml:space="preserve">gaseadas </w:t>
      </w:r>
      <w:r w:rsidRPr="009E323D">
        <w:rPr>
          <w:rFonts w:ascii="Trebuchet MS" w:eastAsiaTheme="minorHAnsi" w:hAnsi="Trebuchet MS" w:cstheme="minorBidi"/>
          <w:sz w:val="20"/>
          <w:szCs w:val="20"/>
        </w:rPr>
        <w:t xml:space="preserve">continuamente com carbogénio (Zhang </w:t>
      </w:r>
      <w:r w:rsidR="00F96813" w:rsidRPr="009E323D">
        <w:rPr>
          <w:rFonts w:ascii="Trebuchet MS" w:eastAsiaTheme="minorHAnsi" w:hAnsi="Trebuchet MS" w:cstheme="minorBidi"/>
          <w:i/>
          <w:sz w:val="20"/>
          <w:szCs w:val="20"/>
        </w:rPr>
        <w:t>et al.</w:t>
      </w:r>
      <w:r w:rsidRPr="009E323D">
        <w:rPr>
          <w:rFonts w:ascii="Trebuchet MS" w:eastAsiaTheme="minorHAnsi" w:hAnsi="Trebuchet MS" w:cstheme="minorBidi"/>
          <w:sz w:val="20"/>
          <w:szCs w:val="20"/>
        </w:rPr>
        <w:t>, 2008), antes de se proceder à transferência das fatias para as câmaras de perfusão (15 fatias/câmara). A selecção das fatias foi realizada ao acaso. Procedeu-se à transferência das fatias para as câmaras de perfusão, a partir do momento em que as bolhas</w:t>
      </w:r>
      <w:r w:rsidR="00865353" w:rsidRPr="009E323D">
        <w:rPr>
          <w:rFonts w:ascii="Trebuchet MS" w:eastAsiaTheme="minorHAnsi" w:hAnsi="Trebuchet MS" w:cstheme="minorBidi"/>
          <w:sz w:val="20"/>
          <w:szCs w:val="20"/>
        </w:rPr>
        <w:t xml:space="preserve"> de ar presentes n</w:t>
      </w:r>
      <w:r w:rsidRPr="009E323D">
        <w:rPr>
          <w:rFonts w:ascii="Trebuchet MS" w:eastAsiaTheme="minorHAnsi" w:hAnsi="Trebuchet MS" w:cstheme="minorBidi"/>
          <w:sz w:val="20"/>
          <w:szCs w:val="20"/>
        </w:rPr>
        <w:t xml:space="preserve">as tubagens </w:t>
      </w:r>
      <w:r w:rsidR="00865353" w:rsidRPr="009E323D">
        <w:rPr>
          <w:rFonts w:ascii="Trebuchet MS" w:eastAsiaTheme="minorHAnsi" w:hAnsi="Trebuchet MS" w:cstheme="minorBidi"/>
          <w:sz w:val="20"/>
          <w:szCs w:val="20"/>
        </w:rPr>
        <w:t>d</w:t>
      </w:r>
      <w:r w:rsidRPr="009E323D">
        <w:rPr>
          <w:rFonts w:ascii="Trebuchet MS" w:eastAsiaTheme="minorHAnsi" w:hAnsi="Trebuchet MS" w:cstheme="minorBidi"/>
          <w:sz w:val="20"/>
          <w:szCs w:val="20"/>
        </w:rPr>
        <w:t>o sistema de perfusão foram removidas e as tubagens equilibradas com tampão krebs, previamente equilibrado com carbogénio durante 30 minutos a 37ºC. As câmaras de perfusão foram divididas em diferentes grupos consoante o tratamento a realizar (controlo, pré-condicionamento isquémico ou qu</w:t>
      </w:r>
      <w:r w:rsidRPr="009E323D">
        <w:rPr>
          <w:rFonts w:ascii="Trebuchet MS" w:eastAsiaTheme="minorHAnsi" w:hAnsi="Trebuchet MS" w:cstheme="minorBidi"/>
          <w:sz w:val="20"/>
          <w:szCs w:val="20"/>
        </w:rPr>
        <w:t>í</w:t>
      </w:r>
      <w:r w:rsidRPr="009E323D">
        <w:rPr>
          <w:rFonts w:ascii="Trebuchet MS" w:eastAsiaTheme="minorHAnsi" w:hAnsi="Trebuchet MS" w:cstheme="minorBidi"/>
          <w:sz w:val="20"/>
          <w:szCs w:val="20"/>
        </w:rPr>
        <w:t xml:space="preserve">mico, </w:t>
      </w:r>
      <w:r w:rsidR="00204035" w:rsidRPr="009E323D">
        <w:rPr>
          <w:rFonts w:ascii="Trebuchet MS" w:eastAsiaTheme="minorHAnsi" w:hAnsi="Trebuchet MS" w:cstheme="minorBidi"/>
          <w:sz w:val="20"/>
          <w:szCs w:val="20"/>
        </w:rPr>
        <w:t>privação de oxigénio e glucose</w:t>
      </w:r>
      <w:r w:rsidRPr="009E323D">
        <w:rPr>
          <w:rFonts w:ascii="Trebuchet MS" w:eastAsiaTheme="minorHAnsi" w:hAnsi="Trebuchet MS" w:cstheme="minorBidi"/>
          <w:sz w:val="20"/>
          <w:szCs w:val="20"/>
        </w:rPr>
        <w:t>). Após a transferência das fatias para as câmaras de pe</w:t>
      </w:r>
      <w:r w:rsidRPr="009E323D">
        <w:rPr>
          <w:rFonts w:ascii="Trebuchet MS" w:eastAsiaTheme="minorHAnsi" w:hAnsi="Trebuchet MS" w:cstheme="minorBidi"/>
          <w:sz w:val="20"/>
          <w:szCs w:val="20"/>
        </w:rPr>
        <w:t>r</w:t>
      </w:r>
      <w:r w:rsidRPr="009E323D">
        <w:rPr>
          <w:rFonts w:ascii="Trebuchet MS" w:eastAsiaTheme="minorHAnsi" w:hAnsi="Trebuchet MS" w:cstheme="minorBidi"/>
          <w:sz w:val="20"/>
          <w:szCs w:val="20"/>
        </w:rPr>
        <w:t xml:space="preserve">fusão, </w:t>
      </w:r>
      <w:r w:rsidR="00330648">
        <w:rPr>
          <w:rFonts w:ascii="Trebuchet MS" w:eastAsiaTheme="minorHAnsi" w:hAnsi="Trebuchet MS" w:cstheme="minorBidi"/>
          <w:sz w:val="20"/>
          <w:szCs w:val="20"/>
        </w:rPr>
        <w:t xml:space="preserve">estas </w:t>
      </w:r>
      <w:r w:rsidRPr="00330648">
        <w:rPr>
          <w:rFonts w:ascii="Trebuchet MS" w:eastAsiaTheme="minorHAnsi" w:hAnsi="Trebuchet MS" w:cstheme="minorBidi"/>
          <w:sz w:val="20"/>
          <w:szCs w:val="20"/>
        </w:rPr>
        <w:t>permanec</w:t>
      </w:r>
      <w:r w:rsidR="00330648" w:rsidRPr="00330648">
        <w:rPr>
          <w:rFonts w:ascii="Trebuchet MS" w:eastAsiaTheme="minorHAnsi" w:hAnsi="Trebuchet MS" w:cstheme="minorBidi"/>
          <w:sz w:val="20"/>
          <w:szCs w:val="20"/>
        </w:rPr>
        <w:t>ia</w:t>
      </w:r>
      <w:r w:rsidRPr="00330648">
        <w:rPr>
          <w:rFonts w:ascii="Trebuchet MS" w:eastAsiaTheme="minorHAnsi" w:hAnsi="Trebuchet MS" w:cstheme="minorBidi"/>
          <w:sz w:val="20"/>
          <w:szCs w:val="20"/>
        </w:rPr>
        <w:t>m durante 1h</w:t>
      </w:r>
      <w:r w:rsidR="00793788" w:rsidRPr="00330648">
        <w:rPr>
          <w:rFonts w:ascii="Trebuchet MS" w:eastAsiaTheme="minorHAnsi" w:hAnsi="Trebuchet MS" w:cstheme="minorBidi"/>
          <w:sz w:val="20"/>
          <w:szCs w:val="20"/>
        </w:rPr>
        <w:t>ora</w:t>
      </w:r>
      <w:r w:rsidRPr="00330648">
        <w:rPr>
          <w:rFonts w:ascii="Trebuchet MS" w:eastAsiaTheme="minorHAnsi" w:hAnsi="Trebuchet MS" w:cstheme="minorBidi"/>
          <w:sz w:val="20"/>
          <w:szCs w:val="20"/>
        </w:rPr>
        <w:t xml:space="preserve"> a recuperar (a 37ºC),</w:t>
      </w:r>
      <w:r w:rsidRPr="009E323D">
        <w:rPr>
          <w:rFonts w:ascii="Trebuchet MS" w:eastAsiaTheme="minorHAnsi" w:hAnsi="Trebuchet MS" w:cstheme="minorBidi"/>
          <w:sz w:val="20"/>
          <w:szCs w:val="20"/>
        </w:rPr>
        <w:t xml:space="preserve"> até se iniciar os diferentes</w:t>
      </w:r>
      <w:r w:rsidR="00204035" w:rsidRPr="009E323D">
        <w:rPr>
          <w:rFonts w:ascii="Trebuchet MS" w:eastAsiaTheme="minorHAnsi" w:hAnsi="Trebuchet MS" w:cstheme="minorBidi"/>
          <w:sz w:val="20"/>
          <w:szCs w:val="20"/>
        </w:rPr>
        <w:t xml:space="preserve"> tipos de</w:t>
      </w:r>
      <w:r w:rsidRPr="009E323D">
        <w:rPr>
          <w:rFonts w:ascii="Trebuchet MS" w:eastAsiaTheme="minorHAnsi" w:hAnsi="Trebuchet MS" w:cstheme="minorBidi"/>
          <w:sz w:val="20"/>
          <w:szCs w:val="20"/>
        </w:rPr>
        <w:t xml:space="preserve"> tratamentos. </w:t>
      </w:r>
    </w:p>
    <w:p w:rsidR="002B2845" w:rsidRPr="00751D14" w:rsidRDefault="002B2845" w:rsidP="002B2845">
      <w:pPr>
        <w:contextualSpacing/>
        <w:jc w:val="center"/>
        <w:rPr>
          <w:rFonts w:ascii="Trebuchet MS" w:hAnsi="Trebuchet MS"/>
          <w:b/>
          <w:sz w:val="22"/>
        </w:rPr>
      </w:pPr>
    </w:p>
    <w:tbl>
      <w:tblPr>
        <w:tblStyle w:val="Tabelacomgrelh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63"/>
        <w:gridCol w:w="1763"/>
        <w:gridCol w:w="1691"/>
        <w:gridCol w:w="1691"/>
        <w:gridCol w:w="1813"/>
      </w:tblGrid>
      <w:tr w:rsidR="002B2845" w:rsidRPr="00751D14" w:rsidTr="0038133F">
        <w:trPr>
          <w:trHeight w:val="1134"/>
        </w:trPr>
        <w:tc>
          <w:tcPr>
            <w:tcW w:w="1010" w:type="pct"/>
            <w:vAlign w:val="bottom"/>
          </w:tcPr>
          <w:p w:rsidR="002B2845" w:rsidRPr="00751D14" w:rsidRDefault="002B2845" w:rsidP="002B2845">
            <w:pPr>
              <w:contextualSpacing/>
              <w:rPr>
                <w:rFonts w:ascii="Trebuchet MS" w:hAnsi="Trebuchet MS"/>
                <w:b/>
                <w:sz w:val="8"/>
                <w:szCs w:val="8"/>
                <w:lang w:eastAsia="pt-PT"/>
              </w:rPr>
            </w:pPr>
            <w:r w:rsidRPr="00751D14">
              <w:rPr>
                <w:rFonts w:ascii="Trebuchet MS" w:hAnsi="Trebuchet MS"/>
                <w:b/>
                <w:noProof/>
                <w:sz w:val="8"/>
                <w:szCs w:val="8"/>
                <w:lang w:eastAsia="pt-PT"/>
              </w:rPr>
              <w:drawing>
                <wp:anchor distT="0" distB="0" distL="114300" distR="114300" simplePos="0" relativeHeight="251684352" behindDoc="1" locked="0" layoutInCell="1" allowOverlap="1">
                  <wp:simplePos x="0" y="0"/>
                  <wp:positionH relativeFrom="column">
                    <wp:posOffset>-404737</wp:posOffset>
                  </wp:positionH>
                  <wp:positionV relativeFrom="paragraph">
                    <wp:posOffset>-2001680</wp:posOffset>
                  </wp:positionV>
                  <wp:extent cx="1187061" cy="790984"/>
                  <wp:effectExtent l="19050" t="0" r="0" b="0"/>
                  <wp:wrapTight wrapText="bothSides">
                    <wp:wrapPolygon edited="0">
                      <wp:start x="-347" y="0"/>
                      <wp:lineTo x="-347" y="21340"/>
                      <wp:lineTo x="21496" y="21340"/>
                      <wp:lineTo x="21496" y="0"/>
                      <wp:lineTo x="-347" y="0"/>
                    </wp:wrapPolygon>
                  </wp:wrapTight>
                  <wp:docPr id="16" name="Imagem 93" descr="C:\Users\Blandina Esteves\Desktop\Tese Mestrado BQ\Fotos Mestrado BQ\Rato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C:\Users\Blandina Esteves\Desktop\Tese Mestrado BQ\Fotos Mestrado BQ\Ratos 1.JPG"/>
                          <pic:cNvPicPr>
                            <a:picLocks noChangeAspect="1" noChangeArrowheads="1"/>
                          </pic:cNvPicPr>
                        </pic:nvPicPr>
                        <pic:blipFill>
                          <a:blip r:embed="rId29" cstate="print"/>
                          <a:srcRect/>
                          <a:stretch>
                            <a:fillRect/>
                          </a:stretch>
                        </pic:blipFill>
                        <pic:spPr bwMode="auto">
                          <a:xfrm>
                            <a:off x="0" y="0"/>
                            <a:ext cx="1186815" cy="790575"/>
                          </a:xfrm>
                          <a:prstGeom prst="rect">
                            <a:avLst/>
                          </a:prstGeom>
                          <a:noFill/>
                          <a:ln w="9525">
                            <a:noFill/>
                            <a:miter lim="800000"/>
                            <a:headEnd/>
                            <a:tailEnd/>
                          </a:ln>
                        </pic:spPr>
                      </pic:pic>
                    </a:graphicData>
                  </a:graphic>
                </wp:anchor>
              </w:drawing>
            </w:r>
          </w:p>
        </w:tc>
        <w:tc>
          <w:tcPr>
            <w:tcW w:w="1011" w:type="pct"/>
            <w:vAlign w:val="bottom"/>
          </w:tcPr>
          <w:p w:rsidR="002B2845" w:rsidRPr="00751D14" w:rsidRDefault="002B2845" w:rsidP="002B2845">
            <w:pPr>
              <w:contextualSpacing/>
              <w:rPr>
                <w:rFonts w:ascii="Trebuchet MS" w:hAnsi="Trebuchet MS"/>
                <w:b/>
                <w:sz w:val="8"/>
                <w:szCs w:val="8"/>
                <w:lang w:eastAsia="pt-PT"/>
              </w:rPr>
            </w:pPr>
            <w:r w:rsidRPr="00751D14">
              <w:rPr>
                <w:rFonts w:ascii="Trebuchet MS" w:hAnsi="Trebuchet MS"/>
                <w:b/>
                <w:noProof/>
                <w:sz w:val="8"/>
                <w:szCs w:val="8"/>
                <w:lang w:eastAsia="pt-PT"/>
              </w:rPr>
              <w:drawing>
                <wp:anchor distT="0" distB="0" distL="114300" distR="114300" simplePos="0" relativeHeight="251683328" behindDoc="1" locked="0" layoutInCell="1" allowOverlap="1">
                  <wp:simplePos x="0" y="0"/>
                  <wp:positionH relativeFrom="column">
                    <wp:posOffset>636812</wp:posOffset>
                  </wp:positionH>
                  <wp:positionV relativeFrom="paragraph">
                    <wp:posOffset>-2280445</wp:posOffset>
                  </wp:positionV>
                  <wp:extent cx="1187060" cy="790984"/>
                  <wp:effectExtent l="19050" t="0" r="0" b="0"/>
                  <wp:wrapTight wrapText="bothSides">
                    <wp:wrapPolygon edited="0">
                      <wp:start x="-347" y="0"/>
                      <wp:lineTo x="-347" y="21340"/>
                      <wp:lineTo x="21496" y="21340"/>
                      <wp:lineTo x="21496" y="0"/>
                      <wp:lineTo x="-347" y="0"/>
                    </wp:wrapPolygon>
                  </wp:wrapTight>
                  <wp:docPr id="20" name="Imagem 90" descr="C:\Users\Blandina Esteves\Desktop\Tese Mestrado BQ\Fotos Mestrado BQ\Bancad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Blandina Esteves\Desktop\Tese Mestrado BQ\Fotos Mestrado BQ\Bancada 2.JPG"/>
                          <pic:cNvPicPr>
                            <a:picLocks noChangeAspect="1" noChangeArrowheads="1"/>
                          </pic:cNvPicPr>
                        </pic:nvPicPr>
                        <pic:blipFill>
                          <a:blip r:embed="rId30" cstate="print"/>
                          <a:srcRect/>
                          <a:stretch>
                            <a:fillRect/>
                          </a:stretch>
                        </pic:blipFill>
                        <pic:spPr bwMode="auto">
                          <a:xfrm>
                            <a:off x="0" y="0"/>
                            <a:ext cx="1186815" cy="790575"/>
                          </a:xfrm>
                          <a:prstGeom prst="rect">
                            <a:avLst/>
                          </a:prstGeom>
                          <a:noFill/>
                          <a:ln w="9525">
                            <a:noFill/>
                            <a:miter lim="800000"/>
                            <a:headEnd/>
                            <a:tailEnd/>
                          </a:ln>
                        </pic:spPr>
                      </pic:pic>
                    </a:graphicData>
                  </a:graphic>
                </wp:anchor>
              </w:drawing>
            </w:r>
          </w:p>
        </w:tc>
        <w:tc>
          <w:tcPr>
            <w:tcW w:w="970" w:type="pct"/>
            <w:vAlign w:val="bottom"/>
          </w:tcPr>
          <w:p w:rsidR="002B2845" w:rsidRPr="00751D14" w:rsidRDefault="002B2845" w:rsidP="002B2845">
            <w:pPr>
              <w:contextualSpacing/>
              <w:rPr>
                <w:rFonts w:ascii="Trebuchet MS" w:hAnsi="Trebuchet MS"/>
                <w:b/>
                <w:sz w:val="8"/>
                <w:szCs w:val="8"/>
                <w:lang w:eastAsia="pt-PT"/>
              </w:rPr>
            </w:pPr>
            <w:r w:rsidRPr="00751D14">
              <w:rPr>
                <w:rFonts w:ascii="Trebuchet MS" w:hAnsi="Trebuchet MS"/>
                <w:b/>
                <w:noProof/>
                <w:sz w:val="8"/>
                <w:szCs w:val="8"/>
                <w:lang w:eastAsia="pt-PT"/>
              </w:rPr>
              <w:drawing>
                <wp:anchor distT="0" distB="0" distL="114300" distR="114300" simplePos="0" relativeHeight="251682304" behindDoc="1" locked="0" layoutInCell="1" allowOverlap="1">
                  <wp:simplePos x="0" y="0"/>
                  <wp:positionH relativeFrom="column">
                    <wp:posOffset>544775</wp:posOffset>
                  </wp:positionH>
                  <wp:positionV relativeFrom="paragraph">
                    <wp:posOffset>-2559845</wp:posOffset>
                  </wp:positionV>
                  <wp:extent cx="1130963" cy="790984"/>
                  <wp:effectExtent l="19050" t="0" r="0" b="0"/>
                  <wp:wrapTight wrapText="bothSides">
                    <wp:wrapPolygon edited="0">
                      <wp:start x="-364" y="0"/>
                      <wp:lineTo x="-364" y="21340"/>
                      <wp:lineTo x="21467" y="21340"/>
                      <wp:lineTo x="21467" y="0"/>
                      <wp:lineTo x="-364" y="0"/>
                    </wp:wrapPolygon>
                  </wp:wrapTight>
                  <wp:docPr id="21" name="Imagem 85" descr="C:\Users\Blandina Esteves\Desktop\Tese Mestrado BQ\Fotos Mestrado BQ\Imagem(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Blandina Esteves\Desktop\Tese Mestrado BQ\Fotos Mestrado BQ\Imagem(138).jpg"/>
                          <pic:cNvPicPr>
                            <a:picLocks noChangeAspect="1" noChangeArrowheads="1"/>
                          </pic:cNvPicPr>
                        </pic:nvPicPr>
                        <pic:blipFill>
                          <a:blip r:embed="rId31" cstate="print"/>
                          <a:srcRect/>
                          <a:stretch>
                            <a:fillRect/>
                          </a:stretch>
                        </pic:blipFill>
                        <pic:spPr bwMode="auto">
                          <a:xfrm>
                            <a:off x="0" y="0"/>
                            <a:ext cx="1130935" cy="790575"/>
                          </a:xfrm>
                          <a:prstGeom prst="rect">
                            <a:avLst/>
                          </a:prstGeom>
                          <a:noFill/>
                          <a:ln w="9525">
                            <a:noFill/>
                            <a:miter lim="800000"/>
                            <a:headEnd/>
                            <a:tailEnd/>
                          </a:ln>
                        </pic:spPr>
                      </pic:pic>
                    </a:graphicData>
                  </a:graphic>
                </wp:anchor>
              </w:drawing>
            </w:r>
          </w:p>
        </w:tc>
        <w:tc>
          <w:tcPr>
            <w:tcW w:w="970" w:type="pct"/>
            <w:vAlign w:val="bottom"/>
          </w:tcPr>
          <w:p w:rsidR="002B2845" w:rsidRPr="00751D14" w:rsidRDefault="002B2845" w:rsidP="002B2845">
            <w:pPr>
              <w:contextualSpacing/>
              <w:rPr>
                <w:rFonts w:ascii="Trebuchet MS" w:hAnsi="Trebuchet MS"/>
                <w:b/>
                <w:sz w:val="8"/>
                <w:szCs w:val="8"/>
                <w:lang w:eastAsia="pt-PT"/>
              </w:rPr>
            </w:pPr>
            <w:r w:rsidRPr="00751D14">
              <w:rPr>
                <w:rFonts w:ascii="Trebuchet MS" w:hAnsi="Trebuchet MS"/>
                <w:b/>
                <w:noProof/>
                <w:sz w:val="8"/>
                <w:szCs w:val="8"/>
                <w:lang w:eastAsia="pt-PT"/>
              </w:rPr>
              <w:drawing>
                <wp:anchor distT="0" distB="0" distL="114300" distR="114300" simplePos="0" relativeHeight="251681280" behindDoc="1" locked="0" layoutInCell="1" allowOverlap="1">
                  <wp:simplePos x="0" y="0"/>
                  <wp:positionH relativeFrom="column">
                    <wp:posOffset>480570</wp:posOffset>
                  </wp:positionH>
                  <wp:positionV relativeFrom="paragraph">
                    <wp:posOffset>-2838610</wp:posOffset>
                  </wp:positionV>
                  <wp:extent cx="1130963" cy="790984"/>
                  <wp:effectExtent l="19050" t="0" r="0" b="0"/>
                  <wp:wrapTight wrapText="bothSides">
                    <wp:wrapPolygon edited="0">
                      <wp:start x="-364" y="0"/>
                      <wp:lineTo x="-364" y="21340"/>
                      <wp:lineTo x="21467" y="21340"/>
                      <wp:lineTo x="21467" y="0"/>
                      <wp:lineTo x="-364" y="0"/>
                    </wp:wrapPolygon>
                  </wp:wrapTight>
                  <wp:docPr id="22" name="Imagem 89" descr="C:\Users\Blandina Esteves\Desktop\Tese Mestrado BQ\Fotos Mestrado BQ\Imagem(1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C:\Users\Blandina Esteves\Desktop\Tese Mestrado BQ\Fotos Mestrado BQ\Imagem(143).jpg"/>
                          <pic:cNvPicPr>
                            <a:picLocks noChangeAspect="1" noChangeArrowheads="1"/>
                          </pic:cNvPicPr>
                        </pic:nvPicPr>
                        <pic:blipFill>
                          <a:blip r:embed="rId32" cstate="print"/>
                          <a:srcRect/>
                          <a:stretch>
                            <a:fillRect/>
                          </a:stretch>
                        </pic:blipFill>
                        <pic:spPr bwMode="auto">
                          <a:xfrm>
                            <a:off x="0" y="0"/>
                            <a:ext cx="1130935" cy="790575"/>
                          </a:xfrm>
                          <a:prstGeom prst="rect">
                            <a:avLst/>
                          </a:prstGeom>
                          <a:noFill/>
                          <a:ln w="9525">
                            <a:noFill/>
                            <a:miter lim="800000"/>
                            <a:headEnd/>
                            <a:tailEnd/>
                          </a:ln>
                        </pic:spPr>
                      </pic:pic>
                    </a:graphicData>
                  </a:graphic>
                </wp:anchor>
              </w:drawing>
            </w:r>
          </w:p>
        </w:tc>
        <w:tc>
          <w:tcPr>
            <w:tcW w:w="1040" w:type="pct"/>
            <w:vAlign w:val="bottom"/>
          </w:tcPr>
          <w:p w:rsidR="002B2845" w:rsidRPr="00751D14" w:rsidRDefault="002B2845" w:rsidP="002B2845">
            <w:pPr>
              <w:contextualSpacing/>
              <w:rPr>
                <w:rFonts w:ascii="Trebuchet MS" w:hAnsi="Trebuchet MS"/>
                <w:b/>
                <w:sz w:val="8"/>
                <w:szCs w:val="8"/>
                <w:lang w:eastAsia="pt-PT"/>
              </w:rPr>
            </w:pPr>
            <w:r w:rsidRPr="00751D14">
              <w:rPr>
                <w:rFonts w:ascii="Trebuchet MS" w:hAnsi="Trebuchet MS"/>
                <w:b/>
                <w:noProof/>
                <w:sz w:val="8"/>
                <w:szCs w:val="8"/>
                <w:lang w:eastAsia="pt-PT"/>
              </w:rPr>
              <w:drawing>
                <wp:anchor distT="0" distB="0" distL="114300" distR="114300" simplePos="0" relativeHeight="251680256" behindDoc="1" locked="0" layoutInCell="1" allowOverlap="1">
                  <wp:simplePos x="0" y="0"/>
                  <wp:positionH relativeFrom="column">
                    <wp:posOffset>438804</wp:posOffset>
                  </wp:positionH>
                  <wp:positionV relativeFrom="paragraph">
                    <wp:posOffset>-3118010</wp:posOffset>
                  </wp:positionV>
                  <wp:extent cx="1226330" cy="790984"/>
                  <wp:effectExtent l="19050" t="0" r="0" b="0"/>
                  <wp:wrapTight wrapText="bothSides">
                    <wp:wrapPolygon edited="0">
                      <wp:start x="-336" y="0"/>
                      <wp:lineTo x="-336" y="21340"/>
                      <wp:lineTo x="21477" y="21340"/>
                      <wp:lineTo x="21477" y="0"/>
                      <wp:lineTo x="-336" y="0"/>
                    </wp:wrapPolygon>
                  </wp:wrapTight>
                  <wp:docPr id="23" name="Imagem 87" descr="C:\Users\Blandina Esteves\Desktop\Tese Mestrado BQ\Fotos Mestrado BQ\Imagem(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Blandina Esteves\Desktop\Tese Mestrado BQ\Fotos Mestrado BQ\Imagem(144).jpg"/>
                          <pic:cNvPicPr>
                            <a:picLocks noChangeAspect="1" noChangeArrowheads="1"/>
                          </pic:cNvPicPr>
                        </pic:nvPicPr>
                        <pic:blipFill>
                          <a:blip r:embed="rId33" cstate="print"/>
                          <a:srcRect/>
                          <a:stretch>
                            <a:fillRect/>
                          </a:stretch>
                        </pic:blipFill>
                        <pic:spPr bwMode="auto">
                          <a:xfrm>
                            <a:off x="0" y="0"/>
                            <a:ext cx="1226185" cy="790575"/>
                          </a:xfrm>
                          <a:prstGeom prst="rect">
                            <a:avLst/>
                          </a:prstGeom>
                          <a:noFill/>
                          <a:ln w="9525">
                            <a:noFill/>
                            <a:miter lim="800000"/>
                            <a:headEnd/>
                            <a:tailEnd/>
                          </a:ln>
                        </pic:spPr>
                      </pic:pic>
                    </a:graphicData>
                  </a:graphic>
                </wp:anchor>
              </w:drawing>
            </w:r>
          </w:p>
        </w:tc>
      </w:tr>
    </w:tbl>
    <w:p w:rsidR="002B2845" w:rsidRPr="002861BA" w:rsidRDefault="002B2845" w:rsidP="002B2845">
      <w:pPr>
        <w:contextualSpacing/>
        <w:jc w:val="center"/>
        <w:rPr>
          <w:rFonts w:ascii="Trebuchet MS" w:hAnsi="Trebuchet MS"/>
          <w:sz w:val="18"/>
        </w:rPr>
      </w:pPr>
      <w:r w:rsidRPr="002861BA">
        <w:rPr>
          <w:rFonts w:ascii="Trebuchet MS" w:hAnsi="Trebuchet MS"/>
          <w:b/>
          <w:sz w:val="18"/>
        </w:rPr>
        <w:t>Fig. 3.7.</w:t>
      </w:r>
      <w:r w:rsidRPr="002861BA">
        <w:rPr>
          <w:rFonts w:ascii="Trebuchet MS" w:hAnsi="Trebuchet MS"/>
          <w:sz w:val="18"/>
        </w:rPr>
        <w:t xml:space="preserve"> Extracção do cérebro dos ratos.</w:t>
      </w:r>
    </w:p>
    <w:p w:rsidR="00793788" w:rsidRDefault="00793788" w:rsidP="00793788">
      <w:pPr>
        <w:spacing w:line="360" w:lineRule="auto"/>
        <w:contextualSpacing/>
        <w:jc w:val="center"/>
        <w:rPr>
          <w:rFonts w:ascii="Trebuchet MS" w:hAnsi="Trebuchet MS"/>
          <w:sz w:val="22"/>
        </w:rPr>
      </w:pPr>
    </w:p>
    <w:p w:rsidR="00793788" w:rsidRPr="00751D14" w:rsidRDefault="00793788" w:rsidP="00793788">
      <w:pPr>
        <w:spacing w:after="200" w:line="360" w:lineRule="auto"/>
        <w:contextualSpacing/>
        <w:jc w:val="center"/>
        <w:rPr>
          <w:rFonts w:ascii="Trebuchet MS" w:hAnsi="Trebuchet MS"/>
          <w:sz w:val="22"/>
        </w:rPr>
      </w:pPr>
      <w:r w:rsidRPr="00751D14">
        <w:rPr>
          <w:rFonts w:ascii="Trebuchet MS" w:hAnsi="Trebuchet MS"/>
          <w:noProof/>
          <w:sz w:val="22"/>
          <w:lang w:eastAsia="pt-PT"/>
        </w:rPr>
        <w:drawing>
          <wp:inline distT="0" distB="0" distL="0" distR="0">
            <wp:extent cx="4473259" cy="4097547"/>
            <wp:effectExtent l="19050" t="0" r="3491" b="0"/>
            <wp:docPr id="34" name="Imagem 30" descr="http://media.wiley.com/CurrentProtocols/NS/ns0604/ns0604-fig-0002-1-ful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media.wiley.com/CurrentProtocols/NS/ns0604/ns0604-fig-0002-1-full.gif"/>
                    <pic:cNvPicPr>
                      <a:picLocks noChangeAspect="1" noChangeArrowheads="1"/>
                    </pic:cNvPicPr>
                  </pic:nvPicPr>
                  <pic:blipFill>
                    <a:blip r:embed="rId34" cstate="print"/>
                    <a:srcRect b="1989"/>
                    <a:stretch>
                      <a:fillRect/>
                    </a:stretch>
                  </pic:blipFill>
                  <pic:spPr bwMode="auto">
                    <a:xfrm>
                      <a:off x="0" y="0"/>
                      <a:ext cx="4471783" cy="4096195"/>
                    </a:xfrm>
                    <a:prstGeom prst="rect">
                      <a:avLst/>
                    </a:prstGeom>
                    <a:noFill/>
                    <a:ln w="9525">
                      <a:noFill/>
                      <a:miter lim="800000"/>
                      <a:headEnd/>
                      <a:tailEnd/>
                    </a:ln>
                  </pic:spPr>
                </pic:pic>
              </a:graphicData>
            </a:graphic>
          </wp:inline>
        </w:drawing>
      </w:r>
    </w:p>
    <w:p w:rsidR="00793788" w:rsidRPr="009E323D" w:rsidRDefault="00793788" w:rsidP="00793788">
      <w:pPr>
        <w:spacing w:after="200" w:line="276" w:lineRule="auto"/>
        <w:ind w:left="720"/>
        <w:contextualSpacing/>
        <w:jc w:val="center"/>
        <w:rPr>
          <w:rFonts w:ascii="Trebuchet MS" w:hAnsi="Trebuchet MS"/>
          <w:sz w:val="18"/>
          <w:szCs w:val="18"/>
        </w:rPr>
      </w:pPr>
      <w:r w:rsidRPr="009E323D">
        <w:rPr>
          <w:rFonts w:ascii="Trebuchet MS" w:hAnsi="Trebuchet MS"/>
          <w:b/>
          <w:sz w:val="18"/>
          <w:szCs w:val="18"/>
        </w:rPr>
        <w:t>Fig.3.8.</w:t>
      </w:r>
      <w:r w:rsidRPr="009E323D">
        <w:rPr>
          <w:rFonts w:ascii="Trebuchet MS" w:hAnsi="Trebuchet MS"/>
          <w:sz w:val="18"/>
          <w:szCs w:val="18"/>
        </w:rPr>
        <w:t xml:space="preserve"> Extracção do hipocampo de cérebros de ratos (Adaptado de </w:t>
      </w:r>
      <w:hyperlink r:id="rId35" w:history="1">
        <w:r w:rsidRPr="009E323D">
          <w:rPr>
            <w:rStyle w:val="Hiperligao"/>
            <w:rFonts w:ascii="Trebuchet MS" w:hAnsi="Trebuchet MS"/>
            <w:sz w:val="18"/>
            <w:szCs w:val="18"/>
          </w:rPr>
          <w:t>http://media.wiley.com/CurrentProtocols/NS/ns0604/ns0604-fig-0002-1-full.gif - Consultado em 10-09-2010</w:t>
        </w:r>
      </w:hyperlink>
      <w:r w:rsidRPr="009E323D">
        <w:rPr>
          <w:rFonts w:ascii="Trebuchet MS" w:hAnsi="Trebuchet MS"/>
          <w:sz w:val="18"/>
          <w:szCs w:val="18"/>
        </w:rPr>
        <w:t>).</w:t>
      </w:r>
    </w:p>
    <w:p w:rsidR="00AA3953" w:rsidRPr="0080426A" w:rsidRDefault="00AA3953" w:rsidP="00AA3953">
      <w:pPr>
        <w:spacing w:after="200" w:line="360" w:lineRule="auto"/>
        <w:ind w:firstLine="708"/>
        <w:contextualSpacing/>
        <w:jc w:val="both"/>
        <w:rPr>
          <w:rFonts w:ascii="Trebuchet MS" w:eastAsiaTheme="minorHAnsi" w:hAnsi="Trebuchet MS" w:cstheme="minorBidi"/>
          <w:sz w:val="20"/>
        </w:rPr>
      </w:pPr>
    </w:p>
    <w:p w:rsidR="00AA3953" w:rsidRPr="009E323D" w:rsidRDefault="00AA3953" w:rsidP="00AA3953">
      <w:pPr>
        <w:spacing w:after="200" w:line="360" w:lineRule="auto"/>
        <w:ind w:firstLine="708"/>
        <w:contextualSpacing/>
        <w:jc w:val="both"/>
        <w:rPr>
          <w:rFonts w:ascii="Trebuchet MS" w:eastAsiaTheme="minorHAnsi" w:hAnsi="Trebuchet MS" w:cstheme="minorBidi"/>
          <w:sz w:val="20"/>
        </w:rPr>
      </w:pPr>
      <w:r w:rsidRPr="009E323D">
        <w:rPr>
          <w:rFonts w:ascii="Trebuchet MS" w:eastAsiaTheme="minorHAnsi" w:hAnsi="Trebuchet MS" w:cstheme="minorBidi"/>
          <w:sz w:val="20"/>
          <w:lang w:val="en-US"/>
        </w:rPr>
        <w:lastRenderedPageBreak/>
        <w:t xml:space="preserve">Popovic </w:t>
      </w:r>
      <w:r w:rsidRPr="009E323D">
        <w:rPr>
          <w:rFonts w:ascii="Trebuchet MS" w:eastAsiaTheme="minorHAnsi" w:hAnsi="Trebuchet MS" w:cstheme="minorBidi"/>
          <w:i/>
          <w:sz w:val="20"/>
          <w:lang w:val="en-US"/>
        </w:rPr>
        <w:t xml:space="preserve">et al. </w:t>
      </w:r>
      <w:r w:rsidRPr="009E323D">
        <w:rPr>
          <w:rFonts w:ascii="Trebuchet MS" w:eastAsiaTheme="minorHAnsi" w:hAnsi="Trebuchet MS" w:cstheme="minorBidi"/>
          <w:sz w:val="20"/>
          <w:lang w:val="en-US"/>
        </w:rPr>
        <w:t xml:space="preserve">(2000), Wang </w:t>
      </w:r>
      <w:r w:rsidRPr="009E323D">
        <w:rPr>
          <w:rFonts w:ascii="Trebuchet MS" w:eastAsiaTheme="minorHAnsi" w:hAnsi="Trebuchet MS" w:cstheme="minorBidi"/>
          <w:i/>
          <w:sz w:val="20"/>
          <w:lang w:val="en-US"/>
        </w:rPr>
        <w:t xml:space="preserve">et al. </w:t>
      </w:r>
      <w:r w:rsidRPr="009E323D">
        <w:rPr>
          <w:rFonts w:ascii="Trebuchet MS" w:eastAsiaTheme="minorHAnsi" w:hAnsi="Trebuchet MS" w:cstheme="minorBidi"/>
          <w:sz w:val="20"/>
        </w:rPr>
        <w:t xml:space="preserve">(2007) e Zhang </w:t>
      </w:r>
      <w:r w:rsidRPr="009E323D">
        <w:rPr>
          <w:rFonts w:ascii="Trebuchet MS" w:eastAsiaTheme="minorHAnsi" w:hAnsi="Trebuchet MS" w:cstheme="minorBidi"/>
          <w:i/>
          <w:sz w:val="20"/>
        </w:rPr>
        <w:t xml:space="preserve">et al. </w:t>
      </w:r>
      <w:r w:rsidRPr="009E323D">
        <w:rPr>
          <w:rFonts w:ascii="Trebuchet MS" w:eastAsiaTheme="minorHAnsi" w:hAnsi="Trebuchet MS" w:cstheme="minorBidi"/>
          <w:sz w:val="20"/>
        </w:rPr>
        <w:t>(2008) realizaram a recuper</w:t>
      </w:r>
      <w:r w:rsidRPr="009E323D">
        <w:rPr>
          <w:rFonts w:ascii="Trebuchet MS" w:eastAsiaTheme="minorHAnsi" w:hAnsi="Trebuchet MS" w:cstheme="minorBidi"/>
          <w:sz w:val="20"/>
        </w:rPr>
        <w:t>a</w:t>
      </w:r>
      <w:r w:rsidRPr="009E323D">
        <w:rPr>
          <w:rFonts w:ascii="Trebuchet MS" w:eastAsiaTheme="minorHAnsi" w:hAnsi="Trebuchet MS" w:cstheme="minorBidi"/>
          <w:sz w:val="20"/>
        </w:rPr>
        <w:t>ção das fatias de hipocampo de ratos adultos (2-3 meses de idade: 200g-250g) à temperatura ambiente (25ºC), permanecendo durante 1h</w:t>
      </w:r>
      <w:r>
        <w:rPr>
          <w:rFonts w:ascii="Trebuchet MS" w:eastAsiaTheme="minorHAnsi" w:hAnsi="Trebuchet MS" w:cstheme="minorBidi"/>
          <w:sz w:val="20"/>
        </w:rPr>
        <w:t>ora</w:t>
      </w:r>
      <w:r w:rsidRPr="009E323D">
        <w:rPr>
          <w:rFonts w:ascii="Trebuchet MS" w:eastAsiaTheme="minorHAnsi" w:hAnsi="Trebuchet MS" w:cstheme="minorBidi"/>
          <w:sz w:val="20"/>
        </w:rPr>
        <w:t xml:space="preserve"> em krebs gaseado, para recuperar a função sináptica. Toner </w:t>
      </w:r>
      <w:r w:rsidRPr="009E323D">
        <w:rPr>
          <w:rFonts w:ascii="Trebuchet MS" w:eastAsiaTheme="minorHAnsi" w:hAnsi="Trebuchet MS" w:cstheme="minorBidi"/>
          <w:i/>
          <w:sz w:val="20"/>
        </w:rPr>
        <w:t xml:space="preserve">et al. </w:t>
      </w:r>
      <w:r w:rsidRPr="009E323D">
        <w:rPr>
          <w:rFonts w:ascii="Trebuchet MS" w:eastAsiaTheme="minorHAnsi" w:hAnsi="Trebuchet MS" w:cstheme="minorBidi"/>
          <w:sz w:val="20"/>
        </w:rPr>
        <w:t>(2002) descreve que as fatias deviam permanecer incubadas à temp</w:t>
      </w:r>
      <w:r w:rsidRPr="009E323D">
        <w:rPr>
          <w:rFonts w:ascii="Trebuchet MS" w:eastAsiaTheme="minorHAnsi" w:hAnsi="Trebuchet MS" w:cstheme="minorBidi"/>
          <w:sz w:val="20"/>
        </w:rPr>
        <w:t>e</w:t>
      </w:r>
      <w:r w:rsidRPr="009E323D">
        <w:rPr>
          <w:rFonts w:ascii="Trebuchet MS" w:eastAsiaTheme="minorHAnsi" w:hAnsi="Trebuchet MS" w:cstheme="minorBidi"/>
          <w:sz w:val="20"/>
        </w:rPr>
        <w:t>r</w:t>
      </w:r>
      <w:r w:rsidR="00F62485">
        <w:rPr>
          <w:rFonts w:ascii="Trebuchet MS" w:eastAsiaTheme="minorHAnsi" w:hAnsi="Trebuchet MS" w:cstheme="minorBidi"/>
          <w:sz w:val="20"/>
        </w:rPr>
        <w:t>atura ambiente (24ºC) durante 1</w:t>
      </w:r>
      <w:r w:rsidRPr="009E323D">
        <w:rPr>
          <w:rFonts w:ascii="Trebuchet MS" w:eastAsiaTheme="minorHAnsi" w:hAnsi="Trebuchet MS" w:cstheme="minorBidi"/>
          <w:sz w:val="20"/>
        </w:rPr>
        <w:t>-4h</w:t>
      </w:r>
      <w:r>
        <w:rPr>
          <w:rFonts w:ascii="Trebuchet MS" w:eastAsiaTheme="minorHAnsi" w:hAnsi="Trebuchet MS" w:cstheme="minorBidi"/>
          <w:sz w:val="20"/>
        </w:rPr>
        <w:t>oras</w:t>
      </w:r>
      <w:r w:rsidRPr="009E323D">
        <w:rPr>
          <w:rFonts w:ascii="Trebuchet MS" w:eastAsiaTheme="minorHAnsi" w:hAnsi="Trebuchet MS" w:cstheme="minorBidi"/>
          <w:sz w:val="20"/>
        </w:rPr>
        <w:t xml:space="preserve">, para permitir a recuperação do trauma induzido pela preparação. </w:t>
      </w:r>
    </w:p>
    <w:p w:rsidR="00793788" w:rsidRPr="00B76828" w:rsidRDefault="00793788" w:rsidP="00793788">
      <w:pPr>
        <w:spacing w:line="360" w:lineRule="auto"/>
        <w:ind w:firstLine="708"/>
        <w:jc w:val="both"/>
        <w:rPr>
          <w:rFonts w:ascii="Trebuchet MS" w:eastAsiaTheme="minorHAnsi" w:hAnsi="Trebuchet MS" w:cstheme="minorBidi"/>
          <w:sz w:val="20"/>
        </w:rPr>
      </w:pPr>
      <w:r w:rsidRPr="00B76828">
        <w:rPr>
          <w:rFonts w:ascii="Trebuchet MS" w:eastAsiaTheme="minorHAnsi" w:hAnsi="Trebuchet MS" w:cs="ArialMT"/>
          <w:sz w:val="20"/>
        </w:rPr>
        <w:t>Para evitar o efeito da hipotermia (outro tipo de pré-condicionamento) no nosso modelo experimental de pré-condicionamento e dado que se pretende estuda-los isoladame</w:t>
      </w:r>
      <w:r w:rsidRPr="00B76828">
        <w:rPr>
          <w:rFonts w:ascii="Trebuchet MS" w:eastAsiaTheme="minorHAnsi" w:hAnsi="Trebuchet MS" w:cs="ArialMT"/>
          <w:sz w:val="20"/>
        </w:rPr>
        <w:t>n</w:t>
      </w:r>
      <w:r w:rsidRPr="00B76828">
        <w:rPr>
          <w:rFonts w:ascii="Trebuchet MS" w:eastAsiaTheme="minorHAnsi" w:hAnsi="Trebuchet MS" w:cs="ArialMT"/>
          <w:sz w:val="20"/>
        </w:rPr>
        <w:t>te, é importante eliminar todas as possíveis interferências. Constatado que a</w:t>
      </w:r>
      <w:r w:rsidRPr="00B76828">
        <w:rPr>
          <w:rFonts w:ascii="Trebuchet MS" w:eastAsiaTheme="minorHAnsi" w:hAnsi="Trebuchet MS" w:cs="TimesNRMT"/>
          <w:sz w:val="20"/>
        </w:rPr>
        <w:t xml:space="preserve"> diminuição da temperatura reduz a extensão dos danos </w:t>
      </w:r>
      <w:r w:rsidRPr="00B76828">
        <w:rPr>
          <w:rFonts w:ascii="Trebuchet MS" w:eastAsiaTheme="minorHAnsi" w:hAnsi="Trebuchet MS" w:cstheme="minorBidi"/>
          <w:sz w:val="20"/>
        </w:rPr>
        <w:t>(</w:t>
      </w:r>
      <w:r w:rsidR="004149DC">
        <w:rPr>
          <w:rFonts w:ascii="Trebuchet MS" w:eastAsiaTheme="minorHAnsi" w:hAnsi="Trebuchet MS" w:cstheme="minorBidi"/>
          <w:sz w:val="20"/>
        </w:rPr>
        <w:t>Para revisão ver</w:t>
      </w:r>
      <w:r w:rsidRPr="00B76828">
        <w:rPr>
          <w:rFonts w:ascii="Trebuchet MS" w:eastAsiaTheme="minorHAnsi" w:hAnsi="Trebuchet MS" w:cstheme="minorBidi"/>
          <w:sz w:val="20"/>
        </w:rPr>
        <w:t xml:space="preserve"> Lipton </w:t>
      </w:r>
      <w:r w:rsidRPr="00B76828">
        <w:rPr>
          <w:rFonts w:ascii="Trebuchet MS" w:eastAsiaTheme="minorHAnsi" w:hAnsi="Trebuchet MS" w:cstheme="minorBidi"/>
          <w:i/>
          <w:sz w:val="20"/>
        </w:rPr>
        <w:t>et al.</w:t>
      </w:r>
      <w:r w:rsidRPr="00B76828">
        <w:rPr>
          <w:rFonts w:ascii="Trebuchet MS" w:eastAsiaTheme="minorHAnsi" w:hAnsi="Trebuchet MS" w:cstheme="minorBidi"/>
          <w:sz w:val="20"/>
        </w:rPr>
        <w:t xml:space="preserve">, 1999), ou seja, a hipotermia protege contra lesões isquémicas ou traumáticas (Dietrich </w:t>
      </w:r>
      <w:r w:rsidRPr="00B76828">
        <w:rPr>
          <w:rFonts w:ascii="Trebuchet MS" w:eastAsiaTheme="minorHAnsi" w:hAnsi="Trebuchet MS" w:cstheme="minorBidi"/>
          <w:i/>
          <w:sz w:val="20"/>
        </w:rPr>
        <w:t>et al.</w:t>
      </w:r>
      <w:r w:rsidRPr="00B76828">
        <w:rPr>
          <w:rFonts w:ascii="Trebuchet MS" w:eastAsiaTheme="minorHAnsi" w:hAnsi="Trebuchet MS" w:cstheme="minorBidi"/>
          <w:sz w:val="20"/>
        </w:rPr>
        <w:t xml:space="preserve">, 1993; </w:t>
      </w:r>
      <w:r w:rsidR="004149DC">
        <w:rPr>
          <w:rFonts w:ascii="Trebuchet MS" w:eastAsiaTheme="minorHAnsi" w:hAnsi="Trebuchet MS" w:cstheme="minorBidi"/>
          <w:sz w:val="20"/>
        </w:rPr>
        <w:t>Para rev</w:t>
      </w:r>
      <w:r w:rsidR="004149DC">
        <w:rPr>
          <w:rFonts w:ascii="Trebuchet MS" w:eastAsiaTheme="minorHAnsi" w:hAnsi="Trebuchet MS" w:cstheme="minorBidi"/>
          <w:sz w:val="20"/>
        </w:rPr>
        <w:t>i</w:t>
      </w:r>
      <w:r w:rsidR="004149DC">
        <w:rPr>
          <w:rFonts w:ascii="Trebuchet MS" w:eastAsiaTheme="minorHAnsi" w:hAnsi="Trebuchet MS" w:cstheme="minorBidi"/>
          <w:sz w:val="20"/>
        </w:rPr>
        <w:t>são ver</w:t>
      </w:r>
      <w:r w:rsidRPr="00B76828">
        <w:rPr>
          <w:rFonts w:ascii="Trebuchet MS" w:eastAsiaTheme="minorHAnsi" w:hAnsi="Trebuchet MS" w:cstheme="minorBidi"/>
          <w:sz w:val="20"/>
        </w:rPr>
        <w:t xml:space="preserve"> Lipton, 1999) procedeu-se a um processo de optimização de determinados parâmetros como a temperatura.</w:t>
      </w:r>
    </w:p>
    <w:p w:rsidR="00793788" w:rsidRPr="00B76828" w:rsidRDefault="00793788" w:rsidP="00B95E0A">
      <w:pPr>
        <w:spacing w:after="200" w:line="360" w:lineRule="auto"/>
        <w:ind w:firstLine="708"/>
        <w:contextualSpacing/>
        <w:jc w:val="both"/>
        <w:rPr>
          <w:rFonts w:ascii="Trebuchet MS" w:eastAsiaTheme="minorHAnsi" w:hAnsi="Trebuchet MS" w:cs="Garamond-Book"/>
          <w:sz w:val="20"/>
        </w:rPr>
      </w:pPr>
      <w:r w:rsidRPr="009E323D">
        <w:rPr>
          <w:rFonts w:ascii="Trebuchet MS" w:eastAsiaTheme="minorHAnsi" w:hAnsi="Trebuchet MS" w:cstheme="minorBidi"/>
          <w:sz w:val="20"/>
        </w:rPr>
        <w:t xml:space="preserve">Inicialmente, durante as primeiras experiências, enquanto se procedia à dissecação dos 3 ratos, </w:t>
      </w:r>
      <w:r w:rsidRPr="00B76828">
        <w:rPr>
          <w:rFonts w:ascii="Trebuchet MS" w:eastAsiaTheme="minorHAnsi" w:hAnsi="Trebuchet MS" w:cstheme="minorBidi"/>
          <w:sz w:val="20"/>
        </w:rPr>
        <w:t>à medida que as fatias que iam sendo isoladas</w:t>
      </w:r>
      <w:r w:rsidRPr="009E323D">
        <w:rPr>
          <w:rFonts w:ascii="Trebuchet MS" w:eastAsiaTheme="minorHAnsi" w:hAnsi="Trebuchet MS" w:cstheme="minorBidi"/>
          <w:sz w:val="20"/>
        </w:rPr>
        <w:t xml:space="preserve">, </w:t>
      </w:r>
      <w:r>
        <w:rPr>
          <w:rFonts w:ascii="Trebuchet MS" w:eastAsiaTheme="minorHAnsi" w:hAnsi="Trebuchet MS" w:cstheme="minorBidi"/>
          <w:sz w:val="20"/>
        </w:rPr>
        <w:t xml:space="preserve">as fatias já isoladas </w:t>
      </w:r>
      <w:r w:rsidRPr="009E323D">
        <w:rPr>
          <w:rFonts w:ascii="Trebuchet MS" w:eastAsiaTheme="minorHAnsi" w:hAnsi="Trebuchet MS" w:cstheme="minorBidi"/>
          <w:sz w:val="20"/>
        </w:rPr>
        <w:t xml:space="preserve">permaneciam em Krebs gelado (4ºC), gaseado. Contudo, como o objectivo deste trabalho de investigação é o estudo de diferentes tipos de pré-condicionamento na isquémia cerebral, está descrito que a </w:t>
      </w:r>
      <w:r w:rsidRPr="009E323D">
        <w:rPr>
          <w:rFonts w:ascii="Trebuchet MS" w:eastAsiaTheme="minorHAnsi" w:hAnsi="Trebuchet MS" w:cstheme="minorBidi"/>
          <w:sz w:val="20"/>
          <w:u w:val="single"/>
        </w:rPr>
        <w:t xml:space="preserve">hipotermia </w:t>
      </w:r>
      <w:r w:rsidR="00B95E0A">
        <w:rPr>
          <w:rFonts w:ascii="Trebuchet MS" w:eastAsiaTheme="minorHAnsi" w:hAnsi="Trebuchet MS" w:cstheme="minorBidi"/>
          <w:sz w:val="20"/>
          <w:u w:val="single"/>
        </w:rPr>
        <w:t>apresenta efeito neuroprotector na</w:t>
      </w:r>
      <w:r w:rsidRPr="009E323D">
        <w:rPr>
          <w:rFonts w:ascii="Trebuchet MS" w:eastAsiaTheme="minorHAnsi" w:hAnsi="Trebuchet MS" w:cstheme="minorBidi"/>
          <w:sz w:val="20"/>
          <w:u w:val="single"/>
        </w:rPr>
        <w:t xml:space="preserve"> isquémia cerebral</w:t>
      </w:r>
      <w:r w:rsidRPr="009E323D">
        <w:rPr>
          <w:rFonts w:ascii="Trebuchet MS" w:eastAsiaTheme="minorHAnsi" w:hAnsi="Trebuchet MS" w:cstheme="minorBidi"/>
          <w:sz w:val="20"/>
        </w:rPr>
        <w:t xml:space="preserve">. Desta forma, excluímos esta possível interferência que poderia “falsear” os resultados. </w:t>
      </w:r>
      <w:r w:rsidRPr="00B76828">
        <w:rPr>
          <w:rFonts w:ascii="Trebuchet MS" w:eastAsiaTheme="minorHAnsi" w:hAnsi="Trebuchet MS" w:cstheme="minorBidi"/>
          <w:sz w:val="20"/>
        </w:rPr>
        <w:t>Dado que a exposição a um breve período de hipotermia antes do insulto isquémico induz tolerância isquémica, em modelos animais de isquémia cerebral no cérebro de ratos, proporcionando protecção contra a morte celular durante a fase aguda (algumas horas após pré-condicionamento) (</w:t>
      </w:r>
      <w:r w:rsidRPr="00B76828">
        <w:rPr>
          <w:rFonts w:ascii="Trebuchet MS" w:eastAsiaTheme="minorHAnsi" w:hAnsi="Trebuchet MS" w:cs="Garamond-Book"/>
          <w:sz w:val="20"/>
        </w:rPr>
        <w:t xml:space="preserve">Yuan </w:t>
      </w:r>
      <w:r w:rsidRPr="00B76828">
        <w:rPr>
          <w:rFonts w:ascii="Trebuchet MS" w:eastAsiaTheme="minorHAnsi" w:hAnsi="Trebuchet MS" w:cs="Garamond-Book"/>
          <w:i/>
          <w:sz w:val="20"/>
        </w:rPr>
        <w:t>et al.</w:t>
      </w:r>
      <w:r w:rsidRPr="00B76828">
        <w:rPr>
          <w:rFonts w:ascii="Trebuchet MS" w:eastAsiaTheme="minorHAnsi" w:hAnsi="Trebuchet MS" w:cs="Garamond-Book"/>
          <w:sz w:val="20"/>
        </w:rPr>
        <w:t xml:space="preserve">, 2004) e tardia (Busto </w:t>
      </w:r>
      <w:r w:rsidRPr="00B76828">
        <w:rPr>
          <w:rFonts w:ascii="Trebuchet MS" w:eastAsiaTheme="minorHAnsi" w:hAnsi="Trebuchet MS" w:cs="Garamond-Book"/>
          <w:i/>
          <w:sz w:val="20"/>
        </w:rPr>
        <w:t>et al.</w:t>
      </w:r>
      <w:r w:rsidRPr="00B76828">
        <w:rPr>
          <w:rFonts w:ascii="Trebuchet MS" w:eastAsiaTheme="minorHAnsi" w:hAnsi="Trebuchet MS" w:cs="Garamond-Book"/>
          <w:sz w:val="20"/>
        </w:rPr>
        <w:t>, 1992).</w:t>
      </w:r>
    </w:p>
    <w:p w:rsidR="00793788" w:rsidRPr="00B76828" w:rsidRDefault="00793788" w:rsidP="00793788">
      <w:pPr>
        <w:spacing w:line="360" w:lineRule="auto"/>
        <w:ind w:firstLine="708"/>
        <w:jc w:val="both"/>
        <w:rPr>
          <w:rFonts w:ascii="Trebuchet MS" w:eastAsiaTheme="minorHAnsi" w:hAnsi="Trebuchet MS" w:cs="Garamond-Book"/>
          <w:sz w:val="20"/>
        </w:rPr>
      </w:pPr>
      <w:r w:rsidRPr="00B76828">
        <w:rPr>
          <w:rFonts w:ascii="Trebuchet MS" w:eastAsiaTheme="minorHAnsi" w:hAnsi="Trebuchet MS" w:cstheme="minorBidi"/>
          <w:sz w:val="20"/>
        </w:rPr>
        <w:t xml:space="preserve">Desta forma, para excluir esta possível interferência, as fatias passaram a permanecer à temperatura ambiente (25ºC), evitando-se assim o risco de falso-positivos. No entanto, todas as fatias (incluindo os controlos) foram submetidas a um breve período de hipotermia, durante o processo de preparação das fatias de hipocampo </w:t>
      </w:r>
      <w:r w:rsidRPr="00B76828">
        <w:rPr>
          <w:rFonts w:ascii="Trebuchet MS" w:eastAsiaTheme="minorHAnsi" w:hAnsi="Trebuchet MS" w:cs="Garamond-Book"/>
          <w:sz w:val="20"/>
        </w:rPr>
        <w:t xml:space="preserve">(Yuan </w:t>
      </w:r>
      <w:r w:rsidRPr="00B76828">
        <w:rPr>
          <w:rFonts w:ascii="Trebuchet MS" w:eastAsiaTheme="minorHAnsi" w:hAnsi="Trebuchet MS" w:cs="Garamond-Book"/>
          <w:i/>
          <w:sz w:val="20"/>
        </w:rPr>
        <w:t>et al.</w:t>
      </w:r>
      <w:r w:rsidRPr="00B76828">
        <w:rPr>
          <w:rFonts w:ascii="Trebuchet MS" w:eastAsiaTheme="minorHAnsi" w:hAnsi="Trebuchet MS" w:cs="Garamond-Book"/>
          <w:sz w:val="20"/>
        </w:rPr>
        <w:t>, 2004).</w:t>
      </w:r>
    </w:p>
    <w:p w:rsidR="002B2845" w:rsidRPr="00751D14" w:rsidRDefault="002B2845" w:rsidP="0038133F">
      <w:pPr>
        <w:spacing w:after="200" w:line="480" w:lineRule="auto"/>
        <w:ind w:left="720"/>
        <w:contextualSpacing/>
        <w:jc w:val="center"/>
        <w:rPr>
          <w:rFonts w:ascii="Trebuchet MS" w:hAnsi="Trebuchet MS"/>
          <w:sz w:val="22"/>
        </w:rPr>
      </w:pPr>
    </w:p>
    <w:p w:rsidR="002B2845" w:rsidRPr="00751D14" w:rsidRDefault="002B2845" w:rsidP="002B2845">
      <w:pPr>
        <w:spacing w:line="480" w:lineRule="auto"/>
        <w:rPr>
          <w:rFonts w:ascii="Trebuchet MS" w:hAnsi="Trebuchet MS"/>
          <w:b/>
          <w:i/>
          <w:shadow/>
          <w:color w:val="333399"/>
        </w:rPr>
      </w:pPr>
      <w:r w:rsidRPr="00751D14">
        <w:rPr>
          <w:rFonts w:ascii="Trebuchet MS" w:hAnsi="Trebuchet MS"/>
          <w:b/>
          <w:shadow/>
          <w:color w:val="333399"/>
        </w:rPr>
        <w:t xml:space="preserve">      3.3.3. POG </w:t>
      </w:r>
      <w:proofErr w:type="gramStart"/>
      <w:r w:rsidR="00194A32" w:rsidRPr="00751D14">
        <w:rPr>
          <w:rFonts w:ascii="Trebuchet MS" w:hAnsi="Trebuchet MS"/>
          <w:b/>
          <w:i/>
          <w:shadow/>
          <w:color w:val="333399"/>
        </w:rPr>
        <w:t>in vitro</w:t>
      </w:r>
      <w:proofErr w:type="gramEnd"/>
      <w:r w:rsidR="00194A32" w:rsidRPr="00751D14">
        <w:rPr>
          <w:rFonts w:ascii="Trebuchet MS" w:hAnsi="Trebuchet MS"/>
          <w:b/>
          <w:i/>
          <w:shadow/>
          <w:color w:val="333399"/>
        </w:rPr>
        <w:t xml:space="preserve"> </w:t>
      </w:r>
      <w:r w:rsidRPr="00751D14">
        <w:rPr>
          <w:rFonts w:ascii="Trebuchet MS" w:hAnsi="Trebuchet MS"/>
          <w:b/>
          <w:shadow/>
          <w:color w:val="333399"/>
        </w:rPr>
        <w:t>(Privação de oxigénio e glucose)</w:t>
      </w:r>
    </w:p>
    <w:p w:rsidR="002B2845" w:rsidRPr="009E323D" w:rsidRDefault="002B2845" w:rsidP="002B2845">
      <w:pPr>
        <w:spacing w:line="360" w:lineRule="auto"/>
        <w:ind w:firstLine="708"/>
        <w:jc w:val="both"/>
        <w:rPr>
          <w:rFonts w:ascii="Trebuchet MS" w:eastAsiaTheme="minorHAnsi" w:hAnsi="Trebuchet MS"/>
          <w:sz w:val="20"/>
        </w:rPr>
      </w:pPr>
      <w:r w:rsidRPr="009E323D">
        <w:rPr>
          <w:rFonts w:ascii="Trebuchet MS" w:eastAsiaTheme="minorHAnsi" w:hAnsi="Trebuchet MS" w:cstheme="minorBidi"/>
          <w:sz w:val="20"/>
          <w:szCs w:val="20"/>
        </w:rPr>
        <w:t xml:space="preserve">A </w:t>
      </w:r>
      <w:r w:rsidRPr="009E323D">
        <w:rPr>
          <w:rFonts w:ascii="Trebuchet MS" w:eastAsiaTheme="minorHAnsi" w:hAnsi="Trebuchet MS" w:cstheme="minorBidi"/>
          <w:sz w:val="20"/>
          <w:szCs w:val="20"/>
          <w:u w:val="single"/>
        </w:rPr>
        <w:t>isquémia cerebral</w:t>
      </w:r>
      <w:r w:rsidRPr="009E323D">
        <w:rPr>
          <w:rFonts w:ascii="Trebuchet MS" w:eastAsiaTheme="minorHAnsi" w:hAnsi="Trebuchet MS" w:cstheme="minorBidi"/>
          <w:sz w:val="20"/>
          <w:szCs w:val="20"/>
        </w:rPr>
        <w:t xml:space="preserve"> </w:t>
      </w:r>
      <w:r w:rsidR="00080023">
        <w:rPr>
          <w:rFonts w:ascii="Trebuchet MS" w:eastAsiaTheme="minorHAnsi" w:hAnsi="Trebuchet MS" w:cstheme="minorBidi"/>
          <w:sz w:val="20"/>
        </w:rPr>
        <w:t>pode ser</w:t>
      </w:r>
      <w:r w:rsidRPr="009E323D">
        <w:rPr>
          <w:rFonts w:ascii="Trebuchet MS" w:eastAsiaTheme="minorHAnsi" w:hAnsi="Trebuchet MS" w:cstheme="minorBidi"/>
          <w:sz w:val="20"/>
        </w:rPr>
        <w:t xml:space="preserve"> simulada </w:t>
      </w:r>
      <w:proofErr w:type="gramStart"/>
      <w:r w:rsidR="00194A32" w:rsidRPr="009E323D">
        <w:rPr>
          <w:rFonts w:ascii="Trebuchet MS" w:eastAsiaTheme="minorHAnsi" w:hAnsi="Trebuchet MS" w:cstheme="minorBidi"/>
          <w:i/>
          <w:sz w:val="20"/>
        </w:rPr>
        <w:t>in vitro</w:t>
      </w:r>
      <w:proofErr w:type="gramEnd"/>
      <w:r w:rsidR="00194A32" w:rsidRPr="009E323D">
        <w:rPr>
          <w:rFonts w:ascii="Trebuchet MS" w:eastAsiaTheme="minorHAnsi" w:hAnsi="Trebuchet MS" w:cstheme="minorBidi"/>
          <w:i/>
          <w:sz w:val="20"/>
        </w:rPr>
        <w:t xml:space="preserve"> </w:t>
      </w:r>
      <w:r w:rsidRPr="009E323D">
        <w:rPr>
          <w:rFonts w:ascii="Trebuchet MS" w:eastAsiaTheme="minorHAnsi" w:hAnsi="Trebuchet MS" w:cstheme="minorBidi"/>
          <w:sz w:val="20"/>
        </w:rPr>
        <w:t xml:space="preserve">pela </w:t>
      </w:r>
      <w:r w:rsidRPr="009E323D">
        <w:rPr>
          <w:rFonts w:ascii="Trebuchet MS" w:eastAsiaTheme="minorHAnsi" w:hAnsi="Trebuchet MS" w:cstheme="minorBidi"/>
          <w:sz w:val="20"/>
          <w:u w:val="single"/>
        </w:rPr>
        <w:t>privação de oxigénio e glucose</w:t>
      </w:r>
      <w:r w:rsidRPr="009E323D">
        <w:rPr>
          <w:rFonts w:ascii="Trebuchet MS" w:eastAsiaTheme="minorHAnsi" w:hAnsi="Trebuchet MS" w:cstheme="minorBidi"/>
          <w:sz w:val="20"/>
        </w:rPr>
        <w:t xml:space="preserve"> </w:t>
      </w:r>
      <w:r w:rsidRPr="009E323D">
        <w:rPr>
          <w:rFonts w:ascii="Trebuchet MS" w:eastAsiaTheme="minorHAnsi" w:hAnsi="Trebuchet MS" w:cstheme="minorBidi"/>
          <w:b/>
          <w:sz w:val="20"/>
        </w:rPr>
        <w:t>(POG)</w:t>
      </w:r>
      <w:r w:rsidRPr="009E323D">
        <w:rPr>
          <w:rFonts w:ascii="Trebuchet MS" w:eastAsiaTheme="minorHAnsi" w:hAnsi="Trebuchet MS" w:cstheme="minorBidi"/>
          <w:sz w:val="20"/>
        </w:rPr>
        <w:t xml:space="preserve"> (Toner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2002). Desta forma, P</w:t>
      </w:r>
      <w:r w:rsidRPr="009E323D">
        <w:rPr>
          <w:rFonts w:ascii="Trebuchet MS" w:eastAsiaTheme="minorHAnsi" w:hAnsi="Trebuchet MS"/>
          <w:sz w:val="20"/>
        </w:rPr>
        <w:t xml:space="preserve">OG </w:t>
      </w:r>
      <w:proofErr w:type="gramStart"/>
      <w:r w:rsidR="00194A32" w:rsidRPr="009E323D">
        <w:rPr>
          <w:rFonts w:ascii="Trebuchet MS" w:eastAsiaTheme="minorHAnsi" w:hAnsi="Trebuchet MS"/>
          <w:i/>
          <w:sz w:val="20"/>
        </w:rPr>
        <w:t>in vitro</w:t>
      </w:r>
      <w:proofErr w:type="gramEnd"/>
      <w:r w:rsidR="00194A32" w:rsidRPr="009E323D">
        <w:rPr>
          <w:rFonts w:ascii="Trebuchet MS" w:eastAsiaTheme="minorHAnsi" w:hAnsi="Trebuchet MS"/>
          <w:i/>
          <w:sz w:val="20"/>
        </w:rPr>
        <w:t xml:space="preserve"> </w:t>
      </w:r>
      <w:r w:rsidRPr="009E323D">
        <w:rPr>
          <w:rFonts w:ascii="Trebuchet MS" w:eastAsiaTheme="minorHAnsi" w:hAnsi="Trebuchet MS"/>
          <w:sz w:val="20"/>
        </w:rPr>
        <w:t xml:space="preserve">consiste na aplicação simultânea de hipóxia e hipoglicemia, que representam a forma de insulto isquémico </w:t>
      </w:r>
      <w:r w:rsidR="00194A32" w:rsidRPr="009E323D">
        <w:rPr>
          <w:rFonts w:ascii="Trebuchet MS" w:eastAsiaTheme="minorHAnsi" w:hAnsi="Trebuchet MS"/>
          <w:i/>
          <w:sz w:val="20"/>
        </w:rPr>
        <w:t xml:space="preserve">in vitro </w:t>
      </w:r>
      <w:r w:rsidRPr="009E323D">
        <w:rPr>
          <w:rFonts w:ascii="Trebuchet MS" w:eastAsiaTheme="minorHAnsi" w:hAnsi="Trebuchet MS"/>
          <w:sz w:val="20"/>
        </w:rPr>
        <w:t xml:space="preserve">(Toner </w:t>
      </w:r>
      <w:r w:rsidR="00F96813" w:rsidRPr="009E323D">
        <w:rPr>
          <w:rFonts w:ascii="Trebuchet MS" w:eastAsiaTheme="minorHAnsi" w:hAnsi="Trebuchet MS"/>
          <w:i/>
          <w:sz w:val="20"/>
        </w:rPr>
        <w:t>et al.</w:t>
      </w:r>
      <w:r w:rsidRPr="009E323D">
        <w:rPr>
          <w:rFonts w:ascii="Trebuchet MS" w:eastAsiaTheme="minorHAnsi" w:hAnsi="Trebuchet MS"/>
          <w:sz w:val="20"/>
        </w:rPr>
        <w:t>, 2002)</w:t>
      </w:r>
    </w:p>
    <w:p w:rsidR="002B2845" w:rsidRPr="009E323D" w:rsidRDefault="002B2845" w:rsidP="002B2845">
      <w:pPr>
        <w:spacing w:line="360" w:lineRule="auto"/>
        <w:ind w:firstLine="708"/>
        <w:jc w:val="both"/>
        <w:rPr>
          <w:rFonts w:ascii="Trebuchet MS" w:hAnsi="Trebuchet MS"/>
          <w:bCs/>
          <w:color w:val="000000"/>
          <w:sz w:val="20"/>
          <w:szCs w:val="20"/>
        </w:rPr>
      </w:pPr>
      <w:r w:rsidRPr="009E323D">
        <w:rPr>
          <w:rFonts w:ascii="Trebuchet MS" w:eastAsiaTheme="minorHAnsi" w:hAnsi="Trebuchet MS" w:cstheme="minorBidi"/>
          <w:color w:val="000000"/>
          <w:sz w:val="20"/>
          <w:szCs w:val="20"/>
          <w:u w:val="single"/>
        </w:rPr>
        <w:t>Hipoglicemia</w:t>
      </w:r>
      <w:r w:rsidRPr="009E323D">
        <w:rPr>
          <w:rFonts w:ascii="Trebuchet MS" w:eastAsiaTheme="minorHAnsi" w:hAnsi="Trebuchet MS" w:cstheme="minorBidi"/>
          <w:color w:val="000000"/>
          <w:sz w:val="20"/>
          <w:szCs w:val="20"/>
        </w:rPr>
        <w:t xml:space="preserve"> é induzida pela transferência para um meio livre de glucose, contendo sacarose para manter a osmolaridade </w:t>
      </w:r>
      <w:r w:rsidRPr="009E323D">
        <w:rPr>
          <w:rFonts w:ascii="Trebuchet MS" w:hAnsi="Trebuchet MS"/>
          <w:color w:val="000000"/>
          <w:sz w:val="20"/>
          <w:szCs w:val="20"/>
        </w:rPr>
        <w:t xml:space="preserve">(Pedersen </w:t>
      </w:r>
      <w:r w:rsidR="00F96813" w:rsidRPr="009E323D">
        <w:rPr>
          <w:rFonts w:ascii="Trebuchet MS" w:hAnsi="Trebuchet MS"/>
          <w:i/>
          <w:color w:val="000000"/>
          <w:sz w:val="20"/>
          <w:szCs w:val="20"/>
        </w:rPr>
        <w:t>et al.</w:t>
      </w:r>
      <w:r w:rsidRPr="009E323D">
        <w:rPr>
          <w:rFonts w:ascii="Trebuchet MS" w:hAnsi="Trebuchet MS"/>
          <w:color w:val="000000"/>
          <w:sz w:val="20"/>
          <w:szCs w:val="20"/>
        </w:rPr>
        <w:t>, 1998)</w:t>
      </w:r>
      <w:r w:rsidRPr="009E323D">
        <w:rPr>
          <w:rFonts w:ascii="Trebuchet MS" w:hAnsi="Trebuchet MS"/>
          <w:bCs/>
          <w:color w:val="000000"/>
          <w:sz w:val="20"/>
          <w:szCs w:val="20"/>
        </w:rPr>
        <w:t>.</w:t>
      </w:r>
    </w:p>
    <w:p w:rsidR="002B2845" w:rsidRPr="009E323D" w:rsidRDefault="002B2845" w:rsidP="0038133F">
      <w:pPr>
        <w:spacing w:line="360" w:lineRule="auto"/>
        <w:ind w:firstLine="708"/>
        <w:jc w:val="both"/>
        <w:rPr>
          <w:rFonts w:ascii="Trebuchet MS" w:eastAsiaTheme="minorHAnsi" w:hAnsi="Trebuchet MS" w:cstheme="minorBidi"/>
          <w:color w:val="000000"/>
          <w:sz w:val="16"/>
          <w:szCs w:val="20"/>
        </w:rPr>
      </w:pPr>
      <w:r w:rsidRPr="009E323D">
        <w:rPr>
          <w:rFonts w:ascii="Trebuchet MS" w:eastAsiaTheme="minorHAnsi" w:hAnsi="Trebuchet MS" w:cstheme="minorBidi"/>
          <w:color w:val="000000"/>
          <w:sz w:val="20"/>
        </w:rPr>
        <w:t xml:space="preserve">De acordo com </w:t>
      </w:r>
      <w:hyperlink r:id="rId36" w:anchor="bib8" w:history="1">
        <w:r w:rsidRPr="009E323D">
          <w:rPr>
            <w:rFonts w:ascii="Trebuchet MS" w:eastAsiaTheme="minorHAnsi" w:hAnsi="Trebuchet MS" w:cstheme="minorBidi"/>
            <w:sz w:val="20"/>
          </w:rPr>
          <w:t xml:space="preserve">Calabresi </w:t>
        </w:r>
        <w:r w:rsidR="00194A32" w:rsidRPr="009E323D">
          <w:rPr>
            <w:rFonts w:ascii="Trebuchet MS" w:eastAsiaTheme="minorHAnsi" w:hAnsi="Trebuchet MS" w:cstheme="minorBidi"/>
            <w:i/>
            <w:sz w:val="20"/>
          </w:rPr>
          <w:t xml:space="preserve">et al. </w:t>
        </w:r>
        <w:r w:rsidRPr="009E323D">
          <w:rPr>
            <w:rFonts w:ascii="Trebuchet MS" w:eastAsiaTheme="minorHAnsi" w:hAnsi="Trebuchet MS" w:cstheme="minorBidi"/>
            <w:sz w:val="20"/>
          </w:rPr>
          <w:t>(1995a</w:t>
        </w:r>
      </w:hyperlink>
      <w:r w:rsidRPr="009E323D">
        <w:rPr>
          <w:rFonts w:ascii="Trebuchet MS" w:eastAsiaTheme="minorHAnsi" w:hAnsi="Trebuchet MS" w:cstheme="minorBidi"/>
          <w:sz w:val="20"/>
        </w:rPr>
        <w:t>), (</w:t>
      </w:r>
      <w:hyperlink r:id="rId37" w:anchor="bib9" w:history="1">
        <w:r w:rsidRPr="009E323D">
          <w:rPr>
            <w:rFonts w:ascii="Trebuchet MS" w:eastAsiaTheme="minorHAnsi" w:hAnsi="Trebuchet MS" w:cstheme="minorBidi"/>
            <w:sz w:val="20"/>
          </w:rPr>
          <w:t>1995b</w:t>
        </w:r>
      </w:hyperlink>
      <w:r w:rsidRPr="009E323D">
        <w:rPr>
          <w:rFonts w:ascii="Trebuchet MS" w:eastAsiaTheme="minorHAnsi" w:hAnsi="Trebuchet MS" w:cstheme="minorBidi"/>
          <w:sz w:val="20"/>
        </w:rPr>
        <w:t xml:space="preserve">), citado por </w:t>
      </w:r>
      <w:r w:rsidRPr="009E323D">
        <w:rPr>
          <w:rFonts w:ascii="Trebuchet MS" w:hAnsi="Trebuchet MS"/>
          <w:color w:val="000000"/>
          <w:sz w:val="20"/>
        </w:rPr>
        <w:t xml:space="preserve">Pedersen </w:t>
      </w:r>
      <w:r w:rsidR="00194A32" w:rsidRPr="009E323D">
        <w:rPr>
          <w:rFonts w:ascii="Trebuchet MS" w:hAnsi="Trebuchet MS"/>
          <w:i/>
          <w:color w:val="000000"/>
          <w:sz w:val="20"/>
        </w:rPr>
        <w:t xml:space="preserve">et al. </w:t>
      </w:r>
      <w:r w:rsidRPr="009E323D">
        <w:rPr>
          <w:rFonts w:ascii="Trebuchet MS" w:hAnsi="Trebuchet MS"/>
          <w:i/>
          <w:color w:val="000000"/>
          <w:sz w:val="20"/>
        </w:rPr>
        <w:t>(</w:t>
      </w:r>
      <w:r w:rsidRPr="009E323D">
        <w:rPr>
          <w:rFonts w:ascii="Trebuchet MS" w:hAnsi="Trebuchet MS"/>
          <w:color w:val="000000"/>
          <w:sz w:val="20"/>
        </w:rPr>
        <w:t xml:space="preserve">1998) referem que a </w:t>
      </w:r>
      <w:r w:rsidRPr="009E323D">
        <w:rPr>
          <w:rFonts w:ascii="Trebuchet MS" w:hAnsi="Trebuchet MS"/>
          <w:color w:val="000000"/>
          <w:sz w:val="20"/>
          <w:u w:val="single"/>
        </w:rPr>
        <w:t>h</w:t>
      </w:r>
      <w:r w:rsidRPr="009E323D">
        <w:rPr>
          <w:rFonts w:ascii="Trebuchet MS" w:eastAsiaTheme="minorHAnsi" w:hAnsi="Trebuchet MS" w:cstheme="minorBidi"/>
          <w:color w:val="000000"/>
          <w:sz w:val="20"/>
          <w:u w:val="single"/>
        </w:rPr>
        <w:t>ipóxia</w:t>
      </w:r>
      <w:r w:rsidRPr="009E323D">
        <w:rPr>
          <w:rFonts w:ascii="Trebuchet MS" w:eastAsiaTheme="minorHAnsi" w:hAnsi="Trebuchet MS" w:cstheme="minorBidi"/>
          <w:color w:val="000000"/>
          <w:sz w:val="20"/>
        </w:rPr>
        <w:t xml:space="preserve"> é conseguida pela troca da perfusão da</w:t>
      </w:r>
      <w:r w:rsidR="00712AF3">
        <w:rPr>
          <w:rFonts w:ascii="Trebuchet MS" w:eastAsiaTheme="minorHAnsi" w:hAnsi="Trebuchet MS" w:cstheme="minorBidi"/>
          <w:color w:val="000000"/>
          <w:sz w:val="20"/>
        </w:rPr>
        <w:t xml:space="preserve"> preparação com</w:t>
      </w:r>
      <w:r w:rsidRPr="009E323D">
        <w:rPr>
          <w:rFonts w:ascii="Trebuchet MS" w:eastAsiaTheme="minorHAnsi" w:hAnsi="Trebuchet MS" w:cstheme="minorBidi"/>
          <w:color w:val="000000"/>
          <w:sz w:val="20"/>
        </w:rPr>
        <w:t xml:space="preserve"> solução de krebs gaseada com carbogénio para uma solução de krebs (mesma composição), gaseada com </w:t>
      </w:r>
      <w:r w:rsidRPr="009E323D">
        <w:rPr>
          <w:rFonts w:ascii="Trebuchet MS" w:eastAsiaTheme="minorHAnsi" w:hAnsi="Trebuchet MS" w:cstheme="minorBidi"/>
          <w:color w:val="000000"/>
          <w:sz w:val="20"/>
        </w:rPr>
        <w:lastRenderedPageBreak/>
        <w:t>a mistura de 95% N</w:t>
      </w:r>
      <w:r w:rsidRPr="009E323D">
        <w:rPr>
          <w:rFonts w:ascii="Trebuchet MS" w:eastAsiaTheme="minorHAnsi" w:hAnsi="Trebuchet MS" w:cstheme="minorBidi"/>
          <w:color w:val="000000"/>
          <w:sz w:val="20"/>
          <w:vertAlign w:val="subscript"/>
        </w:rPr>
        <w:t>2</w:t>
      </w:r>
      <w:r w:rsidRPr="009E323D">
        <w:rPr>
          <w:rFonts w:ascii="Trebuchet MS" w:eastAsiaTheme="minorHAnsi" w:hAnsi="Trebuchet MS" w:cstheme="minorBidi"/>
          <w:color w:val="000000"/>
          <w:sz w:val="20"/>
        </w:rPr>
        <w:t xml:space="preserve"> e 5% CO</w:t>
      </w:r>
      <w:r w:rsidRPr="009E323D">
        <w:rPr>
          <w:rFonts w:ascii="Trebuchet MS" w:eastAsiaTheme="minorHAnsi" w:hAnsi="Trebuchet MS" w:cstheme="minorBidi"/>
          <w:color w:val="000000"/>
          <w:sz w:val="20"/>
          <w:vertAlign w:val="subscript"/>
        </w:rPr>
        <w:t>2</w:t>
      </w:r>
      <w:r w:rsidRPr="009E323D">
        <w:rPr>
          <w:rFonts w:ascii="Trebuchet MS" w:eastAsiaTheme="minorHAnsi" w:hAnsi="Trebuchet MS" w:cstheme="minorBidi"/>
          <w:color w:val="000000"/>
          <w:sz w:val="20"/>
        </w:rPr>
        <w:t xml:space="preserve">.Desta forma, a isquémia é induzida por privação simultânea do oxigénio e glucose </w:t>
      </w:r>
      <w:r w:rsidRPr="009E323D">
        <w:rPr>
          <w:rFonts w:ascii="Trebuchet MS" w:hAnsi="Trebuchet MS"/>
          <w:color w:val="000000"/>
          <w:sz w:val="20"/>
        </w:rPr>
        <w:t xml:space="preserve">(Pedersen </w:t>
      </w:r>
      <w:r w:rsidR="00F96813" w:rsidRPr="009E323D">
        <w:rPr>
          <w:rFonts w:ascii="Trebuchet MS" w:hAnsi="Trebuchet MS"/>
          <w:i/>
          <w:color w:val="000000"/>
          <w:sz w:val="20"/>
        </w:rPr>
        <w:t>et al.</w:t>
      </w:r>
      <w:r w:rsidRPr="009E323D">
        <w:rPr>
          <w:rFonts w:ascii="Trebuchet MS" w:hAnsi="Trebuchet MS"/>
          <w:color w:val="000000"/>
          <w:sz w:val="20"/>
        </w:rPr>
        <w:t>, 1998)</w:t>
      </w:r>
      <w:r w:rsidRPr="009E323D">
        <w:rPr>
          <w:rFonts w:ascii="Trebuchet MS" w:eastAsiaTheme="minorHAnsi" w:hAnsi="Trebuchet MS" w:cstheme="minorBidi"/>
          <w:color w:val="000000"/>
          <w:sz w:val="20"/>
        </w:rPr>
        <w:t>.</w:t>
      </w:r>
    </w:p>
    <w:p w:rsidR="0038133F" w:rsidRPr="009E323D" w:rsidRDefault="0038133F" w:rsidP="0038133F">
      <w:pPr>
        <w:spacing w:after="200"/>
        <w:ind w:firstLine="708"/>
        <w:jc w:val="both"/>
        <w:rPr>
          <w:rFonts w:ascii="Trebuchet MS" w:eastAsiaTheme="minorHAnsi" w:hAnsi="Trebuchet MS" w:cstheme="minorBidi"/>
          <w:color w:val="000000"/>
          <w:sz w:val="16"/>
          <w:szCs w:val="20"/>
        </w:rPr>
      </w:pPr>
    </w:p>
    <w:p w:rsidR="002B2845" w:rsidRPr="009E323D" w:rsidRDefault="002B2845" w:rsidP="002B2845">
      <w:pPr>
        <w:spacing w:after="200" w:line="360" w:lineRule="auto"/>
        <w:contextualSpacing/>
        <w:jc w:val="both"/>
        <w:rPr>
          <w:rFonts w:ascii="Trebuchet MS" w:eastAsiaTheme="minorHAnsi" w:hAnsi="Trebuchet MS" w:cstheme="minorBidi"/>
          <w:sz w:val="20"/>
        </w:rPr>
      </w:pPr>
      <w:r w:rsidRPr="009E323D">
        <w:rPr>
          <w:rFonts w:ascii="Trebuchet MS" w:eastAsiaTheme="minorHAnsi" w:hAnsi="Trebuchet MS" w:cstheme="minorBidi"/>
          <w:b/>
          <w:sz w:val="20"/>
          <w:szCs w:val="20"/>
          <w:u w:val="single"/>
        </w:rPr>
        <w:t>Procedimento</w:t>
      </w:r>
      <w:r w:rsidRPr="009E323D">
        <w:rPr>
          <w:rFonts w:ascii="Trebuchet MS" w:eastAsiaTheme="minorHAnsi" w:hAnsi="Trebuchet MS" w:cstheme="minorBidi"/>
          <w:b/>
          <w:sz w:val="20"/>
          <w:szCs w:val="20"/>
        </w:rPr>
        <w:t xml:space="preserve">: </w:t>
      </w:r>
      <w:r w:rsidRPr="009E323D">
        <w:rPr>
          <w:rFonts w:ascii="Trebuchet MS" w:eastAsiaTheme="minorHAnsi" w:hAnsi="Trebuchet MS" w:cstheme="minorBidi"/>
          <w:sz w:val="20"/>
        </w:rPr>
        <w:t>Para provocar o insulto isquémico, utilizou-se o tampão krebs sem glucose e sem bicarbonato (pH=7,4), em que, a glucose é substituída por s</w:t>
      </w:r>
      <w:r w:rsidR="00712AF3">
        <w:rPr>
          <w:rFonts w:ascii="Trebuchet MS" w:eastAsiaTheme="minorHAnsi" w:hAnsi="Trebuchet MS" w:cstheme="minorBidi"/>
          <w:sz w:val="20"/>
        </w:rPr>
        <w:t>acarose</w:t>
      </w:r>
      <w:r w:rsidRPr="009E323D">
        <w:rPr>
          <w:rFonts w:ascii="Trebuchet MS" w:eastAsiaTheme="minorHAnsi" w:hAnsi="Trebuchet MS" w:cstheme="minorBidi"/>
          <w:sz w:val="20"/>
        </w:rPr>
        <w:t xml:space="preserve"> equimolar e o bica</w:t>
      </w:r>
      <w:r w:rsidRPr="009E323D">
        <w:rPr>
          <w:rFonts w:ascii="Trebuchet MS" w:eastAsiaTheme="minorHAnsi" w:hAnsi="Trebuchet MS" w:cstheme="minorBidi"/>
          <w:sz w:val="20"/>
        </w:rPr>
        <w:t>r</w:t>
      </w:r>
      <w:r w:rsidRPr="009E323D">
        <w:rPr>
          <w:rFonts w:ascii="Trebuchet MS" w:eastAsiaTheme="minorHAnsi" w:hAnsi="Trebuchet MS" w:cstheme="minorBidi"/>
          <w:sz w:val="20"/>
        </w:rPr>
        <w:t>bonato por hepes equimolar. O tampão Krebs-Hepes, saturado com N</w:t>
      </w:r>
      <w:r w:rsidRPr="009E323D">
        <w:rPr>
          <w:rFonts w:ascii="Trebuchet MS" w:eastAsiaTheme="minorHAnsi" w:hAnsi="Trebuchet MS" w:cstheme="minorBidi"/>
          <w:sz w:val="20"/>
          <w:vertAlign w:val="subscript"/>
        </w:rPr>
        <w:t>2</w:t>
      </w:r>
      <w:r w:rsidRPr="009E323D">
        <w:rPr>
          <w:rFonts w:ascii="Trebuchet MS" w:eastAsiaTheme="minorHAnsi" w:hAnsi="Trebuchet MS" w:cstheme="minorBidi"/>
          <w:sz w:val="20"/>
        </w:rPr>
        <w:t xml:space="preserve"> é constituído pela seguinte composição (em mM): 118 NaCl; 25 </w:t>
      </w:r>
      <w:r w:rsidRPr="009E323D">
        <w:rPr>
          <w:rFonts w:ascii="Trebuchet MS" w:eastAsiaTheme="minorHAnsi" w:hAnsi="Trebuchet MS" w:cstheme="minorBidi"/>
          <w:sz w:val="20"/>
          <w:u w:val="single"/>
        </w:rPr>
        <w:t>Hepes sódio</w:t>
      </w:r>
      <w:r w:rsidRPr="009E323D">
        <w:rPr>
          <w:rFonts w:ascii="Trebuchet MS" w:eastAsiaTheme="minorHAnsi" w:hAnsi="Trebuchet MS" w:cstheme="minorBidi"/>
          <w:sz w:val="20"/>
        </w:rPr>
        <w:t xml:space="preserve">; 4,7 KCl; </w:t>
      </w:r>
      <w:r w:rsidRPr="009E323D">
        <w:rPr>
          <w:rFonts w:ascii="Trebuchet MS" w:eastAsiaTheme="minorHAnsi" w:hAnsi="Trebuchet MS" w:cstheme="minorBidi"/>
          <w:sz w:val="20"/>
          <w:u w:val="single"/>
        </w:rPr>
        <w:t>11,6 s</w:t>
      </w:r>
      <w:r w:rsidR="002C4F33" w:rsidRPr="009E323D">
        <w:rPr>
          <w:rFonts w:ascii="Trebuchet MS" w:eastAsiaTheme="minorHAnsi" w:hAnsi="Trebuchet MS" w:cstheme="minorBidi"/>
          <w:sz w:val="20"/>
          <w:u w:val="single"/>
        </w:rPr>
        <w:t>acarose</w:t>
      </w:r>
      <w:r w:rsidRPr="009E323D">
        <w:rPr>
          <w:rFonts w:ascii="Trebuchet MS" w:eastAsiaTheme="minorHAnsi" w:hAnsi="Trebuchet MS" w:cstheme="minorBidi"/>
          <w:sz w:val="20"/>
        </w:rPr>
        <w:t>; 1,2 KH</w:t>
      </w:r>
      <w:r w:rsidRPr="009E323D">
        <w:rPr>
          <w:rFonts w:ascii="Trebuchet MS" w:eastAsiaTheme="minorHAnsi" w:hAnsi="Trebuchet MS" w:cstheme="minorBidi"/>
          <w:sz w:val="20"/>
          <w:vertAlign w:val="subscript"/>
        </w:rPr>
        <w:t>2</w:t>
      </w:r>
      <w:r w:rsidRPr="009E323D">
        <w:rPr>
          <w:rFonts w:ascii="Trebuchet MS" w:eastAsiaTheme="minorHAnsi" w:hAnsi="Trebuchet MS" w:cstheme="minorBidi"/>
          <w:sz w:val="20"/>
        </w:rPr>
        <w:t>PO4; 1,2 MgSO</w:t>
      </w:r>
      <w:r w:rsidRPr="009E323D">
        <w:rPr>
          <w:rFonts w:ascii="Trebuchet MS" w:eastAsiaTheme="minorHAnsi" w:hAnsi="Trebuchet MS" w:cstheme="minorBidi"/>
          <w:sz w:val="20"/>
          <w:vertAlign w:val="subscript"/>
        </w:rPr>
        <w:t>4</w:t>
      </w:r>
      <w:r w:rsidRPr="009E323D">
        <w:rPr>
          <w:rFonts w:ascii="Trebuchet MS" w:eastAsiaTheme="minorHAnsi" w:hAnsi="Trebuchet MS" w:cstheme="minorBidi"/>
          <w:sz w:val="20"/>
        </w:rPr>
        <w:t>; 1,3 CaCl</w:t>
      </w:r>
      <w:r w:rsidRPr="009E323D">
        <w:rPr>
          <w:rFonts w:ascii="Trebuchet MS" w:eastAsiaTheme="minorHAnsi" w:hAnsi="Trebuchet MS" w:cstheme="minorBidi"/>
          <w:sz w:val="20"/>
          <w:vertAlign w:val="subscript"/>
        </w:rPr>
        <w:t>2</w:t>
      </w:r>
      <w:r w:rsidRPr="009E323D">
        <w:rPr>
          <w:rFonts w:ascii="Trebuchet MS" w:eastAsiaTheme="minorHAnsi" w:hAnsi="Trebuchet MS" w:cstheme="minorBidi"/>
          <w:sz w:val="20"/>
        </w:rPr>
        <w:t xml:space="preserve">; 1 </w:t>
      </w:r>
      <w:r w:rsidRPr="009E323D">
        <w:rPr>
          <w:rFonts w:ascii="Trebuchet MS" w:eastAsiaTheme="minorHAnsi" w:hAnsi="Trebuchet MS" w:cstheme="minorBidi"/>
          <w:sz w:val="20"/>
          <w:u w:val="single"/>
        </w:rPr>
        <w:t>ditionito de sódio</w:t>
      </w:r>
      <w:r w:rsidRPr="009E323D">
        <w:rPr>
          <w:rFonts w:ascii="Trebuchet MS" w:eastAsiaTheme="minorHAnsi" w:hAnsi="Trebuchet MS" w:cstheme="minorBidi"/>
          <w:sz w:val="20"/>
        </w:rPr>
        <w:t xml:space="preserve"> (Sigma) e tem um pH final de 7,4. </w:t>
      </w:r>
      <w:r w:rsidR="00B13070" w:rsidRPr="009E323D">
        <w:rPr>
          <w:rFonts w:ascii="Trebuchet MS" w:eastAsiaTheme="minorHAnsi" w:hAnsi="Trebuchet MS" w:cstheme="minorBidi"/>
          <w:sz w:val="20"/>
        </w:rPr>
        <w:t xml:space="preserve">O ditionito </w:t>
      </w:r>
      <w:proofErr w:type="gramStart"/>
      <w:r w:rsidR="002C4F33" w:rsidRPr="009E323D">
        <w:rPr>
          <w:rFonts w:ascii="Trebuchet MS" w:eastAsiaTheme="minorHAnsi" w:hAnsi="Trebuchet MS" w:cstheme="minorBidi"/>
          <w:sz w:val="20"/>
        </w:rPr>
        <w:t>foi</w:t>
      </w:r>
      <w:r w:rsidR="00B13070" w:rsidRPr="009E323D">
        <w:rPr>
          <w:rFonts w:ascii="Trebuchet MS" w:eastAsiaTheme="minorHAnsi" w:hAnsi="Trebuchet MS" w:cstheme="minorBidi"/>
          <w:sz w:val="20"/>
        </w:rPr>
        <w:t xml:space="preserve"> </w:t>
      </w:r>
      <w:r w:rsidR="00BE542F">
        <w:rPr>
          <w:rFonts w:ascii="Trebuchet MS" w:eastAsiaTheme="minorHAnsi" w:hAnsi="Trebuchet MS" w:cstheme="minorBidi"/>
          <w:sz w:val="20"/>
        </w:rPr>
        <w:t xml:space="preserve"> adquirido</w:t>
      </w:r>
      <w:proofErr w:type="gramEnd"/>
      <w:r w:rsidR="00B13070" w:rsidRPr="009E323D">
        <w:rPr>
          <w:rFonts w:ascii="Trebuchet MS" w:eastAsiaTheme="minorHAnsi" w:hAnsi="Trebuchet MS" w:cstheme="minorBidi"/>
          <w:sz w:val="20"/>
        </w:rPr>
        <w:t xml:space="preserve"> pela Sigma. </w:t>
      </w:r>
      <w:r w:rsidRPr="009E323D">
        <w:rPr>
          <w:rFonts w:ascii="Trebuchet MS" w:eastAsiaTheme="minorHAnsi" w:hAnsi="Trebuchet MS" w:cstheme="minorBidi"/>
          <w:sz w:val="20"/>
        </w:rPr>
        <w:t xml:space="preserve">Como o hepes é sensível à luz, o tampão krebs-Hepes </w:t>
      </w:r>
      <w:r w:rsidR="00BE542F">
        <w:rPr>
          <w:rFonts w:ascii="Trebuchet MS" w:eastAsiaTheme="minorHAnsi" w:hAnsi="Trebuchet MS" w:cstheme="minorBidi"/>
          <w:sz w:val="20"/>
        </w:rPr>
        <w:t>foi</w:t>
      </w:r>
      <w:r w:rsidRPr="009E323D">
        <w:rPr>
          <w:rFonts w:ascii="Trebuchet MS" w:eastAsiaTheme="minorHAnsi" w:hAnsi="Trebuchet MS" w:cstheme="minorBidi"/>
          <w:sz w:val="20"/>
        </w:rPr>
        <w:t xml:space="preserve"> protegido da luz durante o tempo que permanece</w:t>
      </w:r>
      <w:r w:rsidR="00BE542F">
        <w:rPr>
          <w:rFonts w:ascii="Trebuchet MS" w:eastAsiaTheme="minorHAnsi" w:hAnsi="Trebuchet MS" w:cstheme="minorBidi"/>
          <w:sz w:val="20"/>
        </w:rPr>
        <w:t>u</w:t>
      </w:r>
      <w:r w:rsidRPr="009E323D">
        <w:rPr>
          <w:rFonts w:ascii="Trebuchet MS" w:eastAsiaTheme="minorHAnsi" w:hAnsi="Trebuchet MS" w:cstheme="minorBidi"/>
          <w:sz w:val="20"/>
        </w:rPr>
        <w:t xml:space="preserve"> no banho a 37ºC. O ditionito de sódio </w:t>
      </w:r>
      <w:r w:rsidR="00BE542F">
        <w:rPr>
          <w:rFonts w:ascii="Trebuchet MS" w:eastAsiaTheme="minorHAnsi" w:hAnsi="Trebuchet MS" w:cstheme="minorBidi"/>
          <w:sz w:val="20"/>
        </w:rPr>
        <w:t>foi</w:t>
      </w:r>
      <w:r w:rsidRPr="009E323D">
        <w:rPr>
          <w:rFonts w:ascii="Trebuchet MS" w:eastAsiaTheme="minorHAnsi" w:hAnsi="Trebuchet MS" w:cstheme="minorBidi"/>
          <w:sz w:val="20"/>
        </w:rPr>
        <w:t xml:space="preserve"> adicionado momentos antes de ser utilizado (Wang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xml:space="preserve">, 2007). A POG </w:t>
      </w:r>
      <w:r w:rsidR="00783D10" w:rsidRPr="009E323D">
        <w:rPr>
          <w:rFonts w:ascii="Trebuchet MS" w:eastAsiaTheme="minorHAnsi" w:hAnsi="Trebuchet MS" w:cstheme="minorBidi"/>
          <w:sz w:val="20"/>
        </w:rPr>
        <w:t>foi</w:t>
      </w:r>
      <w:r w:rsidRPr="009E323D">
        <w:rPr>
          <w:rFonts w:ascii="Trebuchet MS" w:eastAsiaTheme="minorHAnsi" w:hAnsi="Trebuchet MS" w:cstheme="minorBidi"/>
          <w:sz w:val="20"/>
        </w:rPr>
        <w:t xml:space="preserve"> conseguida por perfusão do Krebs</w:t>
      </w:r>
      <w:r w:rsidR="00BE542F">
        <w:rPr>
          <w:rFonts w:ascii="Trebuchet MS" w:eastAsiaTheme="minorHAnsi" w:hAnsi="Trebuchet MS" w:cstheme="minorBidi"/>
          <w:sz w:val="20"/>
        </w:rPr>
        <w:t>-Hepes,</w:t>
      </w:r>
      <w:r w:rsidRPr="009E323D">
        <w:rPr>
          <w:rFonts w:ascii="Trebuchet MS" w:eastAsiaTheme="minorHAnsi" w:hAnsi="Trebuchet MS" w:cstheme="minorBidi"/>
          <w:sz w:val="20"/>
        </w:rPr>
        <w:t xml:space="preserve"> deficiente em glucose e oxigénio, borbulha</w:t>
      </w:r>
      <w:r w:rsidR="00783D10" w:rsidRPr="009E323D">
        <w:rPr>
          <w:rFonts w:ascii="Trebuchet MS" w:eastAsiaTheme="minorHAnsi" w:hAnsi="Trebuchet MS" w:cstheme="minorBidi"/>
          <w:sz w:val="20"/>
        </w:rPr>
        <w:t xml:space="preserve">do com </w:t>
      </w:r>
      <w:r w:rsidRPr="009E323D">
        <w:rPr>
          <w:rFonts w:ascii="Trebuchet MS" w:eastAsiaTheme="minorHAnsi" w:hAnsi="Trebuchet MS" w:cstheme="minorBidi"/>
          <w:sz w:val="20"/>
        </w:rPr>
        <w:t xml:space="preserve">100% </w:t>
      </w:r>
      <w:r w:rsidR="00783D10" w:rsidRPr="009E323D">
        <w:rPr>
          <w:rFonts w:ascii="Trebuchet MS" w:eastAsiaTheme="minorHAnsi" w:hAnsi="Trebuchet MS" w:cstheme="minorBidi"/>
          <w:sz w:val="20"/>
        </w:rPr>
        <w:t>de azoto (</w:t>
      </w:r>
      <w:r w:rsidRPr="009E323D">
        <w:rPr>
          <w:rFonts w:ascii="Trebuchet MS" w:eastAsiaTheme="minorHAnsi" w:hAnsi="Trebuchet MS" w:cstheme="minorBidi"/>
          <w:sz w:val="20"/>
        </w:rPr>
        <w:t>N</w:t>
      </w:r>
      <w:r w:rsidRPr="009E323D">
        <w:rPr>
          <w:rFonts w:ascii="Trebuchet MS" w:eastAsiaTheme="minorHAnsi" w:hAnsi="Trebuchet MS" w:cstheme="minorBidi"/>
          <w:sz w:val="20"/>
          <w:vertAlign w:val="subscript"/>
        </w:rPr>
        <w:t>2</w:t>
      </w:r>
      <w:r w:rsidR="00783D10" w:rsidRPr="009E323D">
        <w:rPr>
          <w:rFonts w:ascii="Trebuchet MS" w:eastAsiaTheme="minorHAnsi" w:hAnsi="Trebuchet MS" w:cstheme="minorBidi"/>
          <w:sz w:val="20"/>
        </w:rPr>
        <w:t xml:space="preserve">) </w:t>
      </w:r>
      <w:r w:rsidRPr="009E323D">
        <w:rPr>
          <w:rFonts w:ascii="Trebuchet MS" w:eastAsiaTheme="minorHAnsi" w:hAnsi="Trebuchet MS" w:cstheme="minorBidi"/>
          <w:sz w:val="20"/>
        </w:rPr>
        <w:t xml:space="preserve">durante 20 minutos (Monette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xml:space="preserve">, 1998; Xue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xml:space="preserve">, 2004; Zhang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2008). O tampão Krebs-Hepes antes de ser utilizado</w:t>
      </w:r>
      <w:proofErr w:type="gramStart"/>
      <w:r w:rsidRPr="009E323D">
        <w:rPr>
          <w:rFonts w:ascii="Trebuchet MS" w:eastAsiaTheme="minorHAnsi" w:hAnsi="Trebuchet MS" w:cstheme="minorBidi"/>
          <w:sz w:val="20"/>
        </w:rPr>
        <w:t>,</w:t>
      </w:r>
      <w:proofErr w:type="gramEnd"/>
      <w:r w:rsidRPr="009E323D">
        <w:rPr>
          <w:rFonts w:ascii="Trebuchet MS" w:eastAsiaTheme="minorHAnsi" w:hAnsi="Trebuchet MS" w:cstheme="minorBidi"/>
          <w:sz w:val="20"/>
        </w:rPr>
        <w:t xml:space="preserve"> </w:t>
      </w:r>
      <w:r w:rsidR="00BE542F">
        <w:rPr>
          <w:rFonts w:ascii="Trebuchet MS" w:eastAsiaTheme="minorHAnsi" w:hAnsi="Trebuchet MS" w:cstheme="minorBidi"/>
          <w:sz w:val="20"/>
        </w:rPr>
        <w:t>foi</w:t>
      </w:r>
      <w:r w:rsidRPr="009E323D">
        <w:rPr>
          <w:rFonts w:ascii="Trebuchet MS" w:eastAsiaTheme="minorHAnsi" w:hAnsi="Trebuchet MS" w:cstheme="minorBidi"/>
          <w:sz w:val="20"/>
        </w:rPr>
        <w:t xml:space="preserve"> equilibrado </w:t>
      </w:r>
      <w:r w:rsidR="00BE542F">
        <w:rPr>
          <w:rFonts w:ascii="Trebuchet MS" w:eastAsiaTheme="minorHAnsi" w:hAnsi="Trebuchet MS" w:cstheme="minorBidi"/>
          <w:sz w:val="20"/>
        </w:rPr>
        <w:t>com N</w:t>
      </w:r>
      <w:r w:rsidR="00BE542F" w:rsidRPr="00BE542F">
        <w:rPr>
          <w:rFonts w:ascii="Trebuchet MS" w:eastAsiaTheme="minorHAnsi" w:hAnsi="Trebuchet MS" w:cstheme="minorBidi"/>
          <w:sz w:val="20"/>
          <w:vertAlign w:val="subscript"/>
        </w:rPr>
        <w:t>2</w:t>
      </w:r>
      <w:r w:rsidR="00BE542F">
        <w:rPr>
          <w:rFonts w:ascii="Trebuchet MS" w:eastAsiaTheme="minorHAnsi" w:hAnsi="Trebuchet MS" w:cstheme="minorBidi"/>
          <w:sz w:val="20"/>
        </w:rPr>
        <w:t xml:space="preserve"> </w:t>
      </w:r>
      <w:r w:rsidRPr="009E323D">
        <w:rPr>
          <w:rFonts w:ascii="Trebuchet MS" w:eastAsiaTheme="minorHAnsi" w:hAnsi="Trebuchet MS" w:cstheme="minorBidi"/>
          <w:sz w:val="20"/>
        </w:rPr>
        <w:t xml:space="preserve">durante 15-30 minutos para assegurar máxima remoção de oxigénio (Moroni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2001), permitindo assim reduzir o oxigénio cont</w:t>
      </w:r>
      <w:r w:rsidRPr="009E323D">
        <w:rPr>
          <w:rFonts w:ascii="Trebuchet MS" w:eastAsiaTheme="minorHAnsi" w:hAnsi="Trebuchet MS" w:cstheme="minorBidi"/>
          <w:sz w:val="20"/>
        </w:rPr>
        <w:t>i</w:t>
      </w:r>
      <w:r w:rsidRPr="009E323D">
        <w:rPr>
          <w:rFonts w:ascii="Trebuchet MS" w:eastAsiaTheme="minorHAnsi" w:hAnsi="Trebuchet MS" w:cstheme="minorBidi"/>
          <w:sz w:val="20"/>
        </w:rPr>
        <w:t xml:space="preserve">do na solução (Wang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2007) e nas tubagens.</w:t>
      </w:r>
    </w:p>
    <w:p w:rsidR="002B2845" w:rsidRDefault="002B2845" w:rsidP="002B2845">
      <w:pPr>
        <w:spacing w:after="200" w:line="360" w:lineRule="auto"/>
        <w:contextualSpacing/>
        <w:jc w:val="both"/>
        <w:rPr>
          <w:rFonts w:ascii="Trebuchet MS" w:eastAsiaTheme="minorHAnsi" w:hAnsi="Trebuchet MS" w:cstheme="minorBidi"/>
          <w:color w:val="943634" w:themeColor="accent2" w:themeShade="BF"/>
        </w:rPr>
      </w:pPr>
    </w:p>
    <w:p w:rsidR="00F96662" w:rsidRPr="00B76828" w:rsidRDefault="00F96662" w:rsidP="00F96662">
      <w:pPr>
        <w:spacing w:after="200" w:line="276" w:lineRule="auto"/>
        <w:rPr>
          <w:rFonts w:ascii="Trebuchet MS" w:eastAsiaTheme="minorHAnsi" w:hAnsi="Trebuchet MS" w:cstheme="minorBidi"/>
          <w:b/>
          <w:smallCaps/>
          <w:shadow/>
          <w:u w:val="single"/>
        </w:rPr>
      </w:pPr>
      <w:r w:rsidRPr="00B76828">
        <w:rPr>
          <w:rFonts w:ascii="Trebuchet MS" w:eastAsiaTheme="minorHAnsi" w:hAnsi="Trebuchet MS" w:cstheme="minorBidi"/>
          <w:b/>
          <w:smallCaps/>
          <w:shadow/>
          <w:sz w:val="20"/>
        </w:rPr>
        <w:sym w:font="Wingdings" w:char="F0D6"/>
      </w:r>
      <w:r w:rsidRPr="00B76828">
        <w:rPr>
          <w:rFonts w:ascii="Trebuchet MS" w:eastAsiaTheme="minorHAnsi" w:hAnsi="Trebuchet MS" w:cstheme="minorBidi"/>
          <w:b/>
          <w:smallCaps/>
          <w:shadow/>
          <w:sz w:val="22"/>
          <w:u w:val="single"/>
        </w:rPr>
        <w:t>Importância da Adição de ditionito</w:t>
      </w:r>
    </w:p>
    <w:p w:rsidR="00F96662" w:rsidRPr="00B76828" w:rsidRDefault="00F96662" w:rsidP="00F96662">
      <w:pPr>
        <w:autoSpaceDE w:val="0"/>
        <w:autoSpaceDN w:val="0"/>
        <w:adjustRightInd w:val="0"/>
        <w:spacing w:line="360" w:lineRule="auto"/>
        <w:ind w:firstLine="708"/>
        <w:jc w:val="both"/>
        <w:rPr>
          <w:rFonts w:ascii="Trebuchet MS" w:eastAsiaTheme="minorHAnsi" w:hAnsi="Trebuchet MS" w:cs="Palatino-Roman"/>
          <w:sz w:val="20"/>
        </w:rPr>
      </w:pPr>
      <w:r w:rsidRPr="00B76828">
        <w:rPr>
          <w:rFonts w:ascii="Trebuchet MS" w:eastAsiaTheme="minorHAnsi" w:hAnsi="Trebuchet MS" w:cs="Palatino-Roman"/>
          <w:sz w:val="20"/>
        </w:rPr>
        <w:t xml:space="preserve">Ao tampão Krebs sem glucose, utilizado para induzir POG, foi adicionado ditionito (hidrossulfito de sódio). O ditionito é um captador de oxigénio (Dahmani </w:t>
      </w:r>
      <w:r w:rsidRPr="00B76828">
        <w:rPr>
          <w:rFonts w:ascii="Trebuchet MS" w:eastAsiaTheme="minorHAnsi" w:hAnsi="Trebuchet MS" w:cs="Palatino-Roman"/>
          <w:i/>
          <w:sz w:val="20"/>
        </w:rPr>
        <w:t>et al.</w:t>
      </w:r>
      <w:r w:rsidRPr="00B76828">
        <w:rPr>
          <w:rFonts w:ascii="Trebuchet MS" w:eastAsiaTheme="minorHAnsi" w:hAnsi="Trebuchet MS" w:cs="Palatino-Roman"/>
          <w:sz w:val="20"/>
        </w:rPr>
        <w:t xml:space="preserve">, 2005; Sigaut </w:t>
      </w:r>
      <w:r w:rsidRPr="00B76828">
        <w:rPr>
          <w:rFonts w:ascii="Trebuchet MS" w:eastAsiaTheme="minorHAnsi" w:hAnsi="Trebuchet MS" w:cs="Palatino-Roman"/>
          <w:i/>
          <w:sz w:val="20"/>
        </w:rPr>
        <w:t>et al.</w:t>
      </w:r>
      <w:r w:rsidRPr="00B76828">
        <w:rPr>
          <w:rFonts w:ascii="Trebuchet MS" w:eastAsiaTheme="minorHAnsi" w:hAnsi="Trebuchet MS" w:cs="Palatino-Roman"/>
          <w:sz w:val="20"/>
        </w:rPr>
        <w:t xml:space="preserve">, 2009) e um agente fortemente redutor, usado para criar a pressão zero de oxigénio (Gebhardt and Heinemann, 1999). </w:t>
      </w:r>
    </w:p>
    <w:p w:rsidR="00F96662" w:rsidRPr="00B76828" w:rsidRDefault="00F96662" w:rsidP="00F96662">
      <w:pPr>
        <w:autoSpaceDE w:val="0"/>
        <w:autoSpaceDN w:val="0"/>
        <w:adjustRightInd w:val="0"/>
        <w:spacing w:line="360" w:lineRule="auto"/>
        <w:ind w:firstLine="708"/>
        <w:jc w:val="both"/>
        <w:rPr>
          <w:rFonts w:ascii="Trebuchet MS" w:eastAsiaTheme="minorHAnsi" w:hAnsi="Trebuchet MS" w:cs="Arial"/>
          <w:color w:val="000000"/>
          <w:sz w:val="20"/>
        </w:rPr>
      </w:pPr>
      <w:r w:rsidRPr="00B76828">
        <w:rPr>
          <w:rFonts w:ascii="Trebuchet MS" w:eastAsiaTheme="minorHAnsi" w:hAnsi="Trebuchet MS" w:cs="Palatino-Roman"/>
          <w:sz w:val="20"/>
          <w:lang w:val="es-ES_tradnl"/>
        </w:rPr>
        <w:t xml:space="preserve">Popovic </w:t>
      </w:r>
      <w:r w:rsidRPr="00B76828">
        <w:rPr>
          <w:rFonts w:ascii="Trebuchet MS" w:eastAsiaTheme="minorHAnsi" w:hAnsi="Trebuchet MS" w:cs="Palatino-Roman"/>
          <w:i/>
          <w:sz w:val="20"/>
          <w:lang w:val="es-ES_tradnl"/>
        </w:rPr>
        <w:t xml:space="preserve">et al. </w:t>
      </w:r>
      <w:r w:rsidRPr="00B76828">
        <w:rPr>
          <w:rFonts w:ascii="Trebuchet MS" w:eastAsiaTheme="minorHAnsi" w:hAnsi="Trebuchet MS" w:cs="Palatino-Roman"/>
          <w:sz w:val="20"/>
          <w:lang w:val="es-ES_tradnl"/>
        </w:rPr>
        <w:t xml:space="preserve">(2000), Yuan </w:t>
      </w:r>
      <w:r w:rsidRPr="00B76828">
        <w:rPr>
          <w:rFonts w:ascii="Trebuchet MS" w:eastAsiaTheme="minorHAnsi" w:hAnsi="Trebuchet MS" w:cs="Palatino-Roman"/>
          <w:i/>
          <w:sz w:val="20"/>
          <w:lang w:val="es-ES_tradnl"/>
        </w:rPr>
        <w:t xml:space="preserve">et al. </w:t>
      </w:r>
      <w:r w:rsidRPr="00B76828">
        <w:rPr>
          <w:rFonts w:ascii="Trebuchet MS" w:eastAsiaTheme="minorHAnsi" w:hAnsi="Trebuchet MS" w:cs="Palatino-Roman"/>
          <w:sz w:val="20"/>
        </w:rPr>
        <w:t xml:space="preserve">(2004) </w:t>
      </w:r>
      <w:proofErr w:type="gramStart"/>
      <w:r w:rsidRPr="00B76828">
        <w:rPr>
          <w:rFonts w:ascii="Trebuchet MS" w:eastAsiaTheme="minorHAnsi" w:hAnsi="Trebuchet MS" w:cs="Palatino-Roman"/>
          <w:sz w:val="20"/>
        </w:rPr>
        <w:t>e</w:t>
      </w:r>
      <w:proofErr w:type="gramEnd"/>
      <w:r w:rsidRPr="00B76828">
        <w:rPr>
          <w:rFonts w:ascii="Trebuchet MS" w:eastAsiaTheme="minorHAnsi" w:hAnsi="Trebuchet MS" w:cs="Palatino-Roman"/>
          <w:sz w:val="20"/>
        </w:rPr>
        <w:t xml:space="preserve"> Dahmani </w:t>
      </w:r>
      <w:r w:rsidRPr="00B76828">
        <w:rPr>
          <w:rFonts w:ascii="Trebuchet MS" w:eastAsiaTheme="minorHAnsi" w:hAnsi="Trebuchet MS" w:cs="Palatino-Roman"/>
          <w:i/>
          <w:sz w:val="20"/>
        </w:rPr>
        <w:t xml:space="preserve">et al. </w:t>
      </w:r>
      <w:r w:rsidRPr="00B76828">
        <w:rPr>
          <w:rFonts w:ascii="Trebuchet MS" w:eastAsiaTheme="minorHAnsi" w:hAnsi="Trebuchet MS" w:cs="Palatino-Roman"/>
          <w:sz w:val="20"/>
        </w:rPr>
        <w:t xml:space="preserve">(2005) utilizaram 1 mM de ditionito, ao passo que, Sigaut </w:t>
      </w:r>
      <w:r w:rsidRPr="00B76828">
        <w:rPr>
          <w:rFonts w:ascii="Trebuchet MS" w:eastAsiaTheme="minorHAnsi" w:hAnsi="Trebuchet MS" w:cs="Palatino-Roman"/>
          <w:i/>
          <w:sz w:val="20"/>
        </w:rPr>
        <w:t xml:space="preserve">et al. </w:t>
      </w:r>
      <w:r w:rsidRPr="00B76828">
        <w:rPr>
          <w:rFonts w:ascii="Trebuchet MS" w:eastAsiaTheme="minorHAnsi" w:hAnsi="Trebuchet MS" w:cs="Palatino-Roman"/>
          <w:sz w:val="20"/>
        </w:rPr>
        <w:t xml:space="preserve">(2009) utilizou 5mM de ditionito para diminuir </w:t>
      </w:r>
      <w:r w:rsidR="00B8788F">
        <w:rPr>
          <w:rFonts w:ascii="Trebuchet MS" w:eastAsiaTheme="minorHAnsi" w:hAnsi="Trebuchet MS" w:cs="Palatino-Roman"/>
          <w:sz w:val="20"/>
        </w:rPr>
        <w:t xml:space="preserve">a </w:t>
      </w:r>
      <w:r w:rsidRPr="00B76828">
        <w:rPr>
          <w:rFonts w:ascii="Trebuchet MS" w:eastAsiaTheme="minorHAnsi" w:hAnsi="Trebuchet MS" w:cs="Palatino-Roman"/>
          <w:sz w:val="20"/>
        </w:rPr>
        <w:t>press</w:t>
      </w:r>
      <w:r w:rsidR="00B8788F">
        <w:rPr>
          <w:rFonts w:ascii="Trebuchet MS" w:eastAsiaTheme="minorHAnsi" w:hAnsi="Trebuchet MS" w:cs="Palatino-Roman"/>
          <w:sz w:val="20"/>
        </w:rPr>
        <w:t xml:space="preserve">ão parcial </w:t>
      </w:r>
      <w:r w:rsidRPr="00B76828">
        <w:rPr>
          <w:rFonts w:ascii="Trebuchet MS" w:eastAsiaTheme="minorHAnsi" w:hAnsi="Trebuchet MS" w:cs="Palatino-Roman"/>
          <w:sz w:val="20"/>
        </w:rPr>
        <w:t>de O</w:t>
      </w:r>
      <w:r w:rsidRPr="00B76828">
        <w:rPr>
          <w:rFonts w:ascii="Trebuchet MS" w:eastAsiaTheme="minorHAnsi" w:hAnsi="Trebuchet MS" w:cs="Palatino-Roman"/>
          <w:sz w:val="20"/>
          <w:vertAlign w:val="subscript"/>
        </w:rPr>
        <w:t>2</w:t>
      </w:r>
      <w:r w:rsidRPr="00B76828">
        <w:rPr>
          <w:rFonts w:ascii="Trebuchet MS" w:eastAsiaTheme="minorHAnsi" w:hAnsi="Trebuchet MS" w:cs="Palatino-Roman"/>
          <w:sz w:val="20"/>
        </w:rPr>
        <w:t>, durante os períodos de POG, isto é, capta o oxigénio presente no tampão, bem como, nas tubagens, removendo o oxigénio presente nas soluções (Gebhardt and Heinemann, 1999). Contudo, Gebhardt and Heinemann (1999) demonstraram que o ditionito (2mM) co</w:t>
      </w:r>
      <w:r w:rsidRPr="00B76828">
        <w:rPr>
          <w:rFonts w:ascii="Trebuchet MS" w:eastAsiaTheme="minorHAnsi" w:hAnsi="Trebuchet MS" w:cs="Palatino-Roman"/>
          <w:sz w:val="20"/>
        </w:rPr>
        <w:t>n</w:t>
      </w:r>
      <w:r w:rsidRPr="00B76828">
        <w:rPr>
          <w:rFonts w:ascii="Trebuchet MS" w:eastAsiaTheme="minorHAnsi" w:hAnsi="Trebuchet MS" w:cs="Palatino-Roman"/>
          <w:sz w:val="20"/>
        </w:rPr>
        <w:t>some oxigénio em paralelo com a produção de radicais superóxido e afecta os neurónios ind</w:t>
      </w:r>
      <w:r w:rsidRPr="00B76828">
        <w:rPr>
          <w:rFonts w:ascii="Trebuchet MS" w:eastAsiaTheme="minorHAnsi" w:hAnsi="Trebuchet MS" w:cs="Palatino-Roman"/>
          <w:sz w:val="20"/>
        </w:rPr>
        <w:t>e</w:t>
      </w:r>
      <w:r w:rsidRPr="00B76828">
        <w:rPr>
          <w:rFonts w:ascii="Trebuchet MS" w:eastAsiaTheme="minorHAnsi" w:hAnsi="Trebuchet MS" w:cs="Palatino-Roman"/>
          <w:sz w:val="20"/>
        </w:rPr>
        <w:t xml:space="preserve">pendentemente da privação de oxigénio. </w:t>
      </w:r>
      <w:r w:rsidRPr="00B76828">
        <w:rPr>
          <w:rFonts w:ascii="Trebuchet MS" w:eastAsiaTheme="minorHAnsi" w:hAnsi="Trebuchet MS" w:cs="Arial"/>
          <w:color w:val="000000"/>
          <w:sz w:val="20"/>
        </w:rPr>
        <w:t>Portanto, não podemos excluir que o ditionito por si só</w:t>
      </w:r>
      <w:proofErr w:type="gramStart"/>
      <w:r w:rsidRPr="00B76828">
        <w:rPr>
          <w:rFonts w:ascii="Trebuchet MS" w:eastAsiaTheme="minorHAnsi" w:hAnsi="Trebuchet MS" w:cs="Arial"/>
          <w:color w:val="000000"/>
          <w:sz w:val="20"/>
        </w:rPr>
        <w:t>,</w:t>
      </w:r>
      <w:proofErr w:type="gramEnd"/>
      <w:r w:rsidRPr="00B76828">
        <w:rPr>
          <w:rFonts w:ascii="Trebuchet MS" w:eastAsiaTheme="minorHAnsi" w:hAnsi="Trebuchet MS" w:cs="Arial"/>
          <w:color w:val="000000"/>
          <w:sz w:val="20"/>
        </w:rPr>
        <w:t xml:space="preserve"> pode ter afectado a sobrevivência celular em condições de POG (Siguat </w:t>
      </w:r>
      <w:r w:rsidRPr="00B76828">
        <w:rPr>
          <w:rFonts w:ascii="Trebuchet MS" w:eastAsiaTheme="minorHAnsi" w:hAnsi="Trebuchet MS" w:cs="Arial"/>
          <w:i/>
          <w:color w:val="000000"/>
          <w:sz w:val="20"/>
        </w:rPr>
        <w:t>et al.</w:t>
      </w:r>
      <w:r w:rsidRPr="00B76828">
        <w:rPr>
          <w:rFonts w:ascii="Trebuchet MS" w:eastAsiaTheme="minorHAnsi" w:hAnsi="Trebuchet MS" w:cs="Arial"/>
          <w:color w:val="000000"/>
          <w:sz w:val="20"/>
        </w:rPr>
        <w:t>, 2009).</w:t>
      </w:r>
    </w:p>
    <w:p w:rsidR="00793788" w:rsidRPr="00751D14" w:rsidRDefault="00793788" w:rsidP="002B2845">
      <w:pPr>
        <w:spacing w:after="200" w:line="360" w:lineRule="auto"/>
        <w:contextualSpacing/>
        <w:jc w:val="both"/>
        <w:rPr>
          <w:rFonts w:ascii="Trebuchet MS" w:eastAsiaTheme="minorHAnsi" w:hAnsi="Trebuchet MS" w:cstheme="minorBidi"/>
          <w:color w:val="943634" w:themeColor="accent2" w:themeShade="BF"/>
        </w:rPr>
      </w:pPr>
    </w:p>
    <w:p w:rsidR="002B2845" w:rsidRPr="00751D14" w:rsidRDefault="002B2845" w:rsidP="002B2845">
      <w:pPr>
        <w:spacing w:line="480" w:lineRule="auto"/>
        <w:jc w:val="both"/>
        <w:rPr>
          <w:rFonts w:ascii="Trebuchet MS" w:hAnsi="Trebuchet MS"/>
          <w:b/>
          <w:shadow/>
          <w:color w:val="333399"/>
        </w:rPr>
      </w:pPr>
      <w:r w:rsidRPr="00751D14">
        <w:rPr>
          <w:rFonts w:ascii="Trebuchet MS" w:hAnsi="Trebuchet MS"/>
          <w:b/>
          <w:shadow/>
          <w:color w:val="333399"/>
        </w:rPr>
        <w:t xml:space="preserve">      3.3.4. Diferentes tipos de Pré-condicionamento</w:t>
      </w:r>
    </w:p>
    <w:p w:rsidR="002B2845" w:rsidRPr="009E323D" w:rsidRDefault="002B2845" w:rsidP="002B2845">
      <w:pPr>
        <w:spacing w:line="360" w:lineRule="auto"/>
        <w:ind w:firstLine="708"/>
        <w:jc w:val="both"/>
        <w:rPr>
          <w:rFonts w:ascii="Trebuchet MS" w:eastAsiaTheme="minorHAnsi" w:hAnsi="Trebuchet MS" w:cstheme="minorBidi"/>
          <w:sz w:val="20"/>
        </w:rPr>
      </w:pPr>
      <w:r w:rsidRPr="009E323D">
        <w:rPr>
          <w:rFonts w:ascii="Trebuchet MS" w:eastAsiaTheme="minorHAnsi" w:hAnsi="Trebuchet MS" w:cstheme="minorBidi"/>
          <w:sz w:val="20"/>
        </w:rPr>
        <w:t xml:space="preserve">A partir do momento em que sistema de perfusão implementado estava </w:t>
      </w:r>
      <w:r w:rsidR="006B6E37">
        <w:rPr>
          <w:rFonts w:ascii="Trebuchet MS" w:eastAsiaTheme="minorHAnsi" w:hAnsi="Trebuchet MS" w:cstheme="minorBidi"/>
          <w:sz w:val="20"/>
        </w:rPr>
        <w:t>optimizado</w:t>
      </w:r>
      <w:r w:rsidRPr="009E323D">
        <w:rPr>
          <w:rFonts w:ascii="Trebuchet MS" w:eastAsiaTheme="minorHAnsi" w:hAnsi="Trebuchet MS" w:cstheme="minorBidi"/>
          <w:sz w:val="20"/>
        </w:rPr>
        <w:t>, iniciou-se o estudo dos objectivos propostos neste trabalho de investigação: efeito neuropr</w:t>
      </w:r>
      <w:r w:rsidRPr="009E323D">
        <w:rPr>
          <w:rFonts w:ascii="Trebuchet MS" w:eastAsiaTheme="minorHAnsi" w:hAnsi="Trebuchet MS" w:cstheme="minorBidi"/>
          <w:sz w:val="20"/>
        </w:rPr>
        <w:t>o</w:t>
      </w:r>
      <w:r w:rsidRPr="009E323D">
        <w:rPr>
          <w:rFonts w:ascii="Trebuchet MS" w:eastAsiaTheme="minorHAnsi" w:hAnsi="Trebuchet MS" w:cstheme="minorBidi"/>
          <w:sz w:val="20"/>
        </w:rPr>
        <w:t xml:space="preserve">tector de diferentes tipos de pré-condicionamento, em um modelo </w:t>
      </w:r>
      <w:proofErr w:type="gramStart"/>
      <w:r w:rsidR="006B6E37" w:rsidRPr="009E323D">
        <w:rPr>
          <w:rFonts w:ascii="Trebuchet MS" w:eastAsiaTheme="minorHAnsi" w:hAnsi="Trebuchet MS" w:cstheme="minorBidi"/>
          <w:i/>
          <w:sz w:val="20"/>
        </w:rPr>
        <w:t>in vitro</w:t>
      </w:r>
      <w:proofErr w:type="gramEnd"/>
      <w:r w:rsidR="006B6E37" w:rsidRPr="009E323D">
        <w:rPr>
          <w:rFonts w:ascii="Trebuchet MS" w:eastAsiaTheme="minorHAnsi" w:hAnsi="Trebuchet MS" w:cstheme="minorBidi"/>
          <w:sz w:val="20"/>
        </w:rPr>
        <w:t xml:space="preserve"> </w:t>
      </w:r>
      <w:r w:rsidRPr="009E323D">
        <w:rPr>
          <w:rFonts w:ascii="Trebuchet MS" w:eastAsiaTheme="minorHAnsi" w:hAnsi="Trebuchet MS" w:cstheme="minorBidi"/>
          <w:sz w:val="20"/>
        </w:rPr>
        <w:t>de fatias de hip</w:t>
      </w:r>
      <w:r w:rsidRPr="009E323D">
        <w:rPr>
          <w:rFonts w:ascii="Trebuchet MS" w:eastAsiaTheme="minorHAnsi" w:hAnsi="Trebuchet MS" w:cstheme="minorBidi"/>
          <w:sz w:val="20"/>
        </w:rPr>
        <w:t>o</w:t>
      </w:r>
      <w:r w:rsidRPr="009E323D">
        <w:rPr>
          <w:rFonts w:ascii="Trebuchet MS" w:eastAsiaTheme="minorHAnsi" w:hAnsi="Trebuchet MS" w:cstheme="minorBidi"/>
          <w:sz w:val="20"/>
        </w:rPr>
        <w:t>campo, na isquémia cerebral.</w:t>
      </w:r>
    </w:p>
    <w:p w:rsidR="002B2845" w:rsidRPr="009E323D" w:rsidRDefault="002B2845" w:rsidP="002B2845">
      <w:pPr>
        <w:spacing w:line="360" w:lineRule="auto"/>
        <w:ind w:firstLine="708"/>
        <w:jc w:val="both"/>
        <w:rPr>
          <w:rFonts w:ascii="Trebuchet MS" w:eastAsiaTheme="minorHAnsi" w:hAnsi="Trebuchet MS" w:cstheme="minorBidi"/>
          <w:sz w:val="20"/>
        </w:rPr>
      </w:pPr>
      <w:r w:rsidRPr="009E323D">
        <w:rPr>
          <w:rFonts w:ascii="Trebuchet MS" w:eastAsiaTheme="minorHAnsi" w:hAnsi="Trebuchet MS" w:cstheme="minorBidi"/>
          <w:sz w:val="20"/>
        </w:rPr>
        <w:t xml:space="preserve">Os </w:t>
      </w:r>
      <w:r w:rsidRPr="009E323D">
        <w:rPr>
          <w:rFonts w:ascii="Trebuchet MS" w:eastAsiaTheme="minorHAnsi" w:hAnsi="Trebuchet MS" w:cstheme="minorBidi"/>
          <w:b/>
          <w:sz w:val="20"/>
        </w:rPr>
        <w:t>tipos de pré-condicionamento</w:t>
      </w:r>
      <w:r w:rsidRPr="009E323D">
        <w:rPr>
          <w:rFonts w:ascii="Trebuchet MS" w:eastAsiaTheme="minorHAnsi" w:hAnsi="Trebuchet MS" w:cstheme="minorBidi"/>
          <w:sz w:val="20"/>
        </w:rPr>
        <w:t xml:space="preserve"> em estudo foram: </w:t>
      </w:r>
      <w:r w:rsidRPr="009E323D">
        <w:rPr>
          <w:rFonts w:ascii="Trebuchet MS" w:eastAsiaTheme="minorHAnsi" w:hAnsi="Trebuchet MS" w:cstheme="minorBidi"/>
          <w:sz w:val="20"/>
          <w:u w:val="single"/>
        </w:rPr>
        <w:t>pré-condicionamento isquémico (IPC)</w:t>
      </w:r>
      <w:r w:rsidRPr="009E323D">
        <w:rPr>
          <w:rFonts w:ascii="Trebuchet MS" w:eastAsiaTheme="minorHAnsi" w:hAnsi="Trebuchet MS" w:cstheme="minorBidi"/>
          <w:sz w:val="20"/>
        </w:rPr>
        <w:t xml:space="preserve"> e </w:t>
      </w:r>
      <w:r w:rsidRPr="009E323D">
        <w:rPr>
          <w:rFonts w:ascii="Trebuchet MS" w:eastAsiaTheme="minorHAnsi" w:hAnsi="Trebuchet MS" w:cstheme="minorBidi"/>
          <w:sz w:val="20"/>
          <w:u w:val="single"/>
        </w:rPr>
        <w:t>pré-condicionamento químico</w:t>
      </w:r>
      <w:r w:rsidR="0055002E">
        <w:rPr>
          <w:rFonts w:ascii="Trebuchet MS" w:eastAsiaTheme="minorHAnsi" w:hAnsi="Trebuchet MS" w:cstheme="minorBidi"/>
          <w:sz w:val="20"/>
          <w:u w:val="single"/>
        </w:rPr>
        <w:t xml:space="preserve"> (CPC)</w:t>
      </w:r>
      <w:r w:rsidRPr="009E323D">
        <w:rPr>
          <w:rFonts w:ascii="Trebuchet MS" w:eastAsiaTheme="minorHAnsi" w:hAnsi="Trebuchet MS" w:cstheme="minorBidi"/>
          <w:sz w:val="20"/>
        </w:rPr>
        <w:t>.</w:t>
      </w:r>
    </w:p>
    <w:p w:rsidR="00E16B5B" w:rsidRPr="00751D14" w:rsidRDefault="002B2845" w:rsidP="007F2525">
      <w:pPr>
        <w:contextualSpacing/>
        <w:jc w:val="both"/>
        <w:rPr>
          <w:rFonts w:ascii="Trebuchet MS" w:hAnsi="Trebuchet MS"/>
          <w:b/>
          <w:shadow/>
          <w:color w:val="333399"/>
        </w:rPr>
      </w:pPr>
      <w:r w:rsidRPr="00751D14">
        <w:rPr>
          <w:rFonts w:ascii="Trebuchet MS" w:hAnsi="Trebuchet MS"/>
          <w:b/>
          <w:shadow/>
          <w:color w:val="333399"/>
        </w:rPr>
        <w:lastRenderedPageBreak/>
        <w:t xml:space="preserve">              3.3.4.1. Pré-condicionamento isquémico (IPC)</w:t>
      </w:r>
    </w:p>
    <w:p w:rsidR="007F2525" w:rsidRPr="00751D14" w:rsidRDefault="007F2525" w:rsidP="007E18F8">
      <w:pPr>
        <w:autoSpaceDE w:val="0"/>
        <w:autoSpaceDN w:val="0"/>
        <w:adjustRightInd w:val="0"/>
        <w:spacing w:line="360" w:lineRule="auto"/>
        <w:jc w:val="both"/>
        <w:rPr>
          <w:rFonts w:ascii="Trebuchet MS" w:eastAsiaTheme="minorHAnsi" w:hAnsi="Trebuchet MS" w:cstheme="minorBidi"/>
          <w:b/>
          <w:szCs w:val="20"/>
          <w:u w:val="single"/>
        </w:rPr>
      </w:pPr>
    </w:p>
    <w:p w:rsidR="00724A0D" w:rsidRDefault="00724A0D" w:rsidP="00724A0D">
      <w:pPr>
        <w:autoSpaceDE w:val="0"/>
        <w:autoSpaceDN w:val="0"/>
        <w:adjustRightInd w:val="0"/>
        <w:spacing w:line="360" w:lineRule="auto"/>
        <w:ind w:firstLine="720"/>
        <w:jc w:val="both"/>
        <w:rPr>
          <w:rFonts w:ascii="Trebuchet MS" w:eastAsiaTheme="minorHAnsi" w:hAnsi="Trebuchet MS" w:cstheme="minorBidi"/>
          <w:sz w:val="20"/>
          <w:szCs w:val="20"/>
        </w:rPr>
      </w:pPr>
      <w:r w:rsidRPr="009E323D">
        <w:rPr>
          <w:rFonts w:ascii="Trebuchet MS" w:eastAsiaTheme="minorHAnsi" w:hAnsi="Trebuchet MS" w:cstheme="minorBidi"/>
          <w:sz w:val="20"/>
          <w:szCs w:val="20"/>
        </w:rPr>
        <w:t>O IPC é um mecanismo endógeno e potente, desenvolvido por repetidos insultos isquémicos não letais, que conferem um nível de protecção contra a um insulto isquémico posterior letal.</w:t>
      </w:r>
    </w:p>
    <w:p w:rsidR="00AA3953" w:rsidRPr="009E323D" w:rsidRDefault="00AA3953" w:rsidP="00724A0D">
      <w:pPr>
        <w:autoSpaceDE w:val="0"/>
        <w:autoSpaceDN w:val="0"/>
        <w:adjustRightInd w:val="0"/>
        <w:spacing w:line="360" w:lineRule="auto"/>
        <w:ind w:firstLine="720"/>
        <w:jc w:val="both"/>
        <w:rPr>
          <w:rFonts w:ascii="Trebuchet MS" w:eastAsiaTheme="minorHAnsi" w:hAnsi="Trebuchet MS" w:cstheme="minorBidi"/>
          <w:sz w:val="20"/>
          <w:szCs w:val="20"/>
        </w:rPr>
      </w:pPr>
    </w:p>
    <w:p w:rsidR="00AB0F30" w:rsidRPr="009E323D" w:rsidRDefault="007E18F8" w:rsidP="007E18F8">
      <w:pPr>
        <w:autoSpaceDE w:val="0"/>
        <w:autoSpaceDN w:val="0"/>
        <w:adjustRightInd w:val="0"/>
        <w:spacing w:line="360" w:lineRule="auto"/>
        <w:jc w:val="both"/>
        <w:rPr>
          <w:rFonts w:ascii="Trebuchet MS" w:eastAsiaTheme="minorHAnsi" w:hAnsi="Trebuchet MS" w:cstheme="minorBidi"/>
          <w:sz w:val="20"/>
        </w:rPr>
      </w:pPr>
      <w:r w:rsidRPr="009E323D">
        <w:rPr>
          <w:rFonts w:ascii="Trebuchet MS" w:eastAsiaTheme="minorHAnsi" w:hAnsi="Trebuchet MS" w:cstheme="minorBidi"/>
          <w:b/>
          <w:sz w:val="20"/>
          <w:szCs w:val="20"/>
          <w:u w:val="single"/>
        </w:rPr>
        <w:t>Procedimento</w:t>
      </w:r>
      <w:r w:rsidRPr="009E323D">
        <w:rPr>
          <w:rFonts w:ascii="Trebuchet MS" w:eastAsiaTheme="minorHAnsi" w:hAnsi="Trebuchet MS" w:cstheme="minorBidi"/>
          <w:b/>
          <w:sz w:val="20"/>
          <w:szCs w:val="20"/>
        </w:rPr>
        <w:t>:</w:t>
      </w:r>
      <w:r w:rsidRPr="009E323D">
        <w:rPr>
          <w:rFonts w:ascii="Trebuchet MS" w:eastAsiaTheme="minorHAnsi" w:hAnsi="Trebuchet MS" w:cstheme="minorBidi"/>
          <w:sz w:val="20"/>
          <w:szCs w:val="20"/>
        </w:rPr>
        <w:t xml:space="preserve"> Após a transferência das</w:t>
      </w:r>
      <w:r w:rsidRPr="009E323D">
        <w:rPr>
          <w:rFonts w:ascii="Trebuchet MS" w:eastAsiaTheme="minorHAnsi" w:hAnsi="Trebuchet MS" w:cstheme="minorBidi"/>
          <w:sz w:val="20"/>
        </w:rPr>
        <w:t xml:space="preserve"> fatias de hipocampo para as câmaras de perfusão e consequente </w:t>
      </w:r>
      <w:r w:rsidR="006B6E37">
        <w:rPr>
          <w:rFonts w:ascii="Trebuchet MS" w:eastAsiaTheme="minorHAnsi" w:hAnsi="Trebuchet MS" w:cstheme="minorBidi"/>
          <w:sz w:val="20"/>
        </w:rPr>
        <w:t>recuperação</w:t>
      </w:r>
      <w:r w:rsidRPr="009E323D">
        <w:rPr>
          <w:rFonts w:ascii="Trebuchet MS" w:eastAsiaTheme="minorHAnsi" w:hAnsi="Trebuchet MS" w:cstheme="minorBidi"/>
          <w:sz w:val="20"/>
        </w:rPr>
        <w:t xml:space="preserve"> durante 1h</w:t>
      </w:r>
      <w:r w:rsidR="00B80780">
        <w:rPr>
          <w:rFonts w:ascii="Trebuchet MS" w:eastAsiaTheme="minorHAnsi" w:hAnsi="Trebuchet MS" w:cstheme="minorBidi"/>
          <w:sz w:val="20"/>
        </w:rPr>
        <w:t>ora</w:t>
      </w:r>
      <w:r w:rsidRPr="009E323D">
        <w:rPr>
          <w:rFonts w:ascii="Trebuchet MS" w:eastAsiaTheme="minorHAnsi" w:hAnsi="Trebuchet MS" w:cstheme="minorBidi"/>
          <w:sz w:val="20"/>
        </w:rPr>
        <w:t>, procedeu-se ao IPC. O IPC consistiu em dois insultos subletais consecutivos (não neurotóxicos)</w:t>
      </w:r>
      <w:r w:rsidR="00B80780">
        <w:rPr>
          <w:rFonts w:ascii="Trebuchet MS" w:eastAsiaTheme="minorHAnsi" w:hAnsi="Trebuchet MS" w:cstheme="minorBidi"/>
          <w:sz w:val="20"/>
        </w:rPr>
        <w:t xml:space="preserve"> de POG</w:t>
      </w:r>
      <w:r w:rsidRPr="009E323D">
        <w:rPr>
          <w:rFonts w:ascii="Trebuchet MS" w:eastAsiaTheme="minorHAnsi" w:hAnsi="Trebuchet MS" w:cstheme="minorBidi"/>
          <w:sz w:val="20"/>
        </w:rPr>
        <w:t xml:space="preserve"> com duração de 3minutos</w:t>
      </w:r>
      <w:r w:rsidR="00B80780">
        <w:rPr>
          <w:rFonts w:ascii="Trebuchet MS" w:eastAsiaTheme="minorHAnsi" w:hAnsi="Trebuchet MS" w:cstheme="minorBidi"/>
          <w:sz w:val="20"/>
        </w:rPr>
        <w:t xml:space="preserve"> cada</w:t>
      </w:r>
      <w:r w:rsidRPr="009E323D">
        <w:rPr>
          <w:rFonts w:ascii="Trebuchet MS" w:eastAsiaTheme="minorHAnsi" w:hAnsi="Trebuchet MS" w:cstheme="minorBidi"/>
          <w:sz w:val="20"/>
        </w:rPr>
        <w:t>. O intervalo entre o primeiro e segundo insultos subletal foi de 17 minutos. A seguir ao IPC, as fatias pe</w:t>
      </w:r>
      <w:r w:rsidRPr="009E323D">
        <w:rPr>
          <w:rFonts w:ascii="Trebuchet MS" w:eastAsiaTheme="minorHAnsi" w:hAnsi="Trebuchet MS" w:cstheme="minorBidi"/>
          <w:sz w:val="20"/>
        </w:rPr>
        <w:t>r</w:t>
      </w:r>
      <w:r w:rsidRPr="009E323D">
        <w:rPr>
          <w:rFonts w:ascii="Trebuchet MS" w:eastAsiaTheme="minorHAnsi" w:hAnsi="Trebuchet MS" w:cstheme="minorBidi"/>
          <w:sz w:val="20"/>
        </w:rPr>
        <w:t>manecem em reperfusão</w:t>
      </w:r>
      <w:r w:rsidRPr="009E323D">
        <w:rPr>
          <w:rFonts w:ascii="Trebuchet MS" w:eastAsiaTheme="minorHAnsi" w:hAnsi="Trebuchet MS" w:cstheme="minorBidi"/>
          <w:sz w:val="20"/>
          <w:vertAlign w:val="superscript"/>
        </w:rPr>
        <w:footnoteReference w:id="3"/>
      </w:r>
      <w:r w:rsidRPr="009E323D">
        <w:rPr>
          <w:rFonts w:ascii="Trebuchet MS" w:eastAsiaTheme="minorHAnsi" w:hAnsi="Trebuchet MS" w:cstheme="minorBidi"/>
          <w:sz w:val="20"/>
        </w:rPr>
        <w:t>/reoxigenação durante 3h (Sigaut el al., 2009). Após o período de recuperação, submeteram-se as fatias agudas à POG durante 20 minutos</w:t>
      </w:r>
      <w:r w:rsidR="00932732">
        <w:rPr>
          <w:rFonts w:ascii="Trebuchet MS" w:eastAsiaTheme="minorHAnsi" w:hAnsi="Trebuchet MS" w:cstheme="minorBidi"/>
          <w:sz w:val="20"/>
        </w:rPr>
        <w:t xml:space="preserve"> (insulto neurotóx</w:t>
      </w:r>
      <w:r w:rsidR="00932732">
        <w:rPr>
          <w:rFonts w:ascii="Trebuchet MS" w:eastAsiaTheme="minorHAnsi" w:hAnsi="Trebuchet MS" w:cstheme="minorBidi"/>
          <w:sz w:val="20"/>
        </w:rPr>
        <w:t>i</w:t>
      </w:r>
      <w:r w:rsidR="00932732">
        <w:rPr>
          <w:rFonts w:ascii="Trebuchet MS" w:eastAsiaTheme="minorHAnsi" w:hAnsi="Trebuchet MS" w:cstheme="minorBidi"/>
          <w:sz w:val="20"/>
        </w:rPr>
        <w:t>co)</w:t>
      </w:r>
      <w:r w:rsidRPr="009E323D">
        <w:rPr>
          <w:rFonts w:ascii="Trebuchet MS" w:eastAsiaTheme="minorHAnsi" w:hAnsi="Trebuchet MS" w:cstheme="minorBidi"/>
          <w:sz w:val="20"/>
        </w:rPr>
        <w:t>.</w:t>
      </w:r>
      <w:r w:rsidR="00AB0F30">
        <w:rPr>
          <w:rFonts w:ascii="Trebuchet MS" w:eastAsiaTheme="minorHAnsi" w:hAnsi="Trebuchet MS" w:cstheme="minorBidi"/>
          <w:sz w:val="20"/>
        </w:rPr>
        <w:t xml:space="preserve"> Realizaram-se também dois ensaios controlo: um ensaio idêntico ao anterior mas em que o período de IPC foi </w:t>
      </w:r>
      <w:proofErr w:type="gramStart"/>
      <w:r w:rsidR="00AB0F30">
        <w:rPr>
          <w:rFonts w:ascii="Trebuchet MS" w:eastAsiaTheme="minorHAnsi" w:hAnsi="Trebuchet MS" w:cstheme="minorBidi"/>
          <w:sz w:val="20"/>
        </w:rPr>
        <w:t>omitido</w:t>
      </w:r>
      <w:proofErr w:type="gramEnd"/>
      <w:r w:rsidR="00AB0F30">
        <w:rPr>
          <w:rFonts w:ascii="Trebuchet MS" w:eastAsiaTheme="minorHAnsi" w:hAnsi="Trebuchet MS" w:cstheme="minorBidi"/>
          <w:sz w:val="20"/>
        </w:rPr>
        <w:t xml:space="preserve"> e outro ensaio em que não foi aplicado qualquer período de POG.</w:t>
      </w:r>
    </w:p>
    <w:p w:rsidR="007F2525" w:rsidRPr="00751D14" w:rsidRDefault="007F2525" w:rsidP="007F2525">
      <w:pPr>
        <w:spacing w:line="360" w:lineRule="auto"/>
        <w:rPr>
          <w:rFonts w:ascii="Trebuchet MS" w:hAnsi="Trebuchet MS"/>
          <w:b/>
          <w:shadow/>
          <w:color w:val="333399"/>
        </w:rPr>
      </w:pPr>
    </w:p>
    <w:p w:rsidR="007F2525" w:rsidRPr="00751D14" w:rsidRDefault="007F2525" w:rsidP="007F2525">
      <w:pPr>
        <w:spacing w:line="360" w:lineRule="auto"/>
        <w:rPr>
          <w:rFonts w:ascii="Trebuchet MS" w:hAnsi="Trebuchet MS"/>
          <w:b/>
          <w:shadow/>
          <w:color w:val="333399"/>
        </w:rPr>
      </w:pPr>
      <w:r w:rsidRPr="00751D14">
        <w:rPr>
          <w:rFonts w:ascii="Trebuchet MS" w:hAnsi="Trebuchet MS"/>
          <w:b/>
          <w:shadow/>
          <w:color w:val="333399"/>
        </w:rPr>
        <w:t xml:space="preserve">              3.3.4.2. Pré-condicionamento químico</w:t>
      </w:r>
      <w:r w:rsidR="002942A1">
        <w:rPr>
          <w:rFonts w:ascii="Trebuchet MS" w:hAnsi="Trebuchet MS"/>
          <w:b/>
          <w:shadow/>
          <w:color w:val="333399"/>
        </w:rPr>
        <w:t xml:space="preserve"> (CPC)</w:t>
      </w:r>
    </w:p>
    <w:p w:rsidR="007F2525" w:rsidRPr="009E323D" w:rsidRDefault="007F2525" w:rsidP="007F2525">
      <w:pPr>
        <w:autoSpaceDE w:val="0"/>
        <w:autoSpaceDN w:val="0"/>
        <w:adjustRightInd w:val="0"/>
        <w:jc w:val="both"/>
        <w:rPr>
          <w:rFonts w:ascii="Trebuchet MS" w:eastAsiaTheme="minorHAnsi" w:hAnsi="Trebuchet MS" w:cstheme="minorBidi"/>
          <w:b/>
          <w:sz w:val="20"/>
          <w:szCs w:val="20"/>
          <w:u w:val="single"/>
        </w:rPr>
      </w:pPr>
    </w:p>
    <w:p w:rsidR="007F2525" w:rsidRDefault="007F2525" w:rsidP="007F2525">
      <w:pPr>
        <w:autoSpaceDE w:val="0"/>
        <w:autoSpaceDN w:val="0"/>
        <w:adjustRightInd w:val="0"/>
        <w:spacing w:line="360" w:lineRule="auto"/>
        <w:jc w:val="both"/>
        <w:rPr>
          <w:rFonts w:ascii="Trebuchet MS" w:eastAsiaTheme="minorHAnsi" w:hAnsi="Trebuchet MS" w:cstheme="minorBidi"/>
          <w:sz w:val="20"/>
        </w:rPr>
      </w:pPr>
      <w:r w:rsidRPr="009E323D">
        <w:rPr>
          <w:rFonts w:ascii="Trebuchet MS" w:eastAsiaTheme="minorHAnsi" w:hAnsi="Trebuchet MS" w:cstheme="minorBidi"/>
          <w:b/>
          <w:sz w:val="20"/>
          <w:szCs w:val="20"/>
          <w:u w:val="single"/>
        </w:rPr>
        <w:t>Procedimento</w:t>
      </w:r>
      <w:r w:rsidRPr="009E323D">
        <w:rPr>
          <w:rFonts w:ascii="Trebuchet MS" w:eastAsiaTheme="minorHAnsi" w:hAnsi="Trebuchet MS" w:cstheme="minorBidi"/>
          <w:b/>
          <w:sz w:val="20"/>
          <w:szCs w:val="20"/>
        </w:rPr>
        <w:t>:</w:t>
      </w:r>
      <w:r w:rsidRPr="009E323D">
        <w:rPr>
          <w:rFonts w:ascii="Trebuchet MS" w:eastAsiaTheme="minorHAnsi" w:hAnsi="Trebuchet MS" w:cstheme="minorBidi"/>
          <w:sz w:val="20"/>
          <w:szCs w:val="20"/>
        </w:rPr>
        <w:t xml:space="preserve"> Após a transferência das</w:t>
      </w:r>
      <w:r w:rsidRPr="009E323D">
        <w:rPr>
          <w:rFonts w:ascii="Trebuchet MS" w:eastAsiaTheme="minorHAnsi" w:hAnsi="Trebuchet MS" w:cstheme="minorBidi"/>
          <w:sz w:val="20"/>
        </w:rPr>
        <w:t xml:space="preserve"> fatias de hipocampo para as câmaras de perfusão e consequente </w:t>
      </w:r>
      <w:r w:rsidR="002942A1">
        <w:rPr>
          <w:rFonts w:ascii="Trebuchet MS" w:eastAsiaTheme="minorHAnsi" w:hAnsi="Trebuchet MS" w:cstheme="minorBidi"/>
          <w:sz w:val="20"/>
        </w:rPr>
        <w:t>recuperação</w:t>
      </w:r>
      <w:r w:rsidRPr="009E323D">
        <w:rPr>
          <w:rFonts w:ascii="Trebuchet MS" w:eastAsiaTheme="minorHAnsi" w:hAnsi="Trebuchet MS" w:cstheme="minorBidi"/>
          <w:sz w:val="20"/>
        </w:rPr>
        <w:t xml:space="preserve"> durante 1h</w:t>
      </w:r>
      <w:r w:rsidR="002942A1">
        <w:rPr>
          <w:rFonts w:ascii="Trebuchet MS" w:eastAsiaTheme="minorHAnsi" w:hAnsi="Trebuchet MS" w:cstheme="minorBidi"/>
          <w:sz w:val="20"/>
        </w:rPr>
        <w:t>ora</w:t>
      </w:r>
      <w:r w:rsidRPr="009E323D">
        <w:rPr>
          <w:rFonts w:ascii="Trebuchet MS" w:eastAsiaTheme="minorHAnsi" w:hAnsi="Trebuchet MS" w:cstheme="minorBidi"/>
          <w:sz w:val="20"/>
        </w:rPr>
        <w:t>, procedeu-se ao pré-condicionamento químico</w:t>
      </w:r>
      <w:r w:rsidR="002942A1">
        <w:rPr>
          <w:rFonts w:ascii="Trebuchet MS" w:eastAsiaTheme="minorHAnsi" w:hAnsi="Trebuchet MS" w:cstheme="minorBidi"/>
          <w:sz w:val="20"/>
        </w:rPr>
        <w:t xml:space="preserve"> (CPC)</w:t>
      </w:r>
      <w:r w:rsidR="00E40A41">
        <w:rPr>
          <w:rFonts w:ascii="Trebuchet MS" w:eastAsiaTheme="minorHAnsi" w:hAnsi="Trebuchet MS" w:cstheme="minorBidi"/>
          <w:sz w:val="20"/>
        </w:rPr>
        <w:t>.</w:t>
      </w:r>
      <w:r w:rsidR="00CF31CE">
        <w:rPr>
          <w:rFonts w:ascii="Trebuchet MS" w:eastAsiaTheme="minorHAnsi" w:hAnsi="Trebuchet MS" w:cstheme="minorBidi"/>
          <w:sz w:val="20"/>
        </w:rPr>
        <w:t xml:space="preserve"> O CPC consistiu</w:t>
      </w:r>
      <w:r w:rsidR="00763B9F">
        <w:rPr>
          <w:rFonts w:ascii="Trebuchet MS" w:eastAsiaTheme="minorHAnsi" w:hAnsi="Trebuchet MS" w:cstheme="minorBidi"/>
          <w:sz w:val="20"/>
        </w:rPr>
        <w:t xml:space="preserve"> na perfusão das fatias com tampão krebs contendo os seguintes fármacos: </w:t>
      </w:r>
      <w:r w:rsidR="00730C83" w:rsidRPr="009E323D">
        <w:rPr>
          <w:rFonts w:ascii="Trebuchet MS" w:eastAsiaTheme="minorHAnsi" w:hAnsi="Trebuchet MS" w:cstheme="minorBidi"/>
          <w:b/>
          <w:sz w:val="20"/>
        </w:rPr>
        <w:t>CPA 1</w:t>
      </w:r>
      <w:r w:rsidR="00763B9F">
        <w:rPr>
          <w:rFonts w:ascii="Trebuchet MS" w:eastAsiaTheme="minorHAnsi" w:hAnsi="Trebuchet MS" w:cstheme="minorBidi"/>
          <w:b/>
          <w:sz w:val="20"/>
        </w:rPr>
        <w:t xml:space="preserve">-30 </w:t>
      </w:r>
      <w:r w:rsidR="00730C83" w:rsidRPr="009E323D">
        <w:rPr>
          <w:rFonts w:ascii="Trebuchet MS" w:eastAsiaTheme="minorHAnsi" w:hAnsi="Trebuchet MS" w:cstheme="minorBidi"/>
          <w:b/>
          <w:sz w:val="20"/>
        </w:rPr>
        <w:sym w:font="Symbol" w:char="F06D"/>
      </w:r>
      <w:r w:rsidR="00763B9F">
        <w:rPr>
          <w:rFonts w:ascii="Trebuchet MS" w:eastAsiaTheme="minorHAnsi" w:hAnsi="Trebuchet MS" w:cstheme="minorBidi"/>
          <w:b/>
          <w:sz w:val="20"/>
        </w:rPr>
        <w:t>M</w:t>
      </w:r>
      <w:r w:rsidR="00730C83" w:rsidRPr="009E323D">
        <w:rPr>
          <w:rFonts w:ascii="Trebuchet MS" w:eastAsiaTheme="minorHAnsi" w:hAnsi="Trebuchet MS" w:cstheme="minorBidi"/>
          <w:b/>
          <w:sz w:val="20"/>
        </w:rPr>
        <w:t xml:space="preserve"> </w:t>
      </w:r>
      <w:r w:rsidRPr="009E323D">
        <w:rPr>
          <w:rFonts w:ascii="Trebuchet MS" w:eastAsiaTheme="minorHAnsi" w:hAnsi="Trebuchet MS" w:cstheme="minorBidi"/>
          <w:sz w:val="20"/>
        </w:rPr>
        <w:t>e</w:t>
      </w:r>
      <w:r w:rsidRPr="009E323D">
        <w:rPr>
          <w:rFonts w:ascii="Trebuchet MS" w:eastAsiaTheme="minorHAnsi" w:hAnsi="Trebuchet MS" w:cstheme="minorBidi"/>
          <w:b/>
          <w:sz w:val="20"/>
        </w:rPr>
        <w:t xml:space="preserve"> adenosina </w:t>
      </w:r>
      <w:r w:rsidR="00763B9F">
        <w:rPr>
          <w:rFonts w:ascii="Trebuchet MS" w:eastAsiaTheme="minorHAnsi" w:hAnsi="Trebuchet MS" w:cstheme="minorBidi"/>
          <w:b/>
          <w:sz w:val="20"/>
        </w:rPr>
        <w:t>(</w:t>
      </w:r>
      <w:r w:rsidRPr="009E323D">
        <w:rPr>
          <w:rFonts w:ascii="Trebuchet MS" w:eastAsiaTheme="minorHAnsi" w:hAnsi="Trebuchet MS" w:cstheme="minorBidi"/>
          <w:b/>
          <w:sz w:val="20"/>
        </w:rPr>
        <w:t>100</w:t>
      </w:r>
      <w:r w:rsidRPr="009E323D">
        <w:rPr>
          <w:rFonts w:ascii="Trebuchet MS" w:eastAsiaTheme="minorHAnsi" w:hAnsi="Trebuchet MS" w:cstheme="minorBidi"/>
          <w:b/>
          <w:sz w:val="20"/>
        </w:rPr>
        <w:sym w:font="Symbol" w:char="F06D"/>
      </w:r>
      <w:r w:rsidRPr="009E323D">
        <w:rPr>
          <w:rFonts w:ascii="Trebuchet MS" w:eastAsiaTheme="minorHAnsi" w:hAnsi="Trebuchet MS" w:cstheme="minorBidi"/>
          <w:b/>
          <w:sz w:val="20"/>
        </w:rPr>
        <w:t>M</w:t>
      </w:r>
      <w:r w:rsidR="00763B9F">
        <w:rPr>
          <w:rFonts w:ascii="Trebuchet MS" w:eastAsiaTheme="minorHAnsi" w:hAnsi="Trebuchet MS" w:cstheme="minorBidi"/>
          <w:b/>
          <w:sz w:val="20"/>
        </w:rPr>
        <w:t>)</w:t>
      </w:r>
      <w:r w:rsidRPr="009E323D">
        <w:rPr>
          <w:rFonts w:ascii="Trebuchet MS" w:eastAsiaTheme="minorHAnsi" w:hAnsi="Trebuchet MS" w:cstheme="minorBidi"/>
          <w:b/>
          <w:sz w:val="20"/>
        </w:rPr>
        <w:t xml:space="preserve"> durante 20</w:t>
      </w:r>
      <w:r w:rsidR="00763B9F">
        <w:rPr>
          <w:rFonts w:ascii="Trebuchet MS" w:eastAsiaTheme="minorHAnsi" w:hAnsi="Trebuchet MS" w:cstheme="minorBidi"/>
          <w:b/>
          <w:sz w:val="20"/>
        </w:rPr>
        <w:t>-60</w:t>
      </w:r>
      <w:r w:rsidRPr="009E323D">
        <w:rPr>
          <w:rFonts w:ascii="Trebuchet MS" w:eastAsiaTheme="minorHAnsi" w:hAnsi="Trebuchet MS" w:cstheme="minorBidi"/>
          <w:b/>
          <w:sz w:val="20"/>
        </w:rPr>
        <w:t xml:space="preserve"> minutos</w:t>
      </w:r>
      <w:r w:rsidR="00763B9F">
        <w:rPr>
          <w:rFonts w:ascii="Trebuchet MS" w:eastAsiaTheme="minorHAnsi" w:hAnsi="Trebuchet MS" w:cstheme="minorBidi"/>
          <w:b/>
          <w:sz w:val="20"/>
        </w:rPr>
        <w:t xml:space="preserve">. </w:t>
      </w:r>
      <w:r w:rsidR="00763B9F" w:rsidRPr="00763B9F">
        <w:rPr>
          <w:rFonts w:ascii="Trebuchet MS" w:eastAsiaTheme="minorHAnsi" w:hAnsi="Trebuchet MS" w:cstheme="minorBidi"/>
          <w:sz w:val="20"/>
        </w:rPr>
        <w:t>A solução de perfusão era sat</w:t>
      </w:r>
      <w:r w:rsidR="00763B9F" w:rsidRPr="00763B9F">
        <w:rPr>
          <w:rFonts w:ascii="Trebuchet MS" w:eastAsiaTheme="minorHAnsi" w:hAnsi="Trebuchet MS" w:cstheme="minorBidi"/>
          <w:sz w:val="20"/>
        </w:rPr>
        <w:t>u</w:t>
      </w:r>
      <w:r w:rsidR="00763B9F" w:rsidRPr="00763B9F">
        <w:rPr>
          <w:rFonts w:ascii="Trebuchet MS" w:eastAsiaTheme="minorHAnsi" w:hAnsi="Trebuchet MS" w:cstheme="minorBidi"/>
          <w:sz w:val="20"/>
        </w:rPr>
        <w:t>rada</w:t>
      </w:r>
      <w:r w:rsidRPr="00763B9F">
        <w:rPr>
          <w:rFonts w:ascii="Trebuchet MS" w:eastAsiaTheme="minorHAnsi" w:hAnsi="Trebuchet MS" w:cstheme="minorBidi"/>
          <w:sz w:val="20"/>
        </w:rPr>
        <w:t xml:space="preserve"> com carbogénio </w:t>
      </w:r>
      <w:r w:rsidR="00763B9F">
        <w:rPr>
          <w:rFonts w:ascii="Trebuchet MS" w:eastAsiaTheme="minorHAnsi" w:hAnsi="Trebuchet MS" w:cstheme="minorBidi"/>
          <w:sz w:val="20"/>
        </w:rPr>
        <w:t>antes</w:t>
      </w:r>
      <w:r w:rsidRPr="00763B9F">
        <w:rPr>
          <w:rFonts w:ascii="Trebuchet MS" w:eastAsiaTheme="minorHAnsi" w:hAnsi="Trebuchet MS" w:cstheme="minorBidi"/>
          <w:sz w:val="20"/>
        </w:rPr>
        <w:t xml:space="preserve"> e durante o pré</w:t>
      </w:r>
      <w:r w:rsidRPr="009E323D">
        <w:rPr>
          <w:rFonts w:ascii="Trebuchet MS" w:eastAsiaTheme="minorHAnsi" w:hAnsi="Trebuchet MS" w:cstheme="minorBidi"/>
          <w:sz w:val="20"/>
        </w:rPr>
        <w:t xml:space="preserve">-condicionamento. A seguir ao pré-condicionamento químico, as fatias permanecem em reperfusão/reoxigenação durante 3h (Sigaut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2009). Após o período de recuperação, submeteram-se as fatias agudas à POG durante 20 minutos.</w:t>
      </w:r>
      <w:r w:rsidR="00AB0F30">
        <w:rPr>
          <w:rFonts w:ascii="Trebuchet MS" w:eastAsiaTheme="minorHAnsi" w:hAnsi="Trebuchet MS" w:cstheme="minorBidi"/>
          <w:sz w:val="20"/>
        </w:rPr>
        <w:t xml:space="preserve"> Realizaram-se também dois ensaios controlo: um ensaio idêntico ao ant</w:t>
      </w:r>
      <w:r w:rsidR="00AB0F30">
        <w:rPr>
          <w:rFonts w:ascii="Trebuchet MS" w:eastAsiaTheme="minorHAnsi" w:hAnsi="Trebuchet MS" w:cstheme="minorBidi"/>
          <w:sz w:val="20"/>
        </w:rPr>
        <w:t>e</w:t>
      </w:r>
      <w:r w:rsidR="00AB0F30">
        <w:rPr>
          <w:rFonts w:ascii="Trebuchet MS" w:eastAsiaTheme="minorHAnsi" w:hAnsi="Trebuchet MS" w:cstheme="minorBidi"/>
          <w:sz w:val="20"/>
        </w:rPr>
        <w:t xml:space="preserve">rior mas em que o período de CPC foi </w:t>
      </w:r>
      <w:proofErr w:type="gramStart"/>
      <w:r w:rsidR="00AB0F30">
        <w:rPr>
          <w:rFonts w:ascii="Trebuchet MS" w:eastAsiaTheme="minorHAnsi" w:hAnsi="Trebuchet MS" w:cstheme="minorBidi"/>
          <w:sz w:val="20"/>
        </w:rPr>
        <w:t>omitido</w:t>
      </w:r>
      <w:proofErr w:type="gramEnd"/>
      <w:r w:rsidR="00AB0F30">
        <w:rPr>
          <w:rFonts w:ascii="Trebuchet MS" w:eastAsiaTheme="minorHAnsi" w:hAnsi="Trebuchet MS" w:cstheme="minorBidi"/>
          <w:sz w:val="20"/>
        </w:rPr>
        <w:t xml:space="preserve"> e outro ensaio em que não foi aplicado qua</w:t>
      </w:r>
      <w:r w:rsidR="00AB0F30">
        <w:rPr>
          <w:rFonts w:ascii="Trebuchet MS" w:eastAsiaTheme="minorHAnsi" w:hAnsi="Trebuchet MS" w:cstheme="minorBidi"/>
          <w:sz w:val="20"/>
        </w:rPr>
        <w:t>l</w:t>
      </w:r>
      <w:r w:rsidR="00AB0F30">
        <w:rPr>
          <w:rFonts w:ascii="Trebuchet MS" w:eastAsiaTheme="minorHAnsi" w:hAnsi="Trebuchet MS" w:cstheme="minorBidi"/>
          <w:sz w:val="20"/>
        </w:rPr>
        <w:t>quer período de POG</w:t>
      </w:r>
      <w:r w:rsidR="002847BE">
        <w:rPr>
          <w:rFonts w:ascii="Trebuchet MS" w:eastAsiaTheme="minorHAnsi" w:hAnsi="Trebuchet MS" w:cstheme="minorBidi"/>
          <w:sz w:val="20"/>
        </w:rPr>
        <w:t xml:space="preserve"> (insulto neurotóxico)</w:t>
      </w:r>
      <w:r w:rsidR="002847BE" w:rsidRPr="009E323D">
        <w:rPr>
          <w:rFonts w:ascii="Trebuchet MS" w:eastAsiaTheme="minorHAnsi" w:hAnsi="Trebuchet MS" w:cstheme="minorBidi"/>
          <w:sz w:val="20"/>
        </w:rPr>
        <w:t>.</w:t>
      </w:r>
      <w:r w:rsidR="002847BE">
        <w:rPr>
          <w:rFonts w:ascii="Trebuchet MS" w:eastAsiaTheme="minorHAnsi" w:hAnsi="Trebuchet MS" w:cstheme="minorBidi"/>
          <w:sz w:val="20"/>
        </w:rPr>
        <w:t xml:space="preserve"> Realizaram-se também dois ensaios controlo: um ensaio idêntico ao anterior mas em que o período de CPC foi </w:t>
      </w:r>
      <w:proofErr w:type="gramStart"/>
      <w:r w:rsidR="002847BE">
        <w:rPr>
          <w:rFonts w:ascii="Trebuchet MS" w:eastAsiaTheme="minorHAnsi" w:hAnsi="Trebuchet MS" w:cstheme="minorBidi"/>
          <w:sz w:val="20"/>
        </w:rPr>
        <w:t>omitido</w:t>
      </w:r>
      <w:proofErr w:type="gramEnd"/>
      <w:r w:rsidR="002847BE">
        <w:rPr>
          <w:rFonts w:ascii="Trebuchet MS" w:eastAsiaTheme="minorHAnsi" w:hAnsi="Trebuchet MS" w:cstheme="minorBidi"/>
          <w:sz w:val="20"/>
        </w:rPr>
        <w:t xml:space="preserve"> e outro ensaio em que não foi aplicado qualquer período de POG</w:t>
      </w:r>
      <w:r w:rsidR="00AB0F30">
        <w:rPr>
          <w:rFonts w:ascii="Trebuchet MS" w:eastAsiaTheme="minorHAnsi" w:hAnsi="Trebuchet MS" w:cstheme="minorBidi"/>
          <w:sz w:val="20"/>
        </w:rPr>
        <w:t>.</w:t>
      </w:r>
    </w:p>
    <w:p w:rsidR="00FA0BA8" w:rsidRDefault="00FA0BA8" w:rsidP="007F2525">
      <w:pPr>
        <w:autoSpaceDE w:val="0"/>
        <w:autoSpaceDN w:val="0"/>
        <w:adjustRightInd w:val="0"/>
        <w:spacing w:line="360" w:lineRule="auto"/>
        <w:jc w:val="both"/>
        <w:rPr>
          <w:rFonts w:ascii="Trebuchet MS" w:eastAsiaTheme="minorHAnsi" w:hAnsi="Trebuchet MS" w:cstheme="minorBidi"/>
          <w:sz w:val="20"/>
        </w:rPr>
      </w:pPr>
      <w:r>
        <w:rPr>
          <w:rFonts w:ascii="Trebuchet MS" w:eastAsiaTheme="minorHAnsi" w:hAnsi="Trebuchet MS" w:cstheme="minorBidi"/>
          <w:sz w:val="20"/>
        </w:rPr>
        <w:tab/>
      </w:r>
    </w:p>
    <w:tbl>
      <w:tblPr>
        <w:tblStyle w:val="Tabelacomgrelh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881"/>
        <w:gridCol w:w="2881"/>
        <w:gridCol w:w="2882"/>
      </w:tblGrid>
      <w:tr w:rsidR="007F2525" w:rsidRPr="00751D14" w:rsidTr="007F2525">
        <w:trPr>
          <w:jc w:val="center"/>
        </w:trPr>
        <w:tc>
          <w:tcPr>
            <w:tcW w:w="2881" w:type="dxa"/>
          </w:tcPr>
          <w:p w:rsidR="007F2525" w:rsidRPr="00751D14" w:rsidRDefault="007F2525" w:rsidP="007F2525">
            <w:pPr>
              <w:autoSpaceDE w:val="0"/>
              <w:autoSpaceDN w:val="0"/>
              <w:adjustRightInd w:val="0"/>
              <w:spacing w:line="360" w:lineRule="auto"/>
              <w:jc w:val="both"/>
              <w:rPr>
                <w:rFonts w:ascii="Trebuchet MS" w:hAnsi="Trebuchet MS"/>
                <w:lang w:eastAsia="pt-PT"/>
              </w:rPr>
            </w:pPr>
            <w:r w:rsidRPr="00751D14">
              <w:rPr>
                <w:rFonts w:ascii="Trebuchet MS" w:hAnsi="Trebuchet MS"/>
                <w:b/>
                <w:shadow/>
                <w:noProof/>
                <w:color w:val="333399"/>
                <w:lang w:eastAsia="pt-PT"/>
              </w:rPr>
              <w:drawing>
                <wp:inline distT="0" distB="0" distL="0" distR="0">
                  <wp:extent cx="1628647" cy="1221485"/>
                  <wp:effectExtent l="19050" t="0" r="0" b="0"/>
                  <wp:docPr id="17" name="Imagem 5" descr="C:\Users\Blandina Esteves\Desktop\Tese Mestrado BQ\Fotos Mestrado BQ\S7000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landina Esteves\Desktop\Tese Mestrado BQ\Fotos Mestrado BQ\S7000395.JPG"/>
                          <pic:cNvPicPr>
                            <a:picLocks noChangeAspect="1" noChangeArrowheads="1"/>
                          </pic:cNvPicPr>
                        </pic:nvPicPr>
                        <pic:blipFill>
                          <a:blip r:embed="rId38" cstate="print"/>
                          <a:srcRect/>
                          <a:stretch>
                            <a:fillRect/>
                          </a:stretch>
                        </pic:blipFill>
                        <pic:spPr bwMode="auto">
                          <a:xfrm>
                            <a:off x="0" y="0"/>
                            <a:ext cx="1630104" cy="1222578"/>
                          </a:xfrm>
                          <a:prstGeom prst="rect">
                            <a:avLst/>
                          </a:prstGeom>
                          <a:noFill/>
                          <a:ln w="9525">
                            <a:noFill/>
                            <a:miter lim="800000"/>
                            <a:headEnd/>
                            <a:tailEnd/>
                          </a:ln>
                        </pic:spPr>
                      </pic:pic>
                    </a:graphicData>
                  </a:graphic>
                </wp:inline>
              </w:drawing>
            </w:r>
          </w:p>
        </w:tc>
        <w:tc>
          <w:tcPr>
            <w:tcW w:w="2881" w:type="dxa"/>
          </w:tcPr>
          <w:p w:rsidR="007F2525" w:rsidRPr="00751D14" w:rsidRDefault="007F2525" w:rsidP="007F2525">
            <w:pPr>
              <w:autoSpaceDE w:val="0"/>
              <w:autoSpaceDN w:val="0"/>
              <w:adjustRightInd w:val="0"/>
              <w:spacing w:line="360" w:lineRule="auto"/>
              <w:jc w:val="both"/>
              <w:rPr>
                <w:rFonts w:ascii="Trebuchet MS" w:hAnsi="Trebuchet MS"/>
                <w:lang w:eastAsia="pt-PT"/>
              </w:rPr>
            </w:pPr>
            <w:r w:rsidRPr="00751D14">
              <w:rPr>
                <w:rFonts w:ascii="Trebuchet MS" w:hAnsi="Trebuchet MS"/>
                <w:noProof/>
                <w:lang w:eastAsia="pt-PT"/>
              </w:rPr>
              <w:drawing>
                <wp:inline distT="0" distB="0" distL="0" distR="0">
                  <wp:extent cx="1637777" cy="1228549"/>
                  <wp:effectExtent l="19050" t="0" r="523" b="0"/>
                  <wp:docPr id="18" name="Imagem 1" descr="C:\Users\Blandina Esteves\Desktop\Tese Mestrado BQ\Fotos Mestrado BQ\S70003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dina Esteves\Desktop\Tese Mestrado BQ\Fotos Mestrado BQ\S7000371.JPG"/>
                          <pic:cNvPicPr>
                            <a:picLocks noChangeAspect="1" noChangeArrowheads="1"/>
                          </pic:cNvPicPr>
                        </pic:nvPicPr>
                        <pic:blipFill>
                          <a:blip r:embed="rId39" cstate="print"/>
                          <a:srcRect/>
                          <a:stretch>
                            <a:fillRect/>
                          </a:stretch>
                        </pic:blipFill>
                        <pic:spPr bwMode="auto">
                          <a:xfrm>
                            <a:off x="0" y="0"/>
                            <a:ext cx="1639215" cy="1229628"/>
                          </a:xfrm>
                          <a:prstGeom prst="rect">
                            <a:avLst/>
                          </a:prstGeom>
                          <a:noFill/>
                          <a:ln w="9525">
                            <a:noFill/>
                            <a:miter lim="800000"/>
                            <a:headEnd/>
                            <a:tailEnd/>
                          </a:ln>
                        </pic:spPr>
                      </pic:pic>
                    </a:graphicData>
                  </a:graphic>
                </wp:inline>
              </w:drawing>
            </w:r>
          </w:p>
        </w:tc>
        <w:tc>
          <w:tcPr>
            <w:tcW w:w="2882" w:type="dxa"/>
          </w:tcPr>
          <w:p w:rsidR="007F2525" w:rsidRPr="00751D14" w:rsidRDefault="007F2525" w:rsidP="007F2525">
            <w:pPr>
              <w:autoSpaceDE w:val="0"/>
              <w:autoSpaceDN w:val="0"/>
              <w:adjustRightInd w:val="0"/>
              <w:spacing w:line="360" w:lineRule="auto"/>
              <w:jc w:val="both"/>
              <w:rPr>
                <w:rFonts w:ascii="Trebuchet MS" w:hAnsi="Trebuchet MS"/>
                <w:lang w:eastAsia="pt-PT"/>
              </w:rPr>
            </w:pPr>
            <w:r w:rsidRPr="00751D14">
              <w:rPr>
                <w:rFonts w:ascii="Trebuchet MS" w:hAnsi="Trebuchet MS"/>
                <w:noProof/>
                <w:lang w:eastAsia="pt-PT"/>
              </w:rPr>
              <w:drawing>
                <wp:inline distT="0" distB="0" distL="0" distR="0">
                  <wp:extent cx="1630299" cy="1222940"/>
                  <wp:effectExtent l="19050" t="0" r="8001" b="0"/>
                  <wp:docPr id="19" name="Imagem 2" descr="C:\Users\Blandina Esteves\Desktop\Tese Mestrado BQ\Fotos Mestrado BQ\S70003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landina Esteves\Desktop\Tese Mestrado BQ\Fotos Mestrado BQ\S7000373.JPG"/>
                          <pic:cNvPicPr>
                            <a:picLocks noChangeAspect="1" noChangeArrowheads="1"/>
                          </pic:cNvPicPr>
                        </pic:nvPicPr>
                        <pic:blipFill>
                          <a:blip r:embed="rId40" cstate="print"/>
                          <a:srcRect/>
                          <a:stretch>
                            <a:fillRect/>
                          </a:stretch>
                        </pic:blipFill>
                        <pic:spPr bwMode="auto">
                          <a:xfrm>
                            <a:off x="0" y="0"/>
                            <a:ext cx="1630532" cy="1223115"/>
                          </a:xfrm>
                          <a:prstGeom prst="rect">
                            <a:avLst/>
                          </a:prstGeom>
                          <a:noFill/>
                          <a:ln w="9525">
                            <a:noFill/>
                            <a:miter lim="800000"/>
                            <a:headEnd/>
                            <a:tailEnd/>
                          </a:ln>
                        </pic:spPr>
                      </pic:pic>
                    </a:graphicData>
                  </a:graphic>
                </wp:inline>
              </w:drawing>
            </w:r>
          </w:p>
        </w:tc>
      </w:tr>
    </w:tbl>
    <w:p w:rsidR="007F2525" w:rsidRPr="009E323D" w:rsidRDefault="007F2525" w:rsidP="007F2525">
      <w:pPr>
        <w:spacing w:line="360" w:lineRule="auto"/>
        <w:jc w:val="center"/>
        <w:rPr>
          <w:rFonts w:ascii="Trebuchet MS" w:hAnsi="Trebuchet MS"/>
          <w:b/>
          <w:shadow/>
          <w:color w:val="333399"/>
          <w:sz w:val="20"/>
        </w:rPr>
      </w:pPr>
      <w:r w:rsidRPr="009E323D">
        <w:rPr>
          <w:rFonts w:ascii="Trebuchet MS" w:hAnsi="Trebuchet MS"/>
          <w:b/>
          <w:sz w:val="18"/>
        </w:rPr>
        <w:t>Fig.3.9.</w:t>
      </w:r>
      <w:r w:rsidRPr="009E323D">
        <w:rPr>
          <w:rFonts w:ascii="Trebuchet MS" w:hAnsi="Trebuchet MS"/>
          <w:sz w:val="18"/>
        </w:rPr>
        <w:t xml:space="preserve"> Pré-condicionamento químico com CPA e adenosina.</w:t>
      </w:r>
    </w:p>
    <w:p w:rsidR="00BA394E" w:rsidRPr="00751D14" w:rsidRDefault="00BA394E" w:rsidP="002861BA">
      <w:pPr>
        <w:spacing w:line="276" w:lineRule="auto"/>
        <w:rPr>
          <w:rFonts w:ascii="Trebuchet MS" w:hAnsi="Trebuchet MS"/>
          <w:b/>
          <w:shadow/>
          <w:color w:val="333399"/>
        </w:rPr>
      </w:pPr>
      <w:r w:rsidRPr="00751D14">
        <w:rPr>
          <w:rFonts w:ascii="Trebuchet MS" w:hAnsi="Trebuchet MS"/>
          <w:b/>
          <w:shadow/>
          <w:color w:val="333399"/>
        </w:rPr>
        <w:lastRenderedPageBreak/>
        <w:t>3.3.5. Métodos para avaliação e quantificação da sobrevivência/morte ne</w:t>
      </w:r>
      <w:r w:rsidRPr="00751D14">
        <w:rPr>
          <w:rFonts w:ascii="Trebuchet MS" w:hAnsi="Trebuchet MS"/>
          <w:b/>
          <w:shadow/>
          <w:color w:val="333399"/>
        </w:rPr>
        <w:t>u</w:t>
      </w:r>
      <w:r w:rsidRPr="00751D14">
        <w:rPr>
          <w:rFonts w:ascii="Trebuchet MS" w:hAnsi="Trebuchet MS"/>
          <w:b/>
          <w:shadow/>
          <w:color w:val="333399"/>
        </w:rPr>
        <w:t>ronal</w:t>
      </w:r>
    </w:p>
    <w:p w:rsidR="00101F6D" w:rsidRPr="009E323D" w:rsidRDefault="00101F6D" w:rsidP="00EF590C">
      <w:pPr>
        <w:spacing w:before="120" w:after="360" w:line="360" w:lineRule="auto"/>
        <w:ind w:firstLine="708"/>
        <w:jc w:val="both"/>
        <w:rPr>
          <w:rFonts w:ascii="Trebuchet MS" w:eastAsiaTheme="minorHAnsi" w:hAnsi="Trebuchet MS" w:cstheme="minorBidi"/>
          <w:b/>
          <w:sz w:val="20"/>
        </w:rPr>
      </w:pPr>
      <w:r w:rsidRPr="009E323D">
        <w:rPr>
          <w:rFonts w:ascii="Trebuchet MS" w:eastAsiaTheme="minorHAnsi" w:hAnsi="Trebuchet MS" w:cs="Arial"/>
          <w:sz w:val="20"/>
          <w:shd w:val="clear" w:color="auto" w:fill="FFFFFF"/>
        </w:rPr>
        <w:t>A avaliação e quantificação da sobrevivência/morte neuronal face aos insultos isqu</w:t>
      </w:r>
      <w:r w:rsidRPr="009E323D">
        <w:rPr>
          <w:rFonts w:ascii="Trebuchet MS" w:eastAsiaTheme="minorHAnsi" w:hAnsi="Trebuchet MS" w:cs="Arial"/>
          <w:sz w:val="20"/>
          <w:shd w:val="clear" w:color="auto" w:fill="FFFFFF"/>
        </w:rPr>
        <w:t>é</w:t>
      </w:r>
      <w:r w:rsidRPr="009E323D">
        <w:rPr>
          <w:rFonts w:ascii="Trebuchet MS" w:eastAsiaTheme="minorHAnsi" w:hAnsi="Trebuchet MS" w:cs="Arial"/>
          <w:sz w:val="20"/>
          <w:shd w:val="clear" w:color="auto" w:fill="FFFFFF"/>
        </w:rPr>
        <w:t xml:space="preserve">micos (POG) foi avaliada através de três métodos, que nos permitiram quantificar os danos neuronais: </w:t>
      </w:r>
      <w:r w:rsidRPr="009E323D">
        <w:rPr>
          <w:rFonts w:ascii="Trebuchet MS" w:eastAsiaTheme="minorHAnsi" w:hAnsi="Trebuchet MS" w:cs="Arial"/>
          <w:b/>
          <w:sz w:val="20"/>
          <w:shd w:val="clear" w:color="auto" w:fill="FFFFFF"/>
        </w:rPr>
        <w:t xml:space="preserve">TTC, Caspase-3 </w:t>
      </w:r>
      <w:r w:rsidRPr="009E323D">
        <w:rPr>
          <w:rFonts w:ascii="Trebuchet MS" w:eastAsiaTheme="minorHAnsi" w:hAnsi="Trebuchet MS" w:cs="Arial"/>
          <w:sz w:val="20"/>
          <w:shd w:val="clear" w:color="auto" w:fill="FFFFFF"/>
        </w:rPr>
        <w:t>e</w:t>
      </w:r>
      <w:r w:rsidRPr="009E323D">
        <w:rPr>
          <w:rFonts w:ascii="Trebuchet MS" w:eastAsiaTheme="minorHAnsi" w:hAnsi="Trebuchet MS" w:cs="Arial"/>
          <w:b/>
          <w:sz w:val="20"/>
          <w:shd w:val="clear" w:color="auto" w:fill="FFFFFF"/>
        </w:rPr>
        <w:t xml:space="preserve"> Libertação da LDH.</w:t>
      </w:r>
    </w:p>
    <w:p w:rsidR="00101F6D" w:rsidRDefault="00101F6D" w:rsidP="0016238F">
      <w:pPr>
        <w:spacing w:line="276" w:lineRule="auto"/>
        <w:jc w:val="both"/>
        <w:rPr>
          <w:rFonts w:ascii="Trebuchet MS" w:hAnsi="Trebuchet MS"/>
          <w:b/>
          <w:shadow/>
          <w:color w:val="333399"/>
          <w:sz w:val="23"/>
          <w:szCs w:val="23"/>
        </w:rPr>
      </w:pPr>
      <w:r w:rsidRPr="00751D14">
        <w:rPr>
          <w:rFonts w:ascii="Trebuchet MS" w:hAnsi="Trebuchet MS"/>
          <w:b/>
          <w:shadow/>
          <w:color w:val="333399"/>
        </w:rPr>
        <w:t xml:space="preserve">           3.3.5.1. </w:t>
      </w:r>
      <w:r w:rsidR="0038391A">
        <w:rPr>
          <w:rFonts w:ascii="Trebuchet MS" w:hAnsi="Trebuchet MS"/>
          <w:b/>
          <w:shadow/>
          <w:color w:val="333399"/>
        </w:rPr>
        <w:t xml:space="preserve">Método do </w:t>
      </w:r>
      <w:r w:rsidRPr="00751D14">
        <w:rPr>
          <w:rFonts w:ascii="Trebuchet MS" w:hAnsi="Trebuchet MS"/>
          <w:b/>
          <w:shadow/>
          <w:color w:val="333399"/>
        </w:rPr>
        <w:t xml:space="preserve">TTC </w:t>
      </w:r>
      <w:r w:rsidRPr="00751D14">
        <w:rPr>
          <w:rFonts w:ascii="Trebuchet MS" w:hAnsi="Trebuchet MS"/>
          <w:b/>
          <w:shadow/>
          <w:color w:val="333399"/>
          <w:sz w:val="23"/>
          <w:szCs w:val="23"/>
        </w:rPr>
        <w:t>(</w:t>
      </w:r>
      <w:r w:rsidR="0038391A">
        <w:rPr>
          <w:rFonts w:ascii="Trebuchet MS" w:hAnsi="Trebuchet MS"/>
          <w:b/>
          <w:shadow/>
          <w:color w:val="333399"/>
          <w:sz w:val="23"/>
          <w:szCs w:val="23"/>
        </w:rPr>
        <w:t>Avaliação da v</w:t>
      </w:r>
      <w:r w:rsidRPr="00751D14">
        <w:rPr>
          <w:rFonts w:ascii="Trebuchet MS" w:hAnsi="Trebuchet MS"/>
          <w:b/>
          <w:shadow/>
          <w:color w:val="333399"/>
          <w:sz w:val="23"/>
          <w:szCs w:val="23"/>
        </w:rPr>
        <w:t xml:space="preserve">iabilidade celular através da actividade </w:t>
      </w:r>
      <w:r w:rsidR="0016238F">
        <w:rPr>
          <w:rFonts w:ascii="Trebuchet MS" w:hAnsi="Trebuchet MS"/>
          <w:b/>
          <w:shadow/>
          <w:color w:val="333399"/>
          <w:sz w:val="23"/>
          <w:szCs w:val="23"/>
        </w:rPr>
        <w:t>respiratória</w:t>
      </w:r>
      <w:r w:rsidRPr="00751D14">
        <w:rPr>
          <w:rFonts w:ascii="Trebuchet MS" w:hAnsi="Trebuchet MS"/>
          <w:b/>
          <w:shadow/>
          <w:color w:val="333399"/>
          <w:sz w:val="23"/>
          <w:szCs w:val="23"/>
        </w:rPr>
        <w:t xml:space="preserve"> mitocondrial)</w:t>
      </w:r>
    </w:p>
    <w:p w:rsidR="002861BA" w:rsidRPr="00751D14" w:rsidRDefault="002861BA" w:rsidP="002861BA">
      <w:pPr>
        <w:spacing w:line="276" w:lineRule="auto"/>
        <w:rPr>
          <w:rFonts w:ascii="Trebuchet MS" w:hAnsi="Trebuchet MS"/>
          <w:b/>
          <w:shadow/>
          <w:color w:val="333399"/>
          <w:sz w:val="23"/>
          <w:szCs w:val="23"/>
        </w:rPr>
      </w:pPr>
    </w:p>
    <w:p w:rsidR="00EE19A9" w:rsidRPr="009E323D" w:rsidRDefault="00EE19A9" w:rsidP="00EE19A9">
      <w:pPr>
        <w:spacing w:after="200" w:line="360" w:lineRule="auto"/>
        <w:ind w:firstLine="720"/>
        <w:contextualSpacing/>
        <w:jc w:val="both"/>
        <w:rPr>
          <w:rFonts w:ascii="Trebuchet MS" w:eastAsiaTheme="minorHAnsi" w:hAnsi="Trebuchet MS" w:cs="Arial"/>
          <w:sz w:val="20"/>
          <w:szCs w:val="20"/>
          <w:shd w:val="clear" w:color="auto" w:fill="FFFFFF"/>
        </w:rPr>
      </w:pPr>
      <w:r w:rsidRPr="009E323D">
        <w:rPr>
          <w:rFonts w:ascii="Trebuchet MS" w:eastAsiaTheme="minorHAnsi" w:hAnsi="Trebuchet MS" w:cs="Arial"/>
          <w:sz w:val="20"/>
          <w:szCs w:val="20"/>
          <w:shd w:val="clear" w:color="auto" w:fill="FFFFFF"/>
        </w:rPr>
        <w:t xml:space="preserve">O TTC pode ser usado como um </w:t>
      </w:r>
      <w:r w:rsidRPr="009E323D">
        <w:rPr>
          <w:rFonts w:ascii="Trebuchet MS" w:eastAsiaTheme="minorHAnsi" w:hAnsi="Trebuchet MS" w:cs="Arial"/>
          <w:sz w:val="20"/>
          <w:szCs w:val="20"/>
          <w:u w:val="single"/>
          <w:shd w:val="clear" w:color="auto" w:fill="FFFFFF"/>
        </w:rPr>
        <w:t>método simples, objectivo e sensível</w:t>
      </w:r>
      <w:r w:rsidRPr="009E323D">
        <w:rPr>
          <w:rFonts w:ascii="Trebuchet MS" w:eastAsiaTheme="minorHAnsi" w:hAnsi="Trebuchet MS" w:cs="Arial"/>
          <w:sz w:val="20"/>
          <w:szCs w:val="20"/>
          <w:shd w:val="clear" w:color="auto" w:fill="FFFFFF"/>
        </w:rPr>
        <w:t xml:space="preserve"> na avaliação da isquémia cerebral </w:t>
      </w:r>
      <w:proofErr w:type="gramStart"/>
      <w:r w:rsidR="00194A32" w:rsidRPr="009E323D">
        <w:rPr>
          <w:rFonts w:ascii="Trebuchet MS" w:eastAsiaTheme="minorHAnsi" w:hAnsi="Trebuchet MS" w:cs="Arial"/>
          <w:i/>
          <w:sz w:val="20"/>
          <w:szCs w:val="20"/>
          <w:shd w:val="clear" w:color="auto" w:fill="FFFFFF"/>
        </w:rPr>
        <w:t>in vitro</w:t>
      </w:r>
      <w:proofErr w:type="gramEnd"/>
      <w:r w:rsidR="00194A32" w:rsidRPr="009E323D">
        <w:rPr>
          <w:rFonts w:ascii="Trebuchet MS" w:eastAsiaTheme="minorHAnsi" w:hAnsi="Trebuchet MS" w:cs="Arial"/>
          <w:i/>
          <w:sz w:val="20"/>
          <w:szCs w:val="20"/>
          <w:shd w:val="clear" w:color="auto" w:fill="FFFFFF"/>
        </w:rPr>
        <w:t xml:space="preserve"> </w:t>
      </w:r>
      <w:r w:rsidRPr="009E323D">
        <w:rPr>
          <w:rFonts w:ascii="Trebuchet MS" w:eastAsiaTheme="minorHAnsi" w:hAnsi="Trebuchet MS" w:cs="Arial"/>
          <w:sz w:val="20"/>
          <w:szCs w:val="20"/>
          <w:shd w:val="clear" w:color="auto" w:fill="FFFFFF"/>
        </w:rPr>
        <w:t xml:space="preserve">(Mathews </w:t>
      </w:r>
      <w:r w:rsidR="00F96813" w:rsidRPr="009E323D">
        <w:rPr>
          <w:rFonts w:ascii="Trebuchet MS" w:eastAsiaTheme="minorHAnsi" w:hAnsi="Trebuchet MS" w:cs="Arial"/>
          <w:i/>
          <w:sz w:val="20"/>
          <w:szCs w:val="20"/>
          <w:shd w:val="clear" w:color="auto" w:fill="FFFFFF"/>
        </w:rPr>
        <w:t>et al.</w:t>
      </w:r>
      <w:r w:rsidRPr="009E323D">
        <w:rPr>
          <w:rFonts w:ascii="Trebuchet MS" w:eastAsiaTheme="minorHAnsi" w:hAnsi="Trebuchet MS" w:cs="Arial"/>
          <w:sz w:val="20"/>
          <w:szCs w:val="20"/>
          <w:shd w:val="clear" w:color="auto" w:fill="FFFFFF"/>
        </w:rPr>
        <w:t xml:space="preserve">, 2000; Preston and Webster, 2000). A coloração com TTC detecta a viabilidade de neurónios, bem como, células da glia (Toner </w:t>
      </w:r>
      <w:r w:rsidR="00F96813" w:rsidRPr="009E323D">
        <w:rPr>
          <w:rFonts w:ascii="Trebuchet MS" w:eastAsiaTheme="minorHAnsi" w:hAnsi="Trebuchet MS" w:cs="Arial"/>
          <w:i/>
          <w:sz w:val="20"/>
          <w:szCs w:val="20"/>
          <w:shd w:val="clear" w:color="auto" w:fill="FFFFFF"/>
        </w:rPr>
        <w:t>et al.</w:t>
      </w:r>
      <w:r w:rsidRPr="009E323D">
        <w:rPr>
          <w:rFonts w:ascii="Trebuchet MS" w:eastAsiaTheme="minorHAnsi" w:hAnsi="Trebuchet MS" w:cs="Arial"/>
          <w:sz w:val="20"/>
          <w:szCs w:val="20"/>
          <w:shd w:val="clear" w:color="auto" w:fill="FFFFFF"/>
        </w:rPr>
        <w:t>, 2002).</w:t>
      </w:r>
    </w:p>
    <w:p w:rsidR="00EE19A9" w:rsidRPr="009E323D" w:rsidRDefault="00EE19A9" w:rsidP="00EE19A9">
      <w:pPr>
        <w:spacing w:after="200" w:line="360" w:lineRule="auto"/>
        <w:ind w:firstLine="709"/>
        <w:contextualSpacing/>
        <w:jc w:val="both"/>
        <w:rPr>
          <w:rFonts w:ascii="Trebuchet MS" w:eastAsiaTheme="minorHAnsi" w:hAnsi="Trebuchet MS" w:cs="Arial"/>
          <w:sz w:val="20"/>
          <w:szCs w:val="20"/>
          <w:shd w:val="clear" w:color="auto" w:fill="FFFFFF"/>
        </w:rPr>
      </w:pPr>
      <w:r w:rsidRPr="009E323D">
        <w:rPr>
          <w:rFonts w:ascii="Trebuchet MS" w:eastAsiaTheme="minorHAnsi" w:hAnsi="Trebuchet MS" w:cs="Arial"/>
          <w:sz w:val="20"/>
          <w:szCs w:val="20"/>
          <w:shd w:val="clear" w:color="auto" w:fill="FFFFFF"/>
        </w:rPr>
        <w:t>Em tecido saudável, o TTC é enzimaticamente reduzido a formazan (Fig. 3.10), ve</w:t>
      </w:r>
      <w:r w:rsidRPr="009E323D">
        <w:rPr>
          <w:rFonts w:ascii="Trebuchet MS" w:eastAsiaTheme="minorHAnsi" w:hAnsi="Trebuchet MS" w:cs="Arial"/>
          <w:sz w:val="20"/>
          <w:szCs w:val="20"/>
          <w:shd w:val="clear" w:color="auto" w:fill="FFFFFF"/>
        </w:rPr>
        <w:t>r</w:t>
      </w:r>
      <w:r w:rsidRPr="009E323D">
        <w:rPr>
          <w:rFonts w:ascii="Trebuchet MS" w:eastAsiaTheme="minorHAnsi" w:hAnsi="Trebuchet MS" w:cs="Arial"/>
          <w:sz w:val="20"/>
          <w:szCs w:val="20"/>
          <w:shd w:val="clear" w:color="auto" w:fill="FFFFFF"/>
        </w:rPr>
        <w:t xml:space="preserve">melho insolúvel, por desidrogenases, que são mais abundantes na mitocôndria (Benedek </w:t>
      </w:r>
      <w:r w:rsidR="00F96813" w:rsidRPr="009E323D">
        <w:rPr>
          <w:rFonts w:ascii="Trebuchet MS" w:eastAsiaTheme="minorHAnsi" w:hAnsi="Trebuchet MS" w:cs="Arial"/>
          <w:i/>
          <w:sz w:val="20"/>
          <w:szCs w:val="20"/>
          <w:shd w:val="clear" w:color="auto" w:fill="FFFFFF"/>
        </w:rPr>
        <w:t>et al.</w:t>
      </w:r>
      <w:r w:rsidRPr="009E323D">
        <w:rPr>
          <w:rFonts w:ascii="Trebuchet MS" w:eastAsiaTheme="minorHAnsi" w:hAnsi="Trebuchet MS" w:cs="Arial"/>
          <w:sz w:val="20"/>
          <w:szCs w:val="20"/>
          <w:shd w:val="clear" w:color="auto" w:fill="FFFFFF"/>
        </w:rPr>
        <w:t xml:space="preserve">, 2006; </w:t>
      </w:r>
      <w:r w:rsidRPr="009E323D">
        <w:rPr>
          <w:rFonts w:ascii="Trebuchet MS" w:eastAsiaTheme="minorHAnsi" w:hAnsi="Trebuchet MS" w:cs="Arial"/>
          <w:bCs/>
          <w:sz w:val="20"/>
          <w:szCs w:val="20"/>
          <w:shd w:val="clear" w:color="auto" w:fill="FFFFFF"/>
        </w:rPr>
        <w:t xml:space="preserve">Mathews </w:t>
      </w:r>
      <w:r w:rsidR="00F96813" w:rsidRPr="009E323D">
        <w:rPr>
          <w:rFonts w:ascii="Trebuchet MS" w:eastAsiaTheme="minorHAnsi" w:hAnsi="Trebuchet MS" w:cs="Arial"/>
          <w:bCs/>
          <w:i/>
          <w:sz w:val="20"/>
          <w:szCs w:val="20"/>
          <w:shd w:val="clear" w:color="auto" w:fill="FFFFFF"/>
        </w:rPr>
        <w:t>et al.</w:t>
      </w:r>
      <w:r w:rsidRPr="009E323D">
        <w:rPr>
          <w:rFonts w:ascii="Trebuchet MS" w:eastAsiaTheme="minorHAnsi" w:hAnsi="Trebuchet MS" w:cs="Arial"/>
          <w:bCs/>
          <w:sz w:val="20"/>
          <w:szCs w:val="20"/>
          <w:shd w:val="clear" w:color="auto" w:fill="FFFFFF"/>
        </w:rPr>
        <w:t>, 2000</w:t>
      </w:r>
      <w:r w:rsidRPr="009E323D">
        <w:rPr>
          <w:rFonts w:ascii="Trebuchet MS" w:eastAsiaTheme="minorHAnsi" w:hAnsi="Trebuchet MS" w:cs="Arial"/>
          <w:sz w:val="20"/>
          <w:szCs w:val="20"/>
          <w:shd w:val="clear" w:color="auto" w:fill="FFFFFF"/>
        </w:rPr>
        <w:t>). Desta forma, o TTC é reduzido</w:t>
      </w:r>
      <w:r w:rsidR="00D70B0C">
        <w:rPr>
          <w:rFonts w:ascii="Trebuchet MS" w:eastAsiaTheme="minorHAnsi" w:hAnsi="Trebuchet MS" w:cs="Arial"/>
          <w:sz w:val="20"/>
          <w:szCs w:val="20"/>
          <w:shd w:val="clear" w:color="auto" w:fill="FFFFFF"/>
        </w:rPr>
        <w:t xml:space="preserve"> a formazan</w:t>
      </w:r>
      <w:r w:rsidRPr="009E323D">
        <w:rPr>
          <w:rFonts w:ascii="Trebuchet MS" w:eastAsiaTheme="minorHAnsi" w:hAnsi="Trebuchet MS" w:cs="Arial"/>
          <w:sz w:val="20"/>
          <w:szCs w:val="20"/>
          <w:shd w:val="clear" w:color="auto" w:fill="FFFFFF"/>
        </w:rPr>
        <w:t xml:space="preserve"> pela succinato desidrogenase presente nas mitocôndrias de células vivas (Lee </w:t>
      </w:r>
      <w:r w:rsidR="00F96813" w:rsidRPr="009E323D">
        <w:rPr>
          <w:rFonts w:ascii="Trebuchet MS" w:eastAsiaTheme="minorHAnsi" w:hAnsi="Trebuchet MS" w:cs="Arial"/>
          <w:i/>
          <w:sz w:val="20"/>
          <w:szCs w:val="20"/>
          <w:shd w:val="clear" w:color="auto" w:fill="FFFFFF"/>
        </w:rPr>
        <w:t>et al.</w:t>
      </w:r>
      <w:r w:rsidRPr="009E323D">
        <w:rPr>
          <w:rFonts w:ascii="Trebuchet MS" w:eastAsiaTheme="minorHAnsi" w:hAnsi="Trebuchet MS" w:cs="Arial"/>
          <w:sz w:val="20"/>
          <w:szCs w:val="20"/>
          <w:shd w:val="clear" w:color="auto" w:fill="FFFFFF"/>
        </w:rPr>
        <w:t xml:space="preserve">, 2008; </w:t>
      </w:r>
      <w:r w:rsidRPr="009E323D">
        <w:rPr>
          <w:rFonts w:ascii="Trebuchet MS" w:eastAsiaTheme="minorHAnsi" w:hAnsi="Trebuchet MS" w:cs="Arial"/>
          <w:sz w:val="20"/>
          <w:shd w:val="clear" w:color="auto" w:fill="FFFFFF"/>
        </w:rPr>
        <w:t xml:space="preserve">Preston and Webster, 2000). </w:t>
      </w:r>
      <w:r w:rsidRPr="009E323D">
        <w:rPr>
          <w:rFonts w:ascii="Trebuchet MS" w:eastAsiaTheme="minorHAnsi" w:hAnsi="Trebuchet MS"/>
          <w:sz w:val="20"/>
        </w:rPr>
        <w:t>Assim, as células que estão mortas ou que tenham sido prejudicadas pelo metabolismo oxidativo não coram, ou coram menos que as células saudáveis (</w:t>
      </w:r>
      <w:r w:rsidRPr="009E323D">
        <w:rPr>
          <w:rFonts w:ascii="Trebuchet MS" w:eastAsiaTheme="minorHAnsi" w:hAnsi="Trebuchet MS" w:cs="Arial"/>
          <w:sz w:val="20"/>
          <w:shd w:val="clear" w:color="auto" w:fill="FFFFFF"/>
        </w:rPr>
        <w:t xml:space="preserve">Toner </w:t>
      </w:r>
      <w:r w:rsidR="00F96813" w:rsidRPr="009E323D">
        <w:rPr>
          <w:rFonts w:ascii="Trebuchet MS" w:eastAsiaTheme="minorHAnsi" w:hAnsi="Trebuchet MS" w:cs="Arial"/>
          <w:i/>
          <w:sz w:val="20"/>
          <w:shd w:val="clear" w:color="auto" w:fill="FFFFFF"/>
        </w:rPr>
        <w:t>et al.</w:t>
      </w:r>
      <w:r w:rsidRPr="009E323D">
        <w:rPr>
          <w:rFonts w:ascii="Trebuchet MS" w:eastAsiaTheme="minorHAnsi" w:hAnsi="Trebuchet MS" w:cs="Arial"/>
          <w:sz w:val="20"/>
          <w:shd w:val="clear" w:color="auto" w:fill="FFFFFF"/>
        </w:rPr>
        <w:t>, 2002).</w:t>
      </w:r>
      <w:r w:rsidRPr="009E323D">
        <w:rPr>
          <w:rFonts w:ascii="Trebuchet MS" w:eastAsiaTheme="minorHAnsi" w:hAnsi="Trebuchet MS" w:cs="Arial"/>
          <w:sz w:val="20"/>
          <w:szCs w:val="20"/>
          <w:shd w:val="clear" w:color="auto" w:fill="FFFFFF"/>
        </w:rPr>
        <w:t xml:space="preserve"> </w:t>
      </w:r>
    </w:p>
    <w:p w:rsidR="00CB53FD" w:rsidRDefault="00CB53FD" w:rsidP="00CB53FD">
      <w:pPr>
        <w:spacing w:line="360" w:lineRule="auto"/>
        <w:contextualSpacing/>
        <w:jc w:val="center"/>
        <w:rPr>
          <w:rFonts w:ascii="Trebuchet MS" w:eastAsiaTheme="minorHAnsi" w:hAnsi="Trebuchet MS" w:cs="Arial"/>
          <w:sz w:val="20"/>
          <w:szCs w:val="20"/>
          <w:shd w:val="clear" w:color="auto" w:fill="FFFFFF"/>
        </w:rPr>
      </w:pPr>
      <w:r w:rsidRPr="00751D14">
        <w:rPr>
          <w:rFonts w:ascii="Trebuchet MS" w:eastAsiaTheme="minorHAnsi" w:hAnsi="Trebuchet MS" w:cs="Arial"/>
          <w:noProof/>
          <w:color w:val="365F91" w:themeColor="accent1" w:themeShade="BF"/>
          <w:sz w:val="20"/>
          <w:szCs w:val="20"/>
          <w:lang w:eastAsia="pt-PT"/>
        </w:rPr>
        <w:drawing>
          <wp:inline distT="0" distB="0" distL="0" distR="0">
            <wp:extent cx="3736488" cy="1257300"/>
            <wp:effectExtent l="19050" t="0" r="0" b="0"/>
            <wp:docPr id="42" name="il_fi" descr="http://upload.wikimedia.org/wikipedia/commons/7/70/Tetrazolium_reduc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upload.wikimedia.org/wikipedia/commons/7/70/Tetrazolium_reduction.png"/>
                    <pic:cNvPicPr>
                      <a:picLocks noChangeAspect="1" noChangeArrowheads="1"/>
                    </pic:cNvPicPr>
                  </pic:nvPicPr>
                  <pic:blipFill>
                    <a:blip r:embed="rId41" cstate="print"/>
                    <a:srcRect b="14857"/>
                    <a:stretch>
                      <a:fillRect/>
                    </a:stretch>
                  </pic:blipFill>
                  <pic:spPr bwMode="auto">
                    <a:xfrm>
                      <a:off x="0" y="0"/>
                      <a:ext cx="3750859" cy="1262136"/>
                    </a:xfrm>
                    <a:prstGeom prst="rect">
                      <a:avLst/>
                    </a:prstGeom>
                    <a:noFill/>
                    <a:ln w="9525">
                      <a:noFill/>
                      <a:miter lim="800000"/>
                      <a:headEnd/>
                      <a:tailEnd/>
                    </a:ln>
                  </pic:spPr>
                </pic:pic>
              </a:graphicData>
            </a:graphic>
          </wp:inline>
        </w:drawing>
      </w:r>
    </w:p>
    <w:p w:rsidR="00CB53FD" w:rsidRDefault="00CB53FD" w:rsidP="00CB53FD">
      <w:pPr>
        <w:spacing w:line="360" w:lineRule="auto"/>
        <w:contextualSpacing/>
        <w:jc w:val="center"/>
        <w:rPr>
          <w:rFonts w:ascii="Trebuchet MS" w:eastAsiaTheme="minorHAnsi" w:hAnsi="Trebuchet MS" w:cs="Arial"/>
          <w:sz w:val="20"/>
          <w:szCs w:val="20"/>
          <w:shd w:val="clear" w:color="auto" w:fill="FFFFFF"/>
        </w:rPr>
      </w:pPr>
    </w:p>
    <w:p w:rsidR="00CB53FD" w:rsidRPr="009E323D" w:rsidRDefault="00CB53FD" w:rsidP="00CB53FD">
      <w:pPr>
        <w:autoSpaceDE w:val="0"/>
        <w:autoSpaceDN w:val="0"/>
        <w:adjustRightInd w:val="0"/>
        <w:ind w:left="284" w:right="708"/>
        <w:jc w:val="both"/>
        <w:rPr>
          <w:rFonts w:ascii="Trebuchet MS" w:eastAsiaTheme="minorHAnsi" w:hAnsi="Trebuchet MS" w:cstheme="minorBidi"/>
          <w:sz w:val="18"/>
          <w:szCs w:val="18"/>
        </w:rPr>
      </w:pPr>
      <w:r w:rsidRPr="009E323D">
        <w:rPr>
          <w:rFonts w:ascii="Trebuchet MS" w:eastAsiaTheme="minorHAnsi" w:hAnsi="Trebuchet MS" w:cstheme="minorBidi"/>
          <w:sz w:val="18"/>
          <w:szCs w:val="18"/>
        </w:rPr>
        <w:t xml:space="preserve">Fig. 3.10 – Conversão do TTC em formazan: 1,3,5-trifenillformazan (Adaptado de </w:t>
      </w:r>
      <w:hyperlink r:id="rId42" w:history="1">
        <w:r w:rsidRPr="009E323D">
          <w:rPr>
            <w:rFonts w:ascii="Trebuchet MS" w:eastAsiaTheme="minorHAnsi" w:hAnsi="Trebuchet MS" w:cstheme="minorBidi"/>
            <w:color w:val="0000FF" w:themeColor="hyperlink"/>
            <w:sz w:val="18"/>
            <w:szCs w:val="18"/>
            <w:u w:val="single"/>
          </w:rPr>
          <w:t>http://www.righthealth.com/topic/Formazan</w:t>
        </w:r>
        <w:r w:rsidRPr="00353760">
          <w:rPr>
            <w:rFonts w:ascii="Trebuchet MS" w:eastAsiaTheme="minorHAnsi" w:hAnsi="Trebuchet MS" w:cstheme="minorBidi"/>
            <w:sz w:val="18"/>
            <w:szCs w:val="18"/>
          </w:rPr>
          <w:t xml:space="preserve"> - Consultado em 10-09-2010</w:t>
        </w:r>
      </w:hyperlink>
      <w:r w:rsidRPr="009E323D">
        <w:rPr>
          <w:rFonts w:ascii="Trebuchet MS" w:eastAsiaTheme="minorHAnsi" w:hAnsi="Trebuchet MS" w:cstheme="minorBidi"/>
          <w:sz w:val="18"/>
          <w:szCs w:val="18"/>
        </w:rPr>
        <w:t>). O sal de tetr</w:t>
      </w:r>
      <w:r w:rsidRPr="009E323D">
        <w:rPr>
          <w:rFonts w:ascii="Trebuchet MS" w:eastAsiaTheme="minorHAnsi" w:hAnsi="Trebuchet MS" w:cstheme="minorBidi"/>
          <w:sz w:val="18"/>
          <w:szCs w:val="18"/>
        </w:rPr>
        <w:t>a</w:t>
      </w:r>
      <w:r w:rsidRPr="009E323D">
        <w:rPr>
          <w:rFonts w:ascii="Trebuchet MS" w:eastAsiaTheme="minorHAnsi" w:hAnsi="Trebuchet MS" w:cstheme="minorBidi"/>
          <w:sz w:val="18"/>
          <w:szCs w:val="18"/>
        </w:rPr>
        <w:t xml:space="preserve">zólio é reduzido por enzimas a formazan de cor vermelha e </w:t>
      </w:r>
      <w:r w:rsidRPr="009E323D">
        <w:rPr>
          <w:rFonts w:ascii="Trebuchet MS" w:eastAsiaTheme="minorHAnsi" w:hAnsi="Trebuchet MS" w:cstheme="minorBidi"/>
          <w:bCs/>
          <w:sz w:val="18"/>
          <w:szCs w:val="18"/>
        </w:rPr>
        <w:t xml:space="preserve">lipossolúvel (Joshi </w:t>
      </w:r>
      <w:r w:rsidRPr="009E323D">
        <w:rPr>
          <w:rFonts w:ascii="Trebuchet MS" w:eastAsiaTheme="minorHAnsi" w:hAnsi="Trebuchet MS" w:cstheme="minorBidi"/>
          <w:bCs/>
          <w:i/>
          <w:sz w:val="18"/>
          <w:szCs w:val="18"/>
        </w:rPr>
        <w:t>et al.</w:t>
      </w:r>
      <w:r w:rsidRPr="009E323D">
        <w:rPr>
          <w:rFonts w:ascii="Trebuchet MS" w:eastAsiaTheme="minorHAnsi" w:hAnsi="Trebuchet MS" w:cstheme="minorBidi"/>
          <w:bCs/>
          <w:sz w:val="18"/>
          <w:szCs w:val="18"/>
        </w:rPr>
        <w:t>, 2004).</w:t>
      </w:r>
    </w:p>
    <w:p w:rsidR="00CB53FD" w:rsidRDefault="00CB53FD" w:rsidP="00B45736">
      <w:pPr>
        <w:spacing w:after="200" w:line="360" w:lineRule="auto"/>
        <w:ind w:firstLine="720"/>
        <w:contextualSpacing/>
        <w:jc w:val="both"/>
        <w:rPr>
          <w:rFonts w:ascii="Trebuchet MS" w:eastAsiaTheme="minorHAnsi" w:hAnsi="Trebuchet MS" w:cs="Arial"/>
          <w:sz w:val="20"/>
          <w:szCs w:val="20"/>
          <w:shd w:val="clear" w:color="auto" w:fill="FFFFFF"/>
        </w:rPr>
      </w:pPr>
    </w:p>
    <w:p w:rsidR="00B45736" w:rsidRPr="009E323D" w:rsidRDefault="00B45736" w:rsidP="00B45736">
      <w:pPr>
        <w:spacing w:after="200" w:line="360" w:lineRule="auto"/>
        <w:ind w:firstLine="720"/>
        <w:contextualSpacing/>
        <w:jc w:val="both"/>
        <w:rPr>
          <w:rFonts w:ascii="Trebuchet MS" w:eastAsiaTheme="minorHAnsi" w:hAnsi="Trebuchet MS" w:cstheme="minorBidi"/>
          <w:sz w:val="20"/>
          <w:szCs w:val="20"/>
        </w:rPr>
      </w:pPr>
      <w:r w:rsidRPr="009E323D">
        <w:rPr>
          <w:rFonts w:ascii="Trebuchet MS" w:eastAsiaTheme="minorHAnsi" w:hAnsi="Trebuchet MS" w:cs="Arial"/>
          <w:sz w:val="20"/>
          <w:szCs w:val="20"/>
          <w:shd w:val="clear" w:color="auto" w:fill="FFFFFF"/>
        </w:rPr>
        <w:t xml:space="preserve">A intensidade de coloração correlaciona-se com o número e actividade funcional da mitocôndria (Goldlust </w:t>
      </w:r>
      <w:r w:rsidR="00F96813" w:rsidRPr="009E323D">
        <w:rPr>
          <w:rFonts w:ascii="Trebuchet MS" w:eastAsiaTheme="minorHAnsi" w:hAnsi="Trebuchet MS" w:cs="Arial"/>
          <w:i/>
          <w:sz w:val="20"/>
          <w:szCs w:val="20"/>
          <w:shd w:val="clear" w:color="auto" w:fill="FFFFFF"/>
        </w:rPr>
        <w:t>et al.</w:t>
      </w:r>
      <w:r w:rsidRPr="009E323D">
        <w:rPr>
          <w:rFonts w:ascii="Trebuchet MS" w:eastAsiaTheme="minorHAnsi" w:hAnsi="Trebuchet MS" w:cs="Arial"/>
          <w:sz w:val="20"/>
          <w:szCs w:val="20"/>
          <w:shd w:val="clear" w:color="auto" w:fill="FFFFFF"/>
        </w:rPr>
        <w:t xml:space="preserve">, 1996) e claramente delineia as áreas lesadas (Bederson </w:t>
      </w:r>
      <w:r w:rsidR="00F96813" w:rsidRPr="009E323D">
        <w:rPr>
          <w:rFonts w:ascii="Trebuchet MS" w:eastAsiaTheme="minorHAnsi" w:hAnsi="Trebuchet MS" w:cs="Arial"/>
          <w:i/>
          <w:sz w:val="20"/>
          <w:szCs w:val="20"/>
          <w:shd w:val="clear" w:color="auto" w:fill="FFFFFF"/>
        </w:rPr>
        <w:t>et al.</w:t>
      </w:r>
      <w:r w:rsidRPr="009E323D">
        <w:rPr>
          <w:rFonts w:ascii="Trebuchet MS" w:eastAsiaTheme="minorHAnsi" w:hAnsi="Trebuchet MS" w:cs="Arial"/>
          <w:sz w:val="20"/>
          <w:szCs w:val="20"/>
          <w:shd w:val="clear" w:color="auto" w:fill="FFFFFF"/>
        </w:rPr>
        <w:t>, 1986). Por isso, o TTC define-se como um marcador da actividade enzimática mitocondrial (</w:t>
      </w:r>
      <w:r w:rsidRPr="009E323D">
        <w:rPr>
          <w:rFonts w:ascii="Trebuchet MS" w:eastAsiaTheme="minorHAnsi" w:hAnsi="Trebuchet MS" w:cs="Arial"/>
          <w:bCs/>
          <w:sz w:val="20"/>
          <w:szCs w:val="20"/>
          <w:shd w:val="clear" w:color="auto" w:fill="FFFFFF"/>
        </w:rPr>
        <w:t xml:space="preserve">Mathews </w:t>
      </w:r>
      <w:r w:rsidR="00F96813" w:rsidRPr="009E323D">
        <w:rPr>
          <w:rFonts w:ascii="Trebuchet MS" w:eastAsiaTheme="minorHAnsi" w:hAnsi="Trebuchet MS" w:cs="Arial"/>
          <w:bCs/>
          <w:i/>
          <w:sz w:val="20"/>
          <w:szCs w:val="20"/>
          <w:shd w:val="clear" w:color="auto" w:fill="FFFFFF"/>
        </w:rPr>
        <w:t>et al.</w:t>
      </w:r>
      <w:r w:rsidRPr="009E323D">
        <w:rPr>
          <w:rFonts w:ascii="Trebuchet MS" w:eastAsiaTheme="minorHAnsi" w:hAnsi="Trebuchet MS" w:cs="Arial"/>
          <w:bCs/>
          <w:sz w:val="20"/>
          <w:szCs w:val="20"/>
          <w:shd w:val="clear" w:color="auto" w:fill="FFFFFF"/>
        </w:rPr>
        <w:t>, 2000)</w:t>
      </w:r>
      <w:r w:rsidR="009E323D" w:rsidRPr="009E323D">
        <w:rPr>
          <w:rFonts w:ascii="Trebuchet MS" w:eastAsiaTheme="minorHAnsi" w:hAnsi="Trebuchet MS" w:cs="Arial"/>
          <w:sz w:val="20"/>
          <w:szCs w:val="20"/>
          <w:shd w:val="clear" w:color="auto" w:fill="FFFFFF"/>
        </w:rPr>
        <w:t>.</w:t>
      </w:r>
    </w:p>
    <w:p w:rsidR="00EE19A9" w:rsidRPr="009E323D" w:rsidRDefault="00EE19A9" w:rsidP="00EE19A9">
      <w:pPr>
        <w:spacing w:after="200" w:line="360" w:lineRule="auto"/>
        <w:ind w:firstLine="720"/>
        <w:contextualSpacing/>
        <w:jc w:val="both"/>
        <w:rPr>
          <w:rFonts w:ascii="Trebuchet MS" w:eastAsiaTheme="minorHAnsi" w:hAnsi="Trebuchet MS" w:cs="Arial"/>
          <w:sz w:val="20"/>
          <w:szCs w:val="20"/>
          <w:shd w:val="clear" w:color="auto" w:fill="FFFFFF"/>
        </w:rPr>
      </w:pPr>
      <w:r w:rsidRPr="009E323D">
        <w:rPr>
          <w:rFonts w:ascii="Trebuchet MS" w:eastAsiaTheme="minorHAnsi" w:hAnsi="Trebuchet MS" w:cs="Arial"/>
          <w:sz w:val="20"/>
          <w:szCs w:val="20"/>
          <w:shd w:val="clear" w:color="auto" w:fill="FFFFFF"/>
        </w:rPr>
        <w:t>Como o formazan do TTC é lipossolúvel, rapidamente se difunde para as células adj</w:t>
      </w:r>
      <w:r w:rsidRPr="009E323D">
        <w:rPr>
          <w:rFonts w:ascii="Trebuchet MS" w:eastAsiaTheme="minorHAnsi" w:hAnsi="Trebuchet MS" w:cs="Arial"/>
          <w:sz w:val="20"/>
          <w:szCs w:val="20"/>
          <w:shd w:val="clear" w:color="auto" w:fill="FFFFFF"/>
        </w:rPr>
        <w:t>a</w:t>
      </w:r>
      <w:r w:rsidRPr="009E323D">
        <w:rPr>
          <w:rFonts w:ascii="Trebuchet MS" w:eastAsiaTheme="minorHAnsi" w:hAnsi="Trebuchet MS" w:cs="Arial"/>
          <w:sz w:val="20"/>
          <w:szCs w:val="20"/>
          <w:shd w:val="clear" w:color="auto" w:fill="FFFFFF"/>
        </w:rPr>
        <w:t xml:space="preserve">centes/tecidos, especialmente os ricos em lipídos (Joshi </w:t>
      </w:r>
      <w:r w:rsidR="00F96813" w:rsidRPr="009E323D">
        <w:rPr>
          <w:rFonts w:ascii="Trebuchet MS" w:eastAsiaTheme="minorHAnsi" w:hAnsi="Trebuchet MS" w:cs="Arial"/>
          <w:i/>
          <w:sz w:val="20"/>
          <w:szCs w:val="20"/>
          <w:shd w:val="clear" w:color="auto" w:fill="FFFFFF"/>
        </w:rPr>
        <w:t>et al.</w:t>
      </w:r>
      <w:r w:rsidRPr="009E323D">
        <w:rPr>
          <w:rFonts w:ascii="Trebuchet MS" w:eastAsiaTheme="minorHAnsi" w:hAnsi="Trebuchet MS" w:cs="Arial"/>
          <w:sz w:val="20"/>
          <w:szCs w:val="20"/>
          <w:shd w:val="clear" w:color="auto" w:fill="FFFFFF"/>
        </w:rPr>
        <w:t>, 2004).</w:t>
      </w:r>
    </w:p>
    <w:p w:rsidR="00657290" w:rsidRPr="009E323D" w:rsidRDefault="00657290" w:rsidP="00657290">
      <w:pPr>
        <w:autoSpaceDE w:val="0"/>
        <w:autoSpaceDN w:val="0"/>
        <w:adjustRightInd w:val="0"/>
        <w:jc w:val="both"/>
        <w:rPr>
          <w:rFonts w:ascii="Trebuchet MS" w:eastAsiaTheme="minorHAnsi" w:hAnsi="Trebuchet MS" w:cs="AdvTT5843c571"/>
          <w:sz w:val="14"/>
          <w:szCs w:val="18"/>
        </w:rPr>
      </w:pPr>
    </w:p>
    <w:p w:rsidR="00657290" w:rsidRPr="009E323D" w:rsidRDefault="00657290" w:rsidP="00657290">
      <w:pPr>
        <w:autoSpaceDE w:val="0"/>
        <w:autoSpaceDN w:val="0"/>
        <w:adjustRightInd w:val="0"/>
        <w:jc w:val="both"/>
        <w:rPr>
          <w:rFonts w:ascii="Trebuchet MS" w:eastAsiaTheme="minorHAnsi" w:hAnsi="Trebuchet MS" w:cs="AdvTT5843c571"/>
          <w:sz w:val="14"/>
          <w:szCs w:val="18"/>
        </w:rPr>
      </w:pPr>
    </w:p>
    <w:p w:rsidR="00657290" w:rsidRDefault="00657290" w:rsidP="000C236E">
      <w:pPr>
        <w:spacing w:after="200" w:line="360" w:lineRule="auto"/>
        <w:contextualSpacing/>
        <w:jc w:val="both"/>
        <w:rPr>
          <w:rFonts w:ascii="Trebuchet MS" w:eastAsiaTheme="minorHAnsi" w:hAnsi="Trebuchet MS" w:cstheme="minorBidi"/>
          <w:sz w:val="20"/>
        </w:rPr>
      </w:pPr>
      <w:r w:rsidRPr="009E323D">
        <w:rPr>
          <w:rFonts w:ascii="Trebuchet MS" w:eastAsiaTheme="minorHAnsi" w:hAnsi="Trebuchet MS" w:cs="Arial"/>
          <w:b/>
          <w:bCs/>
          <w:sz w:val="20"/>
        </w:rPr>
        <w:t xml:space="preserve">Procedimento: </w:t>
      </w:r>
      <w:r w:rsidRPr="009E323D">
        <w:rPr>
          <w:rFonts w:ascii="Trebuchet MS" w:eastAsiaTheme="minorHAnsi" w:hAnsi="Trebuchet MS" w:cs="Arial"/>
          <w:bCs/>
          <w:sz w:val="20"/>
        </w:rPr>
        <w:t>Após os diferentes tipos de pré-condicionamento efectuados (isquémico ou químico), período de reperfusão (3h</w:t>
      </w:r>
      <w:r w:rsidR="00EF590C">
        <w:rPr>
          <w:rFonts w:ascii="Trebuchet MS" w:eastAsiaTheme="minorHAnsi" w:hAnsi="Trebuchet MS" w:cs="Arial"/>
          <w:bCs/>
          <w:sz w:val="20"/>
        </w:rPr>
        <w:t>oras</w:t>
      </w:r>
      <w:r w:rsidRPr="009E323D">
        <w:rPr>
          <w:rFonts w:ascii="Trebuchet MS" w:eastAsiaTheme="minorHAnsi" w:hAnsi="Trebuchet MS" w:cs="Arial"/>
          <w:bCs/>
          <w:sz w:val="20"/>
        </w:rPr>
        <w:t>) e consequente POG (20 minutos), as fatias perm</w:t>
      </w:r>
      <w:r w:rsidRPr="009E323D">
        <w:rPr>
          <w:rFonts w:ascii="Trebuchet MS" w:eastAsiaTheme="minorHAnsi" w:hAnsi="Trebuchet MS" w:cs="Arial"/>
          <w:bCs/>
          <w:sz w:val="20"/>
        </w:rPr>
        <w:t>a</w:t>
      </w:r>
      <w:r w:rsidRPr="009E323D">
        <w:rPr>
          <w:rFonts w:ascii="Trebuchet MS" w:eastAsiaTheme="minorHAnsi" w:hAnsi="Trebuchet MS" w:cs="Arial"/>
          <w:bCs/>
          <w:sz w:val="20"/>
        </w:rPr>
        <w:t>necem 1h</w:t>
      </w:r>
      <w:r w:rsidR="00A447DD">
        <w:rPr>
          <w:rFonts w:ascii="Trebuchet MS" w:eastAsiaTheme="minorHAnsi" w:hAnsi="Trebuchet MS" w:cs="Arial"/>
          <w:bCs/>
          <w:sz w:val="20"/>
        </w:rPr>
        <w:t>ora</w:t>
      </w:r>
      <w:r w:rsidRPr="009E323D">
        <w:rPr>
          <w:rFonts w:ascii="Trebuchet MS" w:eastAsiaTheme="minorHAnsi" w:hAnsi="Trebuchet MS" w:cs="Arial"/>
          <w:bCs/>
          <w:sz w:val="20"/>
        </w:rPr>
        <w:t xml:space="preserve"> em perfusão </w:t>
      </w:r>
      <w:r w:rsidR="00A447DD">
        <w:rPr>
          <w:rFonts w:ascii="Trebuchet MS" w:eastAsiaTheme="minorHAnsi" w:hAnsi="Trebuchet MS" w:cs="Arial"/>
          <w:bCs/>
          <w:sz w:val="20"/>
        </w:rPr>
        <w:t>antes de</w:t>
      </w:r>
      <w:r w:rsidRPr="009E323D">
        <w:rPr>
          <w:rFonts w:ascii="Trebuchet MS" w:eastAsiaTheme="minorHAnsi" w:hAnsi="Trebuchet MS" w:cs="Arial"/>
          <w:bCs/>
          <w:sz w:val="20"/>
        </w:rPr>
        <w:t xml:space="preserve"> se aplicar o TTC. Para avaliar a extensão dos danos prov</w:t>
      </w:r>
      <w:r w:rsidRPr="009E323D">
        <w:rPr>
          <w:rFonts w:ascii="Trebuchet MS" w:eastAsiaTheme="minorHAnsi" w:hAnsi="Trebuchet MS" w:cs="Arial"/>
          <w:bCs/>
          <w:sz w:val="20"/>
        </w:rPr>
        <w:t>o</w:t>
      </w:r>
      <w:r w:rsidRPr="009E323D">
        <w:rPr>
          <w:rFonts w:ascii="Trebuchet MS" w:eastAsiaTheme="minorHAnsi" w:hAnsi="Trebuchet MS" w:cs="Arial"/>
          <w:bCs/>
          <w:sz w:val="20"/>
        </w:rPr>
        <w:t>cados pela POG perfundiu-se as fatias com tampão Krebs-TTC durante uma 1h</w:t>
      </w:r>
      <w:r w:rsidR="00A447DD">
        <w:rPr>
          <w:rFonts w:ascii="Trebuchet MS" w:eastAsiaTheme="minorHAnsi" w:hAnsi="Trebuchet MS" w:cs="Arial"/>
          <w:bCs/>
          <w:sz w:val="20"/>
        </w:rPr>
        <w:t xml:space="preserve">ora e </w:t>
      </w:r>
      <w:r w:rsidRPr="009E323D">
        <w:rPr>
          <w:rFonts w:ascii="Trebuchet MS" w:eastAsiaTheme="minorHAnsi" w:hAnsi="Trebuchet MS" w:cs="Arial"/>
          <w:bCs/>
          <w:sz w:val="20"/>
        </w:rPr>
        <w:t>30 min</w:t>
      </w:r>
      <w:r w:rsidRPr="009E323D">
        <w:rPr>
          <w:rFonts w:ascii="Trebuchet MS" w:eastAsiaTheme="minorHAnsi" w:hAnsi="Trebuchet MS" w:cs="Arial"/>
          <w:bCs/>
          <w:sz w:val="20"/>
        </w:rPr>
        <w:t>u</w:t>
      </w:r>
      <w:r w:rsidRPr="009E323D">
        <w:rPr>
          <w:rFonts w:ascii="Trebuchet MS" w:eastAsiaTheme="minorHAnsi" w:hAnsi="Trebuchet MS" w:cs="Arial"/>
          <w:bCs/>
          <w:sz w:val="20"/>
        </w:rPr>
        <w:lastRenderedPageBreak/>
        <w:t xml:space="preserve">tos. </w:t>
      </w:r>
      <w:r w:rsidRPr="009E323D">
        <w:rPr>
          <w:rFonts w:ascii="Trebuchet MS" w:eastAsiaTheme="minorHAnsi" w:hAnsi="Trebuchet MS" w:cstheme="minorBidi"/>
          <w:sz w:val="20"/>
        </w:rPr>
        <w:t>O tampão Krebs-TTC é constituído pela seguinte composição (em mM): 140 NaCl; 5 KCl; 1 CaCl</w:t>
      </w:r>
      <w:r w:rsidRPr="009E323D">
        <w:rPr>
          <w:rFonts w:ascii="Trebuchet MS" w:eastAsiaTheme="minorHAnsi" w:hAnsi="Trebuchet MS" w:cstheme="minorBidi"/>
          <w:sz w:val="20"/>
          <w:vertAlign w:val="subscript"/>
        </w:rPr>
        <w:t>2</w:t>
      </w:r>
      <w:r w:rsidRPr="009E323D">
        <w:rPr>
          <w:rFonts w:ascii="Trebuchet MS" w:eastAsiaTheme="minorHAnsi" w:hAnsi="Trebuchet MS" w:cstheme="minorBidi"/>
          <w:sz w:val="20"/>
        </w:rPr>
        <w:t xml:space="preserve">; 10 Hepes sódio e 3 glucose (Lee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xml:space="preserve">, 2008; Wang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2007). Uma vez que, o hepes</w:t>
      </w:r>
      <w:r w:rsidR="00A447DD">
        <w:rPr>
          <w:rFonts w:ascii="Trebuchet MS" w:eastAsiaTheme="minorHAnsi" w:hAnsi="Trebuchet MS" w:cstheme="minorBidi"/>
          <w:sz w:val="20"/>
        </w:rPr>
        <w:t xml:space="preserve"> e o TTC são</w:t>
      </w:r>
      <w:r w:rsidRPr="009E323D">
        <w:rPr>
          <w:rFonts w:ascii="Trebuchet MS" w:eastAsiaTheme="minorHAnsi" w:hAnsi="Trebuchet MS" w:cstheme="minorBidi"/>
          <w:sz w:val="20"/>
        </w:rPr>
        <w:t xml:space="preserve"> fotossensíve</w:t>
      </w:r>
      <w:r w:rsidR="00A447DD">
        <w:rPr>
          <w:rFonts w:ascii="Trebuchet MS" w:eastAsiaTheme="minorHAnsi" w:hAnsi="Trebuchet MS" w:cstheme="minorBidi"/>
          <w:sz w:val="20"/>
        </w:rPr>
        <w:t>is</w:t>
      </w:r>
      <w:r w:rsidRPr="009E323D">
        <w:rPr>
          <w:rFonts w:ascii="Trebuchet MS" w:eastAsiaTheme="minorHAnsi" w:hAnsi="Trebuchet MS" w:cstheme="minorBidi"/>
          <w:sz w:val="20"/>
        </w:rPr>
        <w:t>, o tampão krebs-TTC est</w:t>
      </w:r>
      <w:r w:rsidR="00A447DD">
        <w:rPr>
          <w:rFonts w:ascii="Trebuchet MS" w:eastAsiaTheme="minorHAnsi" w:hAnsi="Trebuchet MS" w:cstheme="minorBidi"/>
          <w:sz w:val="20"/>
        </w:rPr>
        <w:t>ava</w:t>
      </w:r>
      <w:r w:rsidR="00A277CB">
        <w:rPr>
          <w:rFonts w:ascii="Trebuchet MS" w:eastAsiaTheme="minorHAnsi" w:hAnsi="Trebuchet MS" w:cstheme="minorBidi"/>
          <w:sz w:val="20"/>
        </w:rPr>
        <w:t xml:space="preserve"> protegido da luz, bem como</w:t>
      </w:r>
      <w:r w:rsidRPr="009E323D">
        <w:rPr>
          <w:rFonts w:ascii="Trebuchet MS" w:eastAsiaTheme="minorHAnsi" w:hAnsi="Trebuchet MS" w:cstheme="minorBidi"/>
          <w:sz w:val="20"/>
        </w:rPr>
        <w:t xml:space="preserve"> o sistema de perfusão</w:t>
      </w:r>
      <w:r w:rsidR="00A277CB">
        <w:rPr>
          <w:rFonts w:ascii="Trebuchet MS" w:eastAsiaTheme="minorHAnsi" w:hAnsi="Trebuchet MS" w:cstheme="minorBidi"/>
          <w:sz w:val="20"/>
        </w:rPr>
        <w:t>.</w:t>
      </w:r>
      <w:r w:rsidRPr="009E323D">
        <w:rPr>
          <w:rFonts w:ascii="Trebuchet MS" w:eastAsiaTheme="minorHAnsi" w:hAnsi="Trebuchet MS" w:cstheme="minorBidi"/>
          <w:sz w:val="20"/>
        </w:rPr>
        <w:t xml:space="preserve"> Adicionou-se </w:t>
      </w:r>
      <w:r w:rsidR="000627D2" w:rsidRPr="009E323D">
        <w:rPr>
          <w:rFonts w:ascii="Trebuchet MS" w:eastAsiaTheme="minorHAnsi" w:hAnsi="Trebuchet MS" w:cstheme="minorBidi"/>
          <w:sz w:val="20"/>
        </w:rPr>
        <w:t xml:space="preserve">TTC </w:t>
      </w:r>
      <w:proofErr w:type="gramStart"/>
      <w:r w:rsidRPr="009E323D">
        <w:rPr>
          <w:rFonts w:ascii="Trebuchet MS" w:eastAsiaTheme="minorHAnsi" w:hAnsi="Trebuchet MS" w:cstheme="minorBidi"/>
          <w:sz w:val="20"/>
        </w:rPr>
        <w:t>o,o5%</w:t>
      </w:r>
      <w:proofErr w:type="gramEnd"/>
      <w:r w:rsidR="000627D2">
        <w:rPr>
          <w:rFonts w:ascii="Trebuchet MS" w:eastAsiaTheme="minorHAnsi" w:hAnsi="Trebuchet MS" w:cstheme="minorBidi"/>
          <w:sz w:val="20"/>
        </w:rPr>
        <w:t xml:space="preserve"> (m/v)</w:t>
      </w:r>
      <w:r w:rsidRPr="009E323D">
        <w:rPr>
          <w:rFonts w:ascii="Trebuchet MS" w:eastAsiaTheme="minorHAnsi" w:hAnsi="Trebuchet MS" w:cstheme="minorBidi"/>
          <w:sz w:val="20"/>
        </w:rPr>
        <w:t xml:space="preserve"> de ao krebs-TTC imediatamente antes de </w:t>
      </w:r>
      <w:r w:rsidR="00135A2E">
        <w:rPr>
          <w:rFonts w:ascii="Trebuchet MS" w:eastAsiaTheme="minorHAnsi" w:hAnsi="Trebuchet MS" w:cstheme="minorBidi"/>
          <w:sz w:val="20"/>
        </w:rPr>
        <w:t>o util</w:t>
      </w:r>
      <w:r w:rsidR="00135A2E">
        <w:rPr>
          <w:rFonts w:ascii="Trebuchet MS" w:eastAsiaTheme="minorHAnsi" w:hAnsi="Trebuchet MS" w:cstheme="minorBidi"/>
          <w:sz w:val="20"/>
        </w:rPr>
        <w:t>i</w:t>
      </w:r>
      <w:r w:rsidR="00135A2E">
        <w:rPr>
          <w:rFonts w:ascii="Trebuchet MS" w:eastAsiaTheme="minorHAnsi" w:hAnsi="Trebuchet MS" w:cstheme="minorBidi"/>
          <w:sz w:val="20"/>
        </w:rPr>
        <w:t>zar</w:t>
      </w:r>
      <w:r w:rsidRPr="009E323D">
        <w:rPr>
          <w:rFonts w:ascii="Trebuchet MS" w:eastAsiaTheme="minorHAnsi" w:hAnsi="Trebuchet MS" w:cstheme="minorBidi"/>
          <w:sz w:val="20"/>
        </w:rPr>
        <w:t xml:space="preserve"> </w:t>
      </w:r>
      <w:r w:rsidRPr="009E323D">
        <w:rPr>
          <w:rFonts w:ascii="Trebuchet MS" w:eastAsiaTheme="minorHAnsi" w:hAnsi="Trebuchet MS" w:cs="AdvTT5843c571"/>
          <w:sz w:val="20"/>
          <w:szCs w:val="18"/>
        </w:rPr>
        <w:t xml:space="preserve">(Joshi </w:t>
      </w:r>
      <w:r w:rsidR="00F96813" w:rsidRPr="009E323D">
        <w:rPr>
          <w:rFonts w:ascii="Trebuchet MS" w:eastAsiaTheme="minorHAnsi" w:hAnsi="Trebuchet MS" w:cs="AdvTT5843c571"/>
          <w:i/>
          <w:sz w:val="20"/>
          <w:szCs w:val="18"/>
        </w:rPr>
        <w:t>et al.</w:t>
      </w:r>
      <w:r w:rsidRPr="009E323D">
        <w:rPr>
          <w:rFonts w:ascii="Trebuchet MS" w:eastAsiaTheme="minorHAnsi" w:hAnsi="Trebuchet MS" w:cs="AdvTT5843c571"/>
          <w:sz w:val="20"/>
          <w:szCs w:val="18"/>
        </w:rPr>
        <w:t>, 2004)</w:t>
      </w:r>
      <w:r w:rsidRPr="009E323D">
        <w:rPr>
          <w:rFonts w:ascii="Trebuchet MS" w:eastAsiaTheme="minorHAnsi" w:hAnsi="Trebuchet MS" w:cstheme="minorBidi"/>
          <w:sz w:val="20"/>
        </w:rPr>
        <w:t xml:space="preserve">. O TTC utilizado (Cloreto de 2,3,5-trifeniltetrazólio) foi fornecido pela Fluka. A perfusão </w:t>
      </w:r>
      <w:r w:rsidR="00135A2E">
        <w:rPr>
          <w:rFonts w:ascii="Trebuchet MS" w:eastAsiaTheme="minorHAnsi" w:hAnsi="Trebuchet MS" w:cstheme="minorBidi"/>
          <w:sz w:val="20"/>
        </w:rPr>
        <w:t xml:space="preserve">com tampão contendo TTC </w:t>
      </w:r>
      <w:r w:rsidRPr="009E323D">
        <w:rPr>
          <w:rFonts w:ascii="Trebuchet MS" w:eastAsiaTheme="minorHAnsi" w:hAnsi="Trebuchet MS" w:cstheme="minorBidi"/>
          <w:sz w:val="20"/>
        </w:rPr>
        <w:t>foi realizada na ausência de carbogénio. Após a coloração com TTC, as fatias foram transferidas das câmaras de perfusão para uma placa de 12 poços</w:t>
      </w:r>
      <w:r w:rsidR="0052053F">
        <w:rPr>
          <w:rFonts w:ascii="Trebuchet MS" w:eastAsiaTheme="minorHAnsi" w:hAnsi="Trebuchet MS" w:cstheme="minorBidi"/>
          <w:sz w:val="20"/>
        </w:rPr>
        <w:t>, efectuando-se lavagem intermédia com</w:t>
      </w:r>
      <w:r w:rsidRPr="009E323D">
        <w:rPr>
          <w:rFonts w:ascii="Trebuchet MS" w:eastAsiaTheme="minorHAnsi" w:hAnsi="Trebuchet MS" w:cstheme="minorBidi"/>
          <w:sz w:val="20"/>
        </w:rPr>
        <w:t xml:space="preserve"> K</w:t>
      </w:r>
      <w:r w:rsidR="0052053F">
        <w:rPr>
          <w:rFonts w:ascii="Trebuchet MS" w:eastAsiaTheme="minorHAnsi" w:hAnsi="Trebuchet MS" w:cstheme="minorBidi"/>
          <w:sz w:val="20"/>
        </w:rPr>
        <w:t xml:space="preserve">rebs-Hepes. Uma vez na placa, e após se remover o tampão, </w:t>
      </w:r>
      <w:r w:rsidRPr="009E323D">
        <w:rPr>
          <w:rFonts w:ascii="Trebuchet MS" w:eastAsiaTheme="minorHAnsi" w:hAnsi="Trebuchet MS" w:cstheme="minorBidi"/>
          <w:sz w:val="20"/>
        </w:rPr>
        <w:t xml:space="preserve">adicionou-se 1mL da mistura de etanol absoluto com DMSO (solvente de extracção), numa proporção </w:t>
      </w:r>
      <w:r w:rsidR="00054101">
        <w:rPr>
          <w:rFonts w:ascii="Trebuchet MS" w:eastAsiaTheme="minorHAnsi" w:hAnsi="Trebuchet MS" w:cstheme="minorBidi"/>
          <w:sz w:val="20"/>
        </w:rPr>
        <w:t>1</w:t>
      </w:r>
      <w:r w:rsidRPr="009E323D">
        <w:rPr>
          <w:rFonts w:ascii="Trebuchet MS" w:eastAsiaTheme="minorHAnsi" w:hAnsi="Trebuchet MS" w:cstheme="minorBidi"/>
          <w:sz w:val="20"/>
        </w:rPr>
        <w:t>:</w:t>
      </w:r>
      <w:r w:rsidR="00054101">
        <w:rPr>
          <w:rFonts w:ascii="Trebuchet MS" w:eastAsiaTheme="minorHAnsi" w:hAnsi="Trebuchet MS" w:cstheme="minorBidi"/>
          <w:sz w:val="20"/>
        </w:rPr>
        <w:t>1 (v:v)</w:t>
      </w:r>
      <w:r w:rsidRPr="009E323D">
        <w:rPr>
          <w:rFonts w:ascii="Trebuchet MS" w:eastAsiaTheme="minorHAnsi" w:hAnsi="Trebuchet MS" w:cstheme="minorBidi"/>
          <w:sz w:val="20"/>
        </w:rPr>
        <w:t xml:space="preserve"> (Lee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2008)</w:t>
      </w:r>
      <w:r w:rsidR="00204A33">
        <w:rPr>
          <w:rFonts w:ascii="Trebuchet MS" w:eastAsiaTheme="minorHAnsi" w:hAnsi="Trebuchet MS" w:cstheme="minorBidi"/>
          <w:sz w:val="20"/>
        </w:rPr>
        <w:t>,</w:t>
      </w:r>
      <w:r w:rsidRPr="009E323D">
        <w:rPr>
          <w:rFonts w:ascii="Trebuchet MS" w:eastAsiaTheme="minorHAnsi" w:hAnsi="Trebuchet MS" w:cstheme="minorBidi"/>
          <w:sz w:val="20"/>
        </w:rPr>
        <w:t xml:space="preserve"> (Wang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xml:space="preserve">, 2007). A placa </w:t>
      </w:r>
      <w:r w:rsidR="00204A33">
        <w:rPr>
          <w:rFonts w:ascii="Trebuchet MS" w:eastAsiaTheme="minorHAnsi" w:hAnsi="Trebuchet MS" w:cstheme="minorBidi"/>
          <w:sz w:val="20"/>
        </w:rPr>
        <w:t>era</w:t>
      </w:r>
      <w:r w:rsidRPr="009E323D">
        <w:rPr>
          <w:rFonts w:ascii="Trebuchet MS" w:eastAsiaTheme="minorHAnsi" w:hAnsi="Trebuchet MS" w:cstheme="minorBidi"/>
          <w:sz w:val="20"/>
        </w:rPr>
        <w:t xml:space="preserve"> selada e guardada no escuro durante 12h</w:t>
      </w:r>
      <w:r w:rsidR="00CB53FD">
        <w:rPr>
          <w:rFonts w:ascii="Trebuchet MS" w:eastAsiaTheme="minorHAnsi" w:hAnsi="Trebuchet MS" w:cstheme="minorBidi"/>
          <w:sz w:val="20"/>
        </w:rPr>
        <w:t>oras</w:t>
      </w:r>
      <w:r w:rsidRPr="009E323D">
        <w:rPr>
          <w:rFonts w:ascii="Trebuchet MS" w:eastAsiaTheme="minorHAnsi" w:hAnsi="Trebuchet MS" w:cstheme="minorBidi"/>
          <w:sz w:val="20"/>
        </w:rPr>
        <w:t>, para extrair a cor adquirida (formazan) pelas fatias. As fatias viáveis apresentam cor rosa vivo, ao passo que, as fatias que sofreram lesão apresentam menor coloração ou mesmo ausência de cor, consoante a extensão do insulto isquémico aplicado (</w:t>
      </w:r>
      <w:r w:rsidR="002912F3" w:rsidRPr="009E323D">
        <w:rPr>
          <w:rFonts w:ascii="Trebuchet MS" w:eastAsiaTheme="minorHAnsi" w:hAnsi="Trebuchet MS" w:cstheme="minorBidi"/>
          <w:sz w:val="20"/>
        </w:rPr>
        <w:t xml:space="preserve">Bederson </w:t>
      </w:r>
      <w:r w:rsidR="00F96813" w:rsidRPr="009E323D">
        <w:rPr>
          <w:rFonts w:ascii="Trebuchet MS" w:eastAsiaTheme="minorHAnsi" w:hAnsi="Trebuchet MS" w:cstheme="minorBidi"/>
          <w:i/>
          <w:sz w:val="20"/>
        </w:rPr>
        <w:t>et al.</w:t>
      </w:r>
      <w:r w:rsidR="002912F3" w:rsidRPr="009E323D">
        <w:rPr>
          <w:rFonts w:ascii="Trebuchet MS" w:eastAsiaTheme="minorHAnsi" w:hAnsi="Trebuchet MS" w:cstheme="minorBidi"/>
          <w:sz w:val="20"/>
        </w:rPr>
        <w:t xml:space="preserve">, 1986; </w:t>
      </w:r>
      <w:r w:rsidRPr="009E323D">
        <w:rPr>
          <w:rFonts w:ascii="Trebuchet MS" w:eastAsiaTheme="minorHAnsi" w:hAnsi="Trebuchet MS" w:cstheme="minorBidi"/>
          <w:sz w:val="20"/>
        </w:rPr>
        <w:t xml:space="preserve">Joshi </w:t>
      </w:r>
      <w:r w:rsidR="00F96813" w:rsidRPr="009E323D">
        <w:rPr>
          <w:rFonts w:ascii="Trebuchet MS" w:eastAsiaTheme="minorHAnsi" w:hAnsi="Trebuchet MS" w:cstheme="minorBidi"/>
          <w:i/>
          <w:sz w:val="20"/>
        </w:rPr>
        <w:t>et al.</w:t>
      </w:r>
      <w:r w:rsidRPr="009E323D">
        <w:rPr>
          <w:rFonts w:ascii="Trebuchet MS" w:eastAsiaTheme="minorHAnsi" w:hAnsi="Trebuchet MS" w:cstheme="minorBidi"/>
          <w:sz w:val="20"/>
        </w:rPr>
        <w:t>, 2004</w:t>
      </w:r>
      <w:r w:rsidR="00E4419A" w:rsidRPr="009E323D">
        <w:rPr>
          <w:rFonts w:ascii="Trebuchet MS" w:eastAsiaTheme="minorHAnsi" w:hAnsi="Trebuchet MS" w:cstheme="minorBidi"/>
          <w:sz w:val="20"/>
        </w:rPr>
        <w:t xml:space="preserve">; </w:t>
      </w:r>
      <w:r w:rsidR="00E4419A" w:rsidRPr="009E323D">
        <w:rPr>
          <w:rFonts w:ascii="Trebuchet MS" w:eastAsiaTheme="minorHAnsi" w:hAnsi="Trebuchet MS" w:cstheme="minorBidi"/>
          <w:bCs/>
          <w:sz w:val="20"/>
        </w:rPr>
        <w:t xml:space="preserve">Mathews </w:t>
      </w:r>
      <w:r w:rsidR="00F96813" w:rsidRPr="009E323D">
        <w:rPr>
          <w:rFonts w:ascii="Trebuchet MS" w:eastAsiaTheme="minorHAnsi" w:hAnsi="Trebuchet MS" w:cstheme="minorBidi"/>
          <w:bCs/>
          <w:i/>
          <w:sz w:val="20"/>
        </w:rPr>
        <w:t>et al.</w:t>
      </w:r>
      <w:r w:rsidR="00E4419A" w:rsidRPr="009E323D">
        <w:rPr>
          <w:rFonts w:ascii="Trebuchet MS" w:eastAsiaTheme="minorHAnsi" w:hAnsi="Trebuchet MS" w:cstheme="minorBidi"/>
          <w:bCs/>
          <w:sz w:val="20"/>
        </w:rPr>
        <w:t xml:space="preserve">, </w:t>
      </w:r>
      <w:r w:rsidR="002912F3" w:rsidRPr="009E323D">
        <w:rPr>
          <w:rFonts w:ascii="Trebuchet MS" w:eastAsiaTheme="minorHAnsi" w:hAnsi="Trebuchet MS" w:cstheme="minorBidi"/>
          <w:bCs/>
          <w:sz w:val="20"/>
        </w:rPr>
        <w:t>2000)</w:t>
      </w:r>
      <w:r w:rsidR="002912F3" w:rsidRPr="009E323D">
        <w:rPr>
          <w:rFonts w:ascii="Trebuchet MS" w:eastAsiaTheme="minorHAnsi" w:hAnsi="Trebuchet MS" w:cstheme="minorBidi"/>
          <w:sz w:val="20"/>
        </w:rPr>
        <w:t xml:space="preserve">. </w:t>
      </w:r>
      <w:r w:rsidRPr="009E323D">
        <w:rPr>
          <w:rFonts w:ascii="Trebuchet MS" w:eastAsiaTheme="minorHAnsi" w:hAnsi="Trebuchet MS" w:cstheme="minorBidi"/>
          <w:sz w:val="20"/>
        </w:rPr>
        <w:t>Após 12h</w:t>
      </w:r>
      <w:r w:rsidR="00CB53FD">
        <w:rPr>
          <w:rFonts w:ascii="Trebuchet MS" w:eastAsiaTheme="minorHAnsi" w:hAnsi="Trebuchet MS" w:cstheme="minorBidi"/>
          <w:sz w:val="20"/>
        </w:rPr>
        <w:t>oras</w:t>
      </w:r>
      <w:r w:rsidRPr="009E323D">
        <w:rPr>
          <w:rFonts w:ascii="Trebuchet MS" w:eastAsiaTheme="minorHAnsi" w:hAnsi="Trebuchet MS" w:cstheme="minorBidi"/>
          <w:sz w:val="20"/>
        </w:rPr>
        <w:t>, quantific</w:t>
      </w:r>
      <w:r w:rsidR="003A6A95">
        <w:rPr>
          <w:rFonts w:ascii="Trebuchet MS" w:eastAsiaTheme="minorHAnsi" w:hAnsi="Trebuchet MS" w:cstheme="minorBidi"/>
          <w:sz w:val="20"/>
        </w:rPr>
        <w:t>ou</w:t>
      </w:r>
      <w:r w:rsidRPr="009E323D">
        <w:rPr>
          <w:rFonts w:ascii="Trebuchet MS" w:eastAsiaTheme="minorHAnsi" w:hAnsi="Trebuchet MS" w:cstheme="minorBidi"/>
          <w:sz w:val="20"/>
        </w:rPr>
        <w:t xml:space="preserve">-se a </w:t>
      </w:r>
      <w:r w:rsidR="003A6A95">
        <w:rPr>
          <w:rFonts w:ascii="Trebuchet MS" w:eastAsiaTheme="minorHAnsi" w:hAnsi="Trebuchet MS" w:cstheme="minorBidi"/>
          <w:sz w:val="20"/>
        </w:rPr>
        <w:t>viabilidade</w:t>
      </w:r>
      <w:r w:rsidRPr="009E323D">
        <w:rPr>
          <w:rFonts w:ascii="Trebuchet MS" w:eastAsiaTheme="minorHAnsi" w:hAnsi="Trebuchet MS" w:cstheme="minorBidi"/>
          <w:sz w:val="20"/>
        </w:rPr>
        <w:t xml:space="preserve"> celular das amostras, espectrofotometricamente a 485nm, medindo </w:t>
      </w:r>
      <w:r w:rsidR="000D5D1F">
        <w:rPr>
          <w:rFonts w:ascii="Trebuchet MS" w:eastAsiaTheme="minorHAnsi" w:hAnsi="Trebuchet MS" w:cstheme="minorBidi"/>
          <w:sz w:val="20"/>
        </w:rPr>
        <w:t>o</w:t>
      </w:r>
      <w:r w:rsidRPr="009E323D">
        <w:rPr>
          <w:rFonts w:ascii="Trebuchet MS" w:eastAsiaTheme="minorHAnsi" w:hAnsi="Trebuchet MS" w:cstheme="minorBidi"/>
          <w:sz w:val="20"/>
        </w:rPr>
        <w:t xml:space="preserve"> formazan produzid</w:t>
      </w:r>
      <w:r w:rsidR="000D5D1F">
        <w:rPr>
          <w:rFonts w:ascii="Trebuchet MS" w:eastAsiaTheme="minorHAnsi" w:hAnsi="Trebuchet MS" w:cstheme="minorBidi"/>
          <w:sz w:val="20"/>
        </w:rPr>
        <w:t>o</w:t>
      </w:r>
      <w:r w:rsidRPr="009E323D">
        <w:rPr>
          <w:rFonts w:ascii="Trebuchet MS" w:eastAsiaTheme="minorHAnsi" w:hAnsi="Trebuchet MS" w:cstheme="minorBidi"/>
          <w:sz w:val="20"/>
        </w:rPr>
        <w:t xml:space="preserve"> (Fig 3.10). </w:t>
      </w:r>
      <w:r w:rsidR="003B6701" w:rsidRPr="009E323D">
        <w:rPr>
          <w:rFonts w:ascii="Trebuchet MS" w:eastAsiaTheme="minorHAnsi" w:hAnsi="Trebuchet MS" w:cstheme="minorBidi"/>
          <w:sz w:val="20"/>
        </w:rPr>
        <w:t>A absorvência foi normalizada pelo número de fatias pre</w:t>
      </w:r>
      <w:r w:rsidR="000D5D1F">
        <w:rPr>
          <w:rFonts w:ascii="Trebuchet MS" w:eastAsiaTheme="minorHAnsi" w:hAnsi="Trebuchet MS" w:cstheme="minorBidi"/>
          <w:sz w:val="20"/>
        </w:rPr>
        <w:t>sentes em cada câmara.</w:t>
      </w:r>
      <w:r w:rsidR="003B6701" w:rsidRPr="009E323D">
        <w:rPr>
          <w:rFonts w:ascii="Trebuchet MS" w:eastAsiaTheme="minorHAnsi" w:hAnsi="Trebuchet MS" w:cstheme="minorBidi"/>
          <w:sz w:val="20"/>
        </w:rPr>
        <w:t xml:space="preserve"> </w:t>
      </w:r>
    </w:p>
    <w:p w:rsidR="00212F28" w:rsidRDefault="00CB53FD" w:rsidP="00212F28">
      <w:pPr>
        <w:spacing w:after="200" w:line="360" w:lineRule="auto"/>
        <w:ind w:firstLine="708"/>
        <w:jc w:val="both"/>
        <w:rPr>
          <w:rFonts w:ascii="Trebuchet MS" w:eastAsiaTheme="minorHAnsi" w:hAnsi="Trebuchet MS" w:cstheme="minorBidi"/>
          <w:sz w:val="20"/>
          <w:szCs w:val="20"/>
        </w:rPr>
      </w:pPr>
      <w:r w:rsidRPr="00DC02DF">
        <w:rPr>
          <w:rFonts w:ascii="Trebuchet MS" w:eastAsiaTheme="minorHAnsi" w:hAnsi="Trebuchet MS" w:cstheme="minorBidi"/>
          <w:sz w:val="20"/>
          <w:szCs w:val="20"/>
        </w:rPr>
        <w:sym w:font="Wingdings" w:char="F0D6"/>
      </w:r>
      <w:r>
        <w:rPr>
          <w:rFonts w:ascii="Trebuchet MS" w:eastAsiaTheme="minorHAnsi" w:hAnsi="Trebuchet MS" w:cstheme="minorBidi"/>
          <w:sz w:val="20"/>
          <w:szCs w:val="20"/>
        </w:rPr>
        <w:t xml:space="preserve"> </w:t>
      </w:r>
      <w:r w:rsidRPr="00DC02DF">
        <w:rPr>
          <w:rFonts w:ascii="Trebuchet MS" w:eastAsiaTheme="minorHAnsi" w:hAnsi="Trebuchet MS" w:cstheme="minorBidi"/>
          <w:sz w:val="20"/>
          <w:szCs w:val="20"/>
        </w:rPr>
        <w:t xml:space="preserve">Para testar qual a </w:t>
      </w:r>
      <w:r w:rsidR="00EF7030">
        <w:rPr>
          <w:rFonts w:ascii="Trebuchet MS" w:eastAsiaTheme="minorHAnsi" w:hAnsi="Trebuchet MS" w:cstheme="minorBidi"/>
          <w:b/>
          <w:sz w:val="20"/>
          <w:szCs w:val="20"/>
          <w:u w:val="single"/>
        </w:rPr>
        <w:t>concentração</w:t>
      </w:r>
      <w:r w:rsidRPr="00DC02DF">
        <w:rPr>
          <w:rFonts w:ascii="Trebuchet MS" w:eastAsiaTheme="minorHAnsi" w:hAnsi="Trebuchet MS" w:cstheme="minorBidi"/>
          <w:b/>
          <w:sz w:val="20"/>
          <w:szCs w:val="20"/>
          <w:u w:val="single"/>
        </w:rPr>
        <w:t xml:space="preserve"> </w:t>
      </w:r>
      <w:r w:rsidR="00140464">
        <w:rPr>
          <w:rFonts w:ascii="Trebuchet MS" w:eastAsiaTheme="minorHAnsi" w:hAnsi="Trebuchet MS" w:cstheme="minorBidi"/>
          <w:b/>
          <w:sz w:val="20"/>
          <w:szCs w:val="20"/>
          <w:u w:val="single"/>
        </w:rPr>
        <w:t>mais adequada de</w:t>
      </w:r>
      <w:r w:rsidRPr="00DC02DF">
        <w:rPr>
          <w:rFonts w:ascii="Trebuchet MS" w:eastAsiaTheme="minorHAnsi" w:hAnsi="Trebuchet MS" w:cstheme="minorBidi"/>
          <w:b/>
          <w:sz w:val="20"/>
          <w:szCs w:val="20"/>
          <w:u w:val="single"/>
        </w:rPr>
        <w:t xml:space="preserve"> TTC</w:t>
      </w:r>
      <w:r w:rsidR="00EF7030">
        <w:rPr>
          <w:rFonts w:ascii="Trebuchet MS" w:eastAsiaTheme="minorHAnsi" w:hAnsi="Trebuchet MS" w:cstheme="minorBidi"/>
          <w:sz w:val="20"/>
          <w:szCs w:val="20"/>
        </w:rPr>
        <w:t xml:space="preserve"> </w:t>
      </w:r>
      <w:r w:rsidRPr="00DC02DF">
        <w:rPr>
          <w:rFonts w:ascii="Trebuchet MS" w:eastAsiaTheme="minorHAnsi" w:hAnsi="Trebuchet MS" w:cstheme="minorBidi"/>
          <w:sz w:val="20"/>
          <w:szCs w:val="20"/>
        </w:rPr>
        <w:t>no modelo experimental implementado de isquémia cerebral</w:t>
      </w:r>
      <w:proofErr w:type="gramStart"/>
      <w:r w:rsidRPr="00DC02DF">
        <w:rPr>
          <w:rFonts w:ascii="Trebuchet MS" w:eastAsiaTheme="minorHAnsi" w:hAnsi="Trebuchet MS" w:cstheme="minorBidi"/>
          <w:sz w:val="20"/>
          <w:szCs w:val="20"/>
        </w:rPr>
        <w:t>,</w:t>
      </w:r>
      <w:proofErr w:type="gramEnd"/>
      <w:r w:rsidRPr="00DC02DF">
        <w:rPr>
          <w:rFonts w:ascii="Trebuchet MS" w:eastAsiaTheme="minorHAnsi" w:hAnsi="Trebuchet MS" w:cstheme="minorBidi"/>
          <w:sz w:val="20"/>
          <w:szCs w:val="20"/>
        </w:rPr>
        <w:t xml:space="preserve"> testou-se a aplicação de TTC a 2% e 0,05%</w:t>
      </w:r>
      <w:r w:rsidR="003E6B91">
        <w:rPr>
          <w:rFonts w:ascii="Trebuchet MS" w:eastAsiaTheme="minorHAnsi" w:hAnsi="Trebuchet MS" w:cstheme="minorBidi"/>
          <w:sz w:val="20"/>
          <w:szCs w:val="20"/>
        </w:rPr>
        <w:t xml:space="preserve"> (m/v)</w:t>
      </w:r>
      <w:r w:rsidRPr="00DC02DF">
        <w:rPr>
          <w:rFonts w:ascii="Trebuchet MS" w:eastAsiaTheme="minorHAnsi" w:hAnsi="Trebuchet MS" w:cstheme="minorBidi"/>
          <w:sz w:val="20"/>
          <w:szCs w:val="20"/>
        </w:rPr>
        <w:t xml:space="preserve">, </w:t>
      </w:r>
      <w:r w:rsidR="00F11D60">
        <w:rPr>
          <w:rFonts w:ascii="Trebuchet MS" w:eastAsiaTheme="minorHAnsi" w:hAnsi="Trebuchet MS" w:cstheme="minorBidi"/>
          <w:sz w:val="20"/>
          <w:szCs w:val="20"/>
        </w:rPr>
        <w:t>tendo-se observado</w:t>
      </w:r>
      <w:r w:rsidR="00212F28" w:rsidRPr="00140464">
        <w:rPr>
          <w:rFonts w:ascii="Trebuchet MS" w:eastAsiaTheme="minorHAnsi" w:hAnsi="Trebuchet MS" w:cstheme="minorBidi"/>
          <w:sz w:val="20"/>
          <w:szCs w:val="20"/>
        </w:rPr>
        <w:t xml:space="preserve"> que os valores de absorvência</w:t>
      </w:r>
      <w:r w:rsidR="00212F28">
        <w:rPr>
          <w:rFonts w:ascii="Trebuchet MS" w:eastAsiaTheme="minorHAnsi" w:hAnsi="Trebuchet MS" w:cstheme="minorBidi"/>
          <w:sz w:val="20"/>
          <w:szCs w:val="20"/>
        </w:rPr>
        <w:t xml:space="preserve"> </w:t>
      </w:r>
      <w:r w:rsidR="00140464">
        <w:rPr>
          <w:rFonts w:ascii="Trebuchet MS" w:eastAsiaTheme="minorHAnsi" w:hAnsi="Trebuchet MS" w:cstheme="minorBidi"/>
          <w:sz w:val="20"/>
          <w:szCs w:val="20"/>
        </w:rPr>
        <w:t>não diferem muito entre as duas condições</w:t>
      </w:r>
      <w:r w:rsidR="00F11D60">
        <w:rPr>
          <w:rFonts w:ascii="Trebuchet MS" w:eastAsiaTheme="minorHAnsi" w:hAnsi="Trebuchet MS" w:cstheme="minorBidi"/>
          <w:sz w:val="20"/>
          <w:szCs w:val="20"/>
        </w:rPr>
        <w:t>.</w:t>
      </w:r>
    </w:p>
    <w:p w:rsidR="00212F28" w:rsidRPr="00DC02DF" w:rsidRDefault="00212F28" w:rsidP="00212F28">
      <w:pPr>
        <w:spacing w:after="200" w:line="360" w:lineRule="auto"/>
        <w:ind w:firstLine="708"/>
        <w:jc w:val="both"/>
        <w:rPr>
          <w:rFonts w:ascii="Trebuchet MS" w:eastAsiaTheme="minorHAnsi" w:hAnsi="Trebuchet MS" w:cstheme="minorBidi"/>
          <w:sz w:val="20"/>
          <w:szCs w:val="20"/>
        </w:rPr>
      </w:pPr>
      <w:r w:rsidRPr="00DC02DF">
        <w:rPr>
          <w:rFonts w:ascii="Trebuchet MS" w:eastAsiaTheme="minorHAnsi" w:hAnsi="Trebuchet MS" w:cstheme="minorBidi"/>
          <w:sz w:val="20"/>
          <w:szCs w:val="20"/>
        </w:rPr>
        <w:t xml:space="preserve">A comparação entre </w:t>
      </w:r>
      <w:r w:rsidR="00D458AC">
        <w:rPr>
          <w:rFonts w:ascii="Trebuchet MS" w:eastAsiaTheme="minorHAnsi" w:hAnsi="Trebuchet MS" w:cstheme="minorBidi"/>
          <w:sz w:val="20"/>
          <w:szCs w:val="20"/>
        </w:rPr>
        <w:t xml:space="preserve">a incubação com </w:t>
      </w:r>
      <w:r w:rsidRPr="00DC02DF">
        <w:rPr>
          <w:rFonts w:ascii="Trebuchet MS" w:eastAsiaTheme="minorHAnsi" w:hAnsi="Trebuchet MS" w:cstheme="minorBidi"/>
          <w:sz w:val="20"/>
          <w:szCs w:val="20"/>
        </w:rPr>
        <w:t xml:space="preserve">TTC a 0,05 e 2% </w:t>
      </w:r>
      <w:r w:rsidR="00D458AC">
        <w:rPr>
          <w:rFonts w:ascii="Trebuchet MS" w:eastAsiaTheme="minorHAnsi" w:hAnsi="Trebuchet MS" w:cstheme="minorBidi"/>
          <w:sz w:val="20"/>
          <w:szCs w:val="20"/>
        </w:rPr>
        <w:t xml:space="preserve">(m/v) </w:t>
      </w:r>
      <w:r w:rsidRPr="00DC02DF">
        <w:rPr>
          <w:rFonts w:ascii="Trebuchet MS" w:eastAsiaTheme="minorHAnsi" w:hAnsi="Trebuchet MS" w:cstheme="minorBidi"/>
          <w:sz w:val="20"/>
          <w:szCs w:val="20"/>
        </w:rPr>
        <w:t xml:space="preserve">foi realizada </w:t>
      </w:r>
      <w:r w:rsidR="00D458AC">
        <w:rPr>
          <w:rFonts w:ascii="Trebuchet MS" w:eastAsiaTheme="minorHAnsi" w:hAnsi="Trebuchet MS" w:cstheme="minorBidi"/>
          <w:sz w:val="20"/>
          <w:szCs w:val="20"/>
        </w:rPr>
        <w:t>quer ma</w:t>
      </w:r>
      <w:r w:rsidR="00D458AC">
        <w:rPr>
          <w:rFonts w:ascii="Trebuchet MS" w:eastAsiaTheme="minorHAnsi" w:hAnsi="Trebuchet MS" w:cstheme="minorBidi"/>
          <w:sz w:val="20"/>
          <w:szCs w:val="20"/>
        </w:rPr>
        <w:t>n</w:t>
      </w:r>
      <w:r w:rsidR="00D458AC">
        <w:rPr>
          <w:rFonts w:ascii="Trebuchet MS" w:eastAsiaTheme="minorHAnsi" w:hAnsi="Trebuchet MS" w:cstheme="minorBidi"/>
          <w:sz w:val="20"/>
          <w:szCs w:val="20"/>
        </w:rPr>
        <w:t>tendo as fatias nas câmaras de perfusão, quer colocando-as em reservatórios de incubação</w:t>
      </w:r>
      <w:r w:rsidRPr="00DC02DF">
        <w:rPr>
          <w:rFonts w:ascii="Trebuchet MS" w:eastAsiaTheme="minorHAnsi" w:hAnsi="Trebuchet MS" w:cstheme="minorBidi"/>
          <w:sz w:val="20"/>
          <w:szCs w:val="20"/>
        </w:rPr>
        <w:t xml:space="preserve"> (gobelés). Durante a incubação com Krebs-TTC, os gobelés foram verificados periodicamente com leve agitação (15 em 15 minutos) para assegurar que porções de tecido não aderissem às extremidades do</w:t>
      </w:r>
      <w:r w:rsidRPr="00DC02DF">
        <w:rPr>
          <w:rFonts w:ascii="Trebuchet MS" w:eastAsiaTheme="minorHAnsi" w:hAnsi="Trebuchet MS" w:cstheme="minorBidi"/>
          <w:i/>
          <w:sz w:val="20"/>
          <w:szCs w:val="20"/>
        </w:rPr>
        <w:t xml:space="preserve"> cell strainer</w:t>
      </w:r>
      <w:r w:rsidRPr="00DC02DF">
        <w:rPr>
          <w:rFonts w:ascii="Trebuchet MS" w:eastAsiaTheme="minorHAnsi" w:hAnsi="Trebuchet MS" w:cstheme="minorBidi"/>
          <w:sz w:val="20"/>
          <w:szCs w:val="20"/>
        </w:rPr>
        <w:t xml:space="preserve"> ou para evitar a s</w:t>
      </w:r>
      <w:r w:rsidR="00783D03">
        <w:rPr>
          <w:rFonts w:ascii="Trebuchet MS" w:eastAsiaTheme="minorHAnsi" w:hAnsi="Trebuchet MS" w:cstheme="minorBidi"/>
          <w:sz w:val="20"/>
          <w:szCs w:val="20"/>
        </w:rPr>
        <w:t xml:space="preserve">obreposição das fatias entre si. </w:t>
      </w:r>
    </w:p>
    <w:p w:rsidR="00CB53FD" w:rsidRPr="00751D14" w:rsidRDefault="00CB53FD" w:rsidP="00CB53FD">
      <w:pPr>
        <w:spacing w:after="200"/>
        <w:jc w:val="center"/>
        <w:rPr>
          <w:rFonts w:ascii="Trebuchet MS" w:eastAsiaTheme="minorHAnsi" w:hAnsi="Trebuchet MS" w:cstheme="minorBidi"/>
          <w:szCs w:val="20"/>
        </w:rPr>
      </w:pPr>
      <w:r w:rsidRPr="00751D14">
        <w:rPr>
          <w:rFonts w:ascii="Trebuchet MS" w:eastAsiaTheme="minorHAnsi" w:hAnsi="Trebuchet MS" w:cstheme="minorBidi"/>
          <w:noProof/>
          <w:szCs w:val="20"/>
          <w:lang w:eastAsia="pt-PT"/>
        </w:rPr>
        <w:drawing>
          <wp:inline distT="0" distB="0" distL="0" distR="0">
            <wp:extent cx="2108812" cy="1982419"/>
            <wp:effectExtent l="19050" t="0" r="5738" b="0"/>
            <wp:docPr id="36" name="Imagem 17" descr="C:\Users\Blandina Esteves\Desktop\Tese Mestrado BQ\Fotos Mestrado BQ\Imagem(1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landina Esteves\Desktop\Tese Mestrado BQ\Fotos Mestrado BQ\Imagem(148).jpg"/>
                    <pic:cNvPicPr>
                      <a:picLocks noChangeAspect="1" noChangeArrowheads="1"/>
                    </pic:cNvPicPr>
                  </pic:nvPicPr>
                  <pic:blipFill>
                    <a:blip r:embed="rId43" cstate="print"/>
                    <a:srcRect t="20079" b="7677"/>
                    <a:stretch>
                      <a:fillRect/>
                    </a:stretch>
                  </pic:blipFill>
                  <pic:spPr bwMode="auto">
                    <a:xfrm>
                      <a:off x="0" y="0"/>
                      <a:ext cx="2109063" cy="1982655"/>
                    </a:xfrm>
                    <a:prstGeom prst="rect">
                      <a:avLst/>
                    </a:prstGeom>
                    <a:noFill/>
                    <a:ln w="9525">
                      <a:noFill/>
                      <a:miter lim="800000"/>
                      <a:headEnd/>
                      <a:tailEnd/>
                    </a:ln>
                  </pic:spPr>
                </pic:pic>
              </a:graphicData>
            </a:graphic>
          </wp:inline>
        </w:drawing>
      </w:r>
      <w:r w:rsidRPr="00751D14">
        <w:rPr>
          <w:rFonts w:ascii="Trebuchet MS" w:eastAsiaTheme="minorHAnsi" w:hAnsi="Trebuchet MS" w:cstheme="minorBidi"/>
          <w:noProof/>
          <w:szCs w:val="20"/>
          <w:lang w:eastAsia="pt-PT"/>
        </w:rPr>
        <w:drawing>
          <wp:inline distT="0" distB="0" distL="0" distR="0">
            <wp:extent cx="1670762" cy="1979359"/>
            <wp:effectExtent l="19050" t="0" r="5638" b="0"/>
            <wp:docPr id="38" name="Imagem 18" descr="C:\Users\Blandina Esteves\Desktop\Tese Mestrado BQ\Fotos Mestrado BQ\Imagem(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landina Esteves\Desktop\Tese Mestrado BQ\Fotos Mestrado BQ\Imagem(147).jpg"/>
                    <pic:cNvPicPr>
                      <a:picLocks noChangeAspect="1" noChangeArrowheads="1"/>
                    </pic:cNvPicPr>
                  </pic:nvPicPr>
                  <pic:blipFill>
                    <a:blip r:embed="rId44" cstate="print"/>
                    <a:srcRect t="1181" b="8268"/>
                    <a:stretch>
                      <a:fillRect/>
                    </a:stretch>
                  </pic:blipFill>
                  <pic:spPr bwMode="auto">
                    <a:xfrm>
                      <a:off x="0" y="0"/>
                      <a:ext cx="1672602" cy="1981539"/>
                    </a:xfrm>
                    <a:prstGeom prst="rect">
                      <a:avLst/>
                    </a:prstGeom>
                    <a:noFill/>
                    <a:ln w="9525">
                      <a:noFill/>
                      <a:miter lim="800000"/>
                      <a:headEnd/>
                      <a:tailEnd/>
                    </a:ln>
                  </pic:spPr>
                </pic:pic>
              </a:graphicData>
            </a:graphic>
          </wp:inline>
        </w:drawing>
      </w:r>
    </w:p>
    <w:p w:rsidR="00CB53FD" w:rsidRPr="00DC02DF" w:rsidRDefault="00CB53FD" w:rsidP="00CB53FD">
      <w:pPr>
        <w:spacing w:after="200" w:line="360" w:lineRule="auto"/>
        <w:jc w:val="center"/>
        <w:rPr>
          <w:rFonts w:ascii="Trebuchet MS" w:eastAsiaTheme="minorHAnsi" w:hAnsi="Trebuchet MS" w:cstheme="minorBidi"/>
          <w:sz w:val="18"/>
          <w:szCs w:val="20"/>
        </w:rPr>
      </w:pPr>
      <w:r w:rsidRPr="00DC02DF">
        <w:rPr>
          <w:rFonts w:ascii="Trebuchet MS" w:eastAsiaTheme="minorHAnsi" w:hAnsi="Trebuchet MS" w:cstheme="minorBidi"/>
          <w:sz w:val="18"/>
          <w:szCs w:val="20"/>
        </w:rPr>
        <w:t>Fig.</w:t>
      </w:r>
      <w:r>
        <w:rPr>
          <w:rFonts w:ascii="Trebuchet MS" w:eastAsiaTheme="minorHAnsi" w:hAnsi="Trebuchet MS" w:cstheme="minorBidi"/>
          <w:sz w:val="18"/>
          <w:szCs w:val="20"/>
        </w:rPr>
        <w:t>3</w:t>
      </w:r>
      <w:r w:rsidRPr="00DC02DF">
        <w:rPr>
          <w:rFonts w:ascii="Trebuchet MS" w:eastAsiaTheme="minorHAnsi" w:hAnsi="Trebuchet MS" w:cstheme="minorBidi"/>
          <w:sz w:val="18"/>
          <w:szCs w:val="20"/>
        </w:rPr>
        <w:t>.1</w:t>
      </w:r>
      <w:r>
        <w:rPr>
          <w:rFonts w:ascii="Trebuchet MS" w:eastAsiaTheme="minorHAnsi" w:hAnsi="Trebuchet MS" w:cstheme="minorBidi"/>
          <w:sz w:val="18"/>
          <w:szCs w:val="20"/>
        </w:rPr>
        <w:t>1</w:t>
      </w:r>
      <w:r w:rsidRPr="00DC02DF">
        <w:rPr>
          <w:rFonts w:ascii="Trebuchet MS" w:eastAsiaTheme="minorHAnsi" w:hAnsi="Trebuchet MS" w:cstheme="minorBidi"/>
          <w:sz w:val="18"/>
          <w:szCs w:val="20"/>
        </w:rPr>
        <w:t>. Imagem representativa de fatias coradas pelo TTC a 0,05%.</w:t>
      </w:r>
    </w:p>
    <w:p w:rsidR="00CB53FD" w:rsidRDefault="00CB53FD" w:rsidP="00CB53FD">
      <w:pPr>
        <w:spacing w:line="360" w:lineRule="auto"/>
        <w:ind w:firstLine="720"/>
        <w:jc w:val="both"/>
        <w:rPr>
          <w:rFonts w:ascii="Trebuchet MS" w:eastAsiaTheme="minorHAnsi" w:hAnsi="Trebuchet MS" w:cstheme="minorBidi"/>
          <w:sz w:val="20"/>
          <w:szCs w:val="20"/>
        </w:rPr>
      </w:pPr>
      <w:r w:rsidRPr="00DC02DF">
        <w:rPr>
          <w:rFonts w:ascii="Trebuchet MS" w:eastAsiaTheme="minorHAnsi" w:hAnsi="Trebuchet MS" w:cstheme="minorBidi"/>
          <w:sz w:val="20"/>
          <w:szCs w:val="20"/>
        </w:rPr>
        <w:t xml:space="preserve">Comparando o sistema onde </w:t>
      </w:r>
      <w:r w:rsidR="005D2B84">
        <w:rPr>
          <w:rFonts w:ascii="Trebuchet MS" w:eastAsiaTheme="minorHAnsi" w:hAnsi="Trebuchet MS" w:cstheme="minorBidi"/>
          <w:sz w:val="20"/>
          <w:szCs w:val="20"/>
        </w:rPr>
        <w:t>foi</w:t>
      </w:r>
      <w:r w:rsidRPr="00DC02DF">
        <w:rPr>
          <w:rFonts w:ascii="Trebuchet MS" w:eastAsiaTheme="minorHAnsi" w:hAnsi="Trebuchet MS" w:cstheme="minorBidi"/>
          <w:sz w:val="20"/>
          <w:szCs w:val="20"/>
        </w:rPr>
        <w:t xml:space="preserve"> realizad</w:t>
      </w:r>
      <w:r w:rsidR="00A12671">
        <w:rPr>
          <w:rFonts w:ascii="Trebuchet MS" w:eastAsiaTheme="minorHAnsi" w:hAnsi="Trebuchet MS" w:cstheme="minorBidi"/>
          <w:sz w:val="20"/>
          <w:szCs w:val="20"/>
        </w:rPr>
        <w:t>a a</w:t>
      </w:r>
      <w:r w:rsidR="005D2B84">
        <w:rPr>
          <w:rFonts w:ascii="Trebuchet MS" w:eastAsiaTheme="minorHAnsi" w:hAnsi="Trebuchet MS" w:cstheme="minorBidi"/>
          <w:sz w:val="20"/>
          <w:szCs w:val="20"/>
        </w:rPr>
        <w:t xml:space="preserve"> incubação com</w:t>
      </w:r>
      <w:r w:rsidRPr="00DC02DF">
        <w:rPr>
          <w:rFonts w:ascii="Trebuchet MS" w:eastAsiaTheme="minorHAnsi" w:hAnsi="Trebuchet MS" w:cstheme="minorBidi"/>
          <w:sz w:val="20"/>
          <w:szCs w:val="20"/>
        </w:rPr>
        <w:t xml:space="preserve"> o TTC, se </w:t>
      </w:r>
      <w:r w:rsidR="005D2B84">
        <w:rPr>
          <w:rFonts w:ascii="Trebuchet MS" w:eastAsiaTheme="minorHAnsi" w:hAnsi="Trebuchet MS" w:cstheme="minorBidi"/>
          <w:sz w:val="20"/>
          <w:szCs w:val="20"/>
        </w:rPr>
        <w:t>foi</w:t>
      </w:r>
      <w:r w:rsidRPr="00DC02DF">
        <w:rPr>
          <w:rFonts w:ascii="Trebuchet MS" w:eastAsiaTheme="minorHAnsi" w:hAnsi="Trebuchet MS" w:cstheme="minorBidi"/>
          <w:sz w:val="20"/>
          <w:szCs w:val="20"/>
        </w:rPr>
        <w:t xml:space="preserve"> efectuad</w:t>
      </w:r>
      <w:r w:rsidR="005D2B84">
        <w:rPr>
          <w:rFonts w:ascii="Trebuchet MS" w:eastAsiaTheme="minorHAnsi" w:hAnsi="Trebuchet MS" w:cstheme="minorBidi"/>
          <w:sz w:val="20"/>
          <w:szCs w:val="20"/>
        </w:rPr>
        <w:t>a</w:t>
      </w:r>
      <w:r w:rsidRPr="00DC02DF">
        <w:rPr>
          <w:rFonts w:ascii="Trebuchet MS" w:eastAsiaTheme="minorHAnsi" w:hAnsi="Trebuchet MS" w:cstheme="minorBidi"/>
          <w:sz w:val="20"/>
          <w:szCs w:val="20"/>
        </w:rPr>
        <w:t xml:space="preserve"> no sistema de perfusão ou em gobelés de incubação, conclui-se que o sistema de perfusão ofer</w:t>
      </w:r>
      <w:r w:rsidRPr="00DC02DF">
        <w:rPr>
          <w:rFonts w:ascii="Trebuchet MS" w:eastAsiaTheme="minorHAnsi" w:hAnsi="Trebuchet MS" w:cstheme="minorBidi"/>
          <w:sz w:val="20"/>
          <w:szCs w:val="20"/>
        </w:rPr>
        <w:t>e</w:t>
      </w:r>
      <w:r w:rsidRPr="00DC02DF">
        <w:rPr>
          <w:rFonts w:ascii="Trebuchet MS" w:eastAsiaTheme="minorHAnsi" w:hAnsi="Trebuchet MS" w:cstheme="minorBidi"/>
          <w:sz w:val="20"/>
          <w:szCs w:val="20"/>
        </w:rPr>
        <w:lastRenderedPageBreak/>
        <w:t xml:space="preserve">ce melhor acomodação e estabilidade das fatias, já que os resultados obtidos </w:t>
      </w:r>
      <w:r w:rsidR="005D2B84">
        <w:rPr>
          <w:rFonts w:ascii="Trebuchet MS" w:eastAsiaTheme="minorHAnsi" w:hAnsi="Trebuchet MS" w:cstheme="minorBidi"/>
          <w:sz w:val="20"/>
          <w:szCs w:val="20"/>
        </w:rPr>
        <w:t xml:space="preserve">não diferem significativamente entre os dois métodos (consultar tabela </w:t>
      </w:r>
      <w:r w:rsidR="00713628">
        <w:rPr>
          <w:rFonts w:ascii="Trebuchet MS" w:eastAsiaTheme="minorHAnsi" w:hAnsi="Trebuchet MS" w:cstheme="minorBidi"/>
          <w:sz w:val="20"/>
          <w:szCs w:val="20"/>
        </w:rPr>
        <w:t>4.</w:t>
      </w:r>
      <w:r w:rsidR="005D2B84">
        <w:rPr>
          <w:rFonts w:ascii="Trebuchet MS" w:eastAsiaTheme="minorHAnsi" w:hAnsi="Trebuchet MS" w:cstheme="minorBidi"/>
          <w:sz w:val="20"/>
          <w:szCs w:val="20"/>
        </w:rPr>
        <w:t>1)</w:t>
      </w:r>
      <w:r w:rsidRPr="00DC02DF">
        <w:rPr>
          <w:rFonts w:ascii="Trebuchet MS" w:eastAsiaTheme="minorHAnsi" w:hAnsi="Trebuchet MS" w:cstheme="minorBidi"/>
          <w:sz w:val="20"/>
          <w:szCs w:val="20"/>
        </w:rPr>
        <w:t>.</w:t>
      </w:r>
    </w:p>
    <w:p w:rsidR="009556E8" w:rsidRDefault="009556E8" w:rsidP="00CB53FD">
      <w:pPr>
        <w:spacing w:line="360" w:lineRule="auto"/>
        <w:ind w:firstLine="720"/>
        <w:jc w:val="both"/>
        <w:rPr>
          <w:rFonts w:ascii="Trebuchet MS" w:eastAsiaTheme="minorHAnsi" w:hAnsi="Trebuchet MS" w:cstheme="minorBidi"/>
          <w:sz w:val="20"/>
          <w:szCs w:val="20"/>
        </w:rPr>
      </w:pPr>
    </w:p>
    <w:p w:rsidR="00890D1C" w:rsidRDefault="009556E8" w:rsidP="00A12671">
      <w:pPr>
        <w:spacing w:line="360" w:lineRule="auto"/>
        <w:ind w:left="851" w:right="850"/>
        <w:jc w:val="both"/>
        <w:rPr>
          <w:rFonts w:ascii="Trebuchet MS" w:eastAsiaTheme="minorHAnsi" w:hAnsi="Trebuchet MS" w:cstheme="minorBidi"/>
          <w:sz w:val="18"/>
          <w:szCs w:val="20"/>
        </w:rPr>
      </w:pPr>
      <w:r w:rsidRPr="009556E8">
        <w:rPr>
          <w:rFonts w:ascii="Trebuchet MS" w:eastAsiaTheme="minorHAnsi" w:hAnsi="Trebuchet MS" w:cstheme="minorBidi"/>
          <w:sz w:val="18"/>
          <w:szCs w:val="20"/>
        </w:rPr>
        <w:t>Tabela 4.1.</w:t>
      </w:r>
      <w:r>
        <w:rPr>
          <w:rFonts w:ascii="Trebuchet MS" w:eastAsiaTheme="minorHAnsi" w:hAnsi="Trebuchet MS" w:cstheme="minorBidi"/>
          <w:sz w:val="18"/>
          <w:szCs w:val="20"/>
        </w:rPr>
        <w:t xml:space="preserve"> Absorvência obtida (a 485nm) após incubação das fatias com TTC (0,05% e 2%, m/v) durante 1hora e 30 minutos em câmaras de perfusão (1mL/min) e em gobelés. As fatias foram previamente perfundidas a 37ºC com krebs saturado com carbogénio durante </w:t>
      </w:r>
      <w:r w:rsidR="00D10CA8">
        <w:rPr>
          <w:rFonts w:ascii="Trebuchet MS" w:eastAsiaTheme="minorHAnsi" w:hAnsi="Trebuchet MS" w:cstheme="minorBidi"/>
          <w:sz w:val="18"/>
          <w:szCs w:val="20"/>
        </w:rPr>
        <w:t xml:space="preserve">5 </w:t>
      </w:r>
      <w:r>
        <w:rPr>
          <w:rFonts w:ascii="Trebuchet MS" w:eastAsiaTheme="minorHAnsi" w:hAnsi="Trebuchet MS" w:cstheme="minorBidi"/>
          <w:sz w:val="18"/>
          <w:szCs w:val="20"/>
        </w:rPr>
        <w:t>horas, antes da incubação como TTC. Os resultados são expressos como média ± desvio padrão de n replicados.</w:t>
      </w:r>
    </w:p>
    <w:tbl>
      <w:tblPr>
        <w:tblStyle w:val="Tabelacomgrelha"/>
        <w:tblW w:w="0" w:type="auto"/>
        <w:jc w:val="center"/>
        <w:tblInd w:w="709" w:type="dxa"/>
        <w:tblLook w:val="04A0"/>
      </w:tblPr>
      <w:tblGrid>
        <w:gridCol w:w="2660"/>
        <w:gridCol w:w="1700"/>
        <w:gridCol w:w="1806"/>
      </w:tblGrid>
      <w:tr w:rsidR="006D1613" w:rsidRPr="002F489F" w:rsidTr="0030626C">
        <w:trPr>
          <w:jc w:val="center"/>
        </w:trPr>
        <w:tc>
          <w:tcPr>
            <w:tcW w:w="2660" w:type="dxa"/>
            <w:tcBorders>
              <w:top w:val="nil"/>
              <w:left w:val="nil"/>
              <w:bottom w:val="single" w:sz="4" w:space="0" w:color="auto"/>
            </w:tcBorders>
            <w:vAlign w:val="center"/>
          </w:tcPr>
          <w:p w:rsidR="006D1613" w:rsidRPr="002F489F" w:rsidRDefault="006D1613" w:rsidP="002F489F">
            <w:pPr>
              <w:spacing w:before="120" w:line="360" w:lineRule="auto"/>
              <w:ind w:right="850"/>
              <w:jc w:val="center"/>
              <w:rPr>
                <w:rFonts w:ascii="Trebuchet MS" w:eastAsiaTheme="minorHAnsi" w:hAnsi="Trebuchet MS" w:cstheme="minorBidi"/>
                <w:b/>
                <w:color w:val="0070C0"/>
                <w:sz w:val="20"/>
                <w:szCs w:val="20"/>
              </w:rPr>
            </w:pPr>
          </w:p>
        </w:tc>
        <w:tc>
          <w:tcPr>
            <w:tcW w:w="3506" w:type="dxa"/>
            <w:gridSpan w:val="2"/>
            <w:shd w:val="clear" w:color="auto" w:fill="D9D9D9" w:themeFill="background1" w:themeFillShade="D9"/>
            <w:vAlign w:val="center"/>
          </w:tcPr>
          <w:p w:rsidR="006D1613" w:rsidRPr="0030626C" w:rsidRDefault="006D1613" w:rsidP="0030626C">
            <w:pPr>
              <w:tabs>
                <w:tab w:val="left" w:pos="3434"/>
              </w:tabs>
              <w:spacing w:before="120" w:line="360" w:lineRule="auto"/>
              <w:jc w:val="center"/>
              <w:rPr>
                <w:rFonts w:ascii="Trebuchet MS" w:eastAsiaTheme="minorHAnsi" w:hAnsi="Trebuchet MS" w:cstheme="minorBidi"/>
                <w:b/>
                <w:color w:val="0070C0"/>
                <w:sz w:val="20"/>
                <w:szCs w:val="20"/>
              </w:rPr>
            </w:pPr>
            <w:r w:rsidRPr="0030626C">
              <w:rPr>
                <w:rFonts w:ascii="Trebuchet MS" w:eastAsiaTheme="minorHAnsi" w:hAnsi="Trebuchet MS" w:cstheme="minorBidi"/>
                <w:b/>
                <w:color w:val="0070C0"/>
                <w:sz w:val="20"/>
                <w:szCs w:val="20"/>
              </w:rPr>
              <w:t>[TTC] (m/v)</w:t>
            </w:r>
          </w:p>
        </w:tc>
      </w:tr>
      <w:tr w:rsidR="00AB08A0" w:rsidRPr="002F489F" w:rsidTr="0030626C">
        <w:trPr>
          <w:jc w:val="center"/>
        </w:trPr>
        <w:tc>
          <w:tcPr>
            <w:tcW w:w="2660" w:type="dxa"/>
            <w:shd w:val="clear" w:color="auto" w:fill="C6D9F1" w:themeFill="text2" w:themeFillTint="33"/>
            <w:vAlign w:val="center"/>
          </w:tcPr>
          <w:p w:rsidR="006D1613" w:rsidRPr="002F489F" w:rsidRDefault="006D1613" w:rsidP="002F489F">
            <w:pPr>
              <w:spacing w:before="120" w:line="360" w:lineRule="auto"/>
              <w:ind w:right="-108"/>
              <w:jc w:val="center"/>
              <w:rPr>
                <w:rFonts w:ascii="Trebuchet MS" w:eastAsiaTheme="minorHAnsi" w:hAnsi="Trebuchet MS" w:cstheme="minorBidi"/>
                <w:b/>
                <w:color w:val="0070C0"/>
                <w:sz w:val="20"/>
                <w:szCs w:val="20"/>
              </w:rPr>
            </w:pPr>
            <w:r w:rsidRPr="002F489F">
              <w:rPr>
                <w:rFonts w:ascii="Trebuchet MS" w:eastAsiaTheme="minorHAnsi" w:hAnsi="Trebuchet MS" w:cstheme="minorBidi"/>
                <w:b/>
                <w:color w:val="0070C0"/>
                <w:sz w:val="20"/>
                <w:szCs w:val="20"/>
              </w:rPr>
              <w:t>Sistema de incubação</w:t>
            </w:r>
          </w:p>
        </w:tc>
        <w:tc>
          <w:tcPr>
            <w:tcW w:w="1700" w:type="dxa"/>
            <w:shd w:val="clear" w:color="auto" w:fill="D9D9D9" w:themeFill="background1" w:themeFillShade="D9"/>
            <w:vAlign w:val="center"/>
          </w:tcPr>
          <w:p w:rsidR="006D1613" w:rsidRPr="0030626C" w:rsidRDefault="002F489F" w:rsidP="002F489F">
            <w:pPr>
              <w:spacing w:before="120" w:line="360" w:lineRule="auto"/>
              <w:ind w:right="103"/>
              <w:jc w:val="center"/>
              <w:rPr>
                <w:rFonts w:ascii="Trebuchet MS" w:eastAsiaTheme="minorHAnsi" w:hAnsi="Trebuchet MS" w:cstheme="minorBidi"/>
                <w:b/>
                <w:color w:val="0070C0"/>
                <w:sz w:val="20"/>
                <w:szCs w:val="20"/>
              </w:rPr>
            </w:pPr>
            <w:r w:rsidRPr="0030626C">
              <w:rPr>
                <w:rFonts w:ascii="Trebuchet MS" w:eastAsiaTheme="minorHAnsi" w:hAnsi="Trebuchet MS" w:cstheme="minorBidi"/>
                <w:b/>
                <w:color w:val="0070C0"/>
                <w:sz w:val="20"/>
                <w:szCs w:val="20"/>
              </w:rPr>
              <w:t>0,05%</w:t>
            </w:r>
          </w:p>
        </w:tc>
        <w:tc>
          <w:tcPr>
            <w:tcW w:w="1806" w:type="dxa"/>
            <w:shd w:val="clear" w:color="auto" w:fill="D9D9D9" w:themeFill="background1" w:themeFillShade="D9"/>
            <w:vAlign w:val="center"/>
          </w:tcPr>
          <w:p w:rsidR="006D1613" w:rsidRPr="0030626C" w:rsidRDefault="002F489F" w:rsidP="002F489F">
            <w:pPr>
              <w:spacing w:before="120" w:line="360" w:lineRule="auto"/>
              <w:ind w:right="300"/>
              <w:jc w:val="center"/>
              <w:rPr>
                <w:rFonts w:ascii="Trebuchet MS" w:eastAsiaTheme="minorHAnsi" w:hAnsi="Trebuchet MS" w:cstheme="minorBidi"/>
                <w:b/>
                <w:color w:val="0070C0"/>
                <w:sz w:val="20"/>
                <w:szCs w:val="20"/>
              </w:rPr>
            </w:pPr>
            <w:r w:rsidRPr="0030626C">
              <w:rPr>
                <w:rFonts w:ascii="Trebuchet MS" w:eastAsiaTheme="minorHAnsi" w:hAnsi="Trebuchet MS" w:cstheme="minorBidi"/>
                <w:b/>
                <w:color w:val="0070C0"/>
                <w:sz w:val="20"/>
                <w:szCs w:val="20"/>
              </w:rPr>
              <w:t>2%</w:t>
            </w:r>
          </w:p>
        </w:tc>
      </w:tr>
      <w:tr w:rsidR="00AB08A0" w:rsidRPr="002F489F" w:rsidTr="00AB08A0">
        <w:trPr>
          <w:jc w:val="center"/>
        </w:trPr>
        <w:tc>
          <w:tcPr>
            <w:tcW w:w="2660" w:type="dxa"/>
            <w:vAlign w:val="center"/>
          </w:tcPr>
          <w:p w:rsidR="006D1613" w:rsidRPr="0030626C" w:rsidRDefault="006D1613" w:rsidP="002F489F">
            <w:pPr>
              <w:spacing w:before="120" w:line="360" w:lineRule="auto"/>
              <w:ind w:right="176"/>
              <w:jc w:val="center"/>
              <w:rPr>
                <w:rFonts w:ascii="Trebuchet MS" w:eastAsiaTheme="minorHAnsi" w:hAnsi="Trebuchet MS" w:cstheme="minorBidi"/>
                <w:b/>
                <w:sz w:val="20"/>
                <w:szCs w:val="20"/>
              </w:rPr>
            </w:pPr>
            <w:r w:rsidRPr="0030626C">
              <w:rPr>
                <w:rFonts w:ascii="Trebuchet MS" w:eastAsiaTheme="minorHAnsi" w:hAnsi="Trebuchet MS" w:cstheme="minorBidi"/>
                <w:b/>
                <w:sz w:val="20"/>
                <w:szCs w:val="20"/>
              </w:rPr>
              <w:t>Câmara</w:t>
            </w:r>
            <w:r w:rsidR="0030626C">
              <w:rPr>
                <w:rFonts w:ascii="Trebuchet MS" w:eastAsiaTheme="minorHAnsi" w:hAnsi="Trebuchet MS" w:cstheme="minorBidi"/>
                <w:b/>
                <w:sz w:val="20"/>
                <w:szCs w:val="20"/>
              </w:rPr>
              <w:t>s</w:t>
            </w:r>
            <w:r w:rsidRPr="0030626C">
              <w:rPr>
                <w:rFonts w:ascii="Trebuchet MS" w:eastAsiaTheme="minorHAnsi" w:hAnsi="Trebuchet MS" w:cstheme="minorBidi"/>
                <w:b/>
                <w:sz w:val="20"/>
                <w:szCs w:val="20"/>
              </w:rPr>
              <w:t xml:space="preserve"> de perfusão</w:t>
            </w:r>
          </w:p>
        </w:tc>
        <w:tc>
          <w:tcPr>
            <w:tcW w:w="1700" w:type="dxa"/>
            <w:vAlign w:val="center"/>
          </w:tcPr>
          <w:p w:rsidR="006D1613" w:rsidRPr="002F489F" w:rsidRDefault="00AB08A0" w:rsidP="00AB08A0">
            <w:pPr>
              <w:tabs>
                <w:tab w:val="left" w:pos="1343"/>
              </w:tabs>
              <w:spacing w:before="120" w:line="360" w:lineRule="auto"/>
              <w:ind w:right="-52"/>
              <w:jc w:val="center"/>
              <w:rPr>
                <w:rFonts w:ascii="Trebuchet MS" w:eastAsiaTheme="minorHAnsi" w:hAnsi="Trebuchet MS" w:cstheme="minorBidi"/>
                <w:sz w:val="20"/>
                <w:szCs w:val="20"/>
              </w:rPr>
            </w:pPr>
            <w:r>
              <w:rPr>
                <w:rFonts w:ascii="Trebuchet MS" w:eastAsiaTheme="minorHAnsi" w:hAnsi="Trebuchet MS" w:cstheme="minorBidi"/>
                <w:sz w:val="20"/>
                <w:szCs w:val="20"/>
              </w:rPr>
              <w:t>0,184 ± 0,075 (n=4)</w:t>
            </w:r>
          </w:p>
        </w:tc>
        <w:tc>
          <w:tcPr>
            <w:tcW w:w="1806" w:type="dxa"/>
            <w:vAlign w:val="center"/>
          </w:tcPr>
          <w:p w:rsidR="006D1613" w:rsidRPr="002F489F" w:rsidRDefault="00AB08A0" w:rsidP="00AB08A0">
            <w:pPr>
              <w:spacing w:before="120" w:line="360" w:lineRule="auto"/>
              <w:ind w:right="-40"/>
              <w:jc w:val="center"/>
              <w:rPr>
                <w:rFonts w:ascii="Trebuchet MS" w:eastAsiaTheme="minorHAnsi" w:hAnsi="Trebuchet MS" w:cstheme="minorBidi"/>
                <w:sz w:val="20"/>
                <w:szCs w:val="20"/>
              </w:rPr>
            </w:pPr>
            <w:r>
              <w:rPr>
                <w:rFonts w:ascii="Trebuchet MS" w:eastAsiaTheme="minorHAnsi" w:hAnsi="Trebuchet MS" w:cstheme="minorBidi"/>
                <w:sz w:val="20"/>
                <w:szCs w:val="20"/>
              </w:rPr>
              <w:t>0,071 ± 0,030 (n=2)</w:t>
            </w:r>
          </w:p>
        </w:tc>
      </w:tr>
      <w:tr w:rsidR="00AB08A0" w:rsidRPr="002F489F" w:rsidTr="00AB08A0">
        <w:trPr>
          <w:jc w:val="center"/>
        </w:trPr>
        <w:tc>
          <w:tcPr>
            <w:tcW w:w="2660" w:type="dxa"/>
            <w:vAlign w:val="center"/>
          </w:tcPr>
          <w:p w:rsidR="006D1613" w:rsidRPr="0030626C" w:rsidRDefault="006D1613" w:rsidP="002F489F">
            <w:pPr>
              <w:spacing w:before="120" w:line="360" w:lineRule="auto"/>
              <w:ind w:right="-108"/>
              <w:jc w:val="center"/>
              <w:rPr>
                <w:rFonts w:ascii="Trebuchet MS" w:eastAsiaTheme="minorHAnsi" w:hAnsi="Trebuchet MS" w:cstheme="minorBidi"/>
                <w:b/>
                <w:sz w:val="20"/>
                <w:szCs w:val="20"/>
              </w:rPr>
            </w:pPr>
            <w:r w:rsidRPr="0030626C">
              <w:rPr>
                <w:rFonts w:ascii="Trebuchet MS" w:eastAsiaTheme="minorHAnsi" w:hAnsi="Trebuchet MS" w:cstheme="minorBidi"/>
                <w:b/>
                <w:sz w:val="20"/>
                <w:szCs w:val="20"/>
              </w:rPr>
              <w:t>Gobelés</w:t>
            </w:r>
          </w:p>
        </w:tc>
        <w:tc>
          <w:tcPr>
            <w:tcW w:w="1700" w:type="dxa"/>
            <w:vAlign w:val="center"/>
          </w:tcPr>
          <w:p w:rsidR="006D1613" w:rsidRPr="002F489F" w:rsidRDefault="00AB08A0" w:rsidP="00AB08A0">
            <w:pPr>
              <w:spacing w:before="120" w:line="360" w:lineRule="auto"/>
              <w:jc w:val="center"/>
              <w:rPr>
                <w:rFonts w:ascii="Trebuchet MS" w:eastAsiaTheme="minorHAnsi" w:hAnsi="Trebuchet MS" w:cstheme="minorBidi"/>
                <w:sz w:val="20"/>
                <w:szCs w:val="20"/>
              </w:rPr>
            </w:pPr>
            <w:r>
              <w:rPr>
                <w:rFonts w:ascii="Trebuchet MS" w:eastAsiaTheme="minorHAnsi" w:hAnsi="Trebuchet MS" w:cstheme="minorBidi"/>
                <w:sz w:val="20"/>
                <w:szCs w:val="20"/>
              </w:rPr>
              <w:t>0,130 ± 0,066 (n=4)</w:t>
            </w:r>
          </w:p>
        </w:tc>
        <w:tc>
          <w:tcPr>
            <w:tcW w:w="1806" w:type="dxa"/>
            <w:vAlign w:val="center"/>
          </w:tcPr>
          <w:p w:rsidR="006D1613" w:rsidRPr="002F489F" w:rsidRDefault="00AB08A0" w:rsidP="00AB08A0">
            <w:pPr>
              <w:spacing w:before="120" w:line="360" w:lineRule="auto"/>
              <w:ind w:right="-40"/>
              <w:jc w:val="center"/>
              <w:rPr>
                <w:rFonts w:ascii="Trebuchet MS" w:eastAsiaTheme="minorHAnsi" w:hAnsi="Trebuchet MS" w:cstheme="minorBidi"/>
                <w:sz w:val="20"/>
                <w:szCs w:val="20"/>
              </w:rPr>
            </w:pPr>
            <w:r>
              <w:rPr>
                <w:rFonts w:ascii="Trebuchet MS" w:eastAsiaTheme="minorHAnsi" w:hAnsi="Trebuchet MS" w:cstheme="minorBidi"/>
                <w:sz w:val="20"/>
                <w:szCs w:val="20"/>
              </w:rPr>
              <w:t>0,118 ± 0,059 (n=2)</w:t>
            </w:r>
          </w:p>
        </w:tc>
      </w:tr>
    </w:tbl>
    <w:p w:rsidR="003A661C" w:rsidRDefault="003A661C" w:rsidP="00CB53FD">
      <w:pPr>
        <w:spacing w:after="200" w:line="360" w:lineRule="auto"/>
        <w:ind w:firstLine="720"/>
        <w:jc w:val="both"/>
        <w:rPr>
          <w:rFonts w:ascii="Trebuchet MS" w:eastAsiaTheme="minorHAnsi" w:hAnsi="Trebuchet MS" w:cstheme="minorBidi"/>
          <w:sz w:val="20"/>
          <w:szCs w:val="20"/>
        </w:rPr>
      </w:pPr>
    </w:p>
    <w:p w:rsidR="00890D1C" w:rsidRDefault="001D1912" w:rsidP="00CB53FD">
      <w:pPr>
        <w:spacing w:after="200" w:line="360" w:lineRule="auto"/>
        <w:ind w:firstLine="720"/>
        <w:jc w:val="both"/>
        <w:rPr>
          <w:rFonts w:ascii="Trebuchet MS" w:eastAsiaTheme="minorHAnsi" w:hAnsi="Trebuchet MS" w:cstheme="minorBidi"/>
          <w:sz w:val="20"/>
          <w:szCs w:val="20"/>
        </w:rPr>
      </w:pPr>
      <w:r>
        <w:rPr>
          <w:rFonts w:ascii="Trebuchet MS" w:eastAsiaTheme="minorHAnsi" w:hAnsi="Trebuchet MS" w:cstheme="minorBidi"/>
          <w:sz w:val="20"/>
          <w:szCs w:val="20"/>
        </w:rPr>
        <w:t xml:space="preserve">Como se pode observar na tabela </w:t>
      </w:r>
      <w:r w:rsidR="00713628">
        <w:rPr>
          <w:rFonts w:ascii="Trebuchet MS" w:eastAsiaTheme="minorHAnsi" w:hAnsi="Trebuchet MS" w:cstheme="minorBidi"/>
          <w:sz w:val="20"/>
          <w:szCs w:val="20"/>
        </w:rPr>
        <w:t>4.</w:t>
      </w:r>
      <w:r>
        <w:rPr>
          <w:rFonts w:ascii="Trebuchet MS" w:eastAsiaTheme="minorHAnsi" w:hAnsi="Trebuchet MS" w:cstheme="minorBidi"/>
          <w:sz w:val="20"/>
          <w:szCs w:val="20"/>
        </w:rPr>
        <w:t xml:space="preserve">1, a </w:t>
      </w:r>
      <w:r w:rsidR="00713628">
        <w:rPr>
          <w:rFonts w:ascii="Trebuchet MS" w:eastAsiaTheme="minorHAnsi" w:hAnsi="Trebuchet MS" w:cstheme="minorBidi"/>
          <w:sz w:val="20"/>
          <w:szCs w:val="20"/>
        </w:rPr>
        <w:t>utilização</w:t>
      </w:r>
      <w:r>
        <w:rPr>
          <w:rFonts w:ascii="Trebuchet MS" w:eastAsiaTheme="minorHAnsi" w:hAnsi="Trebuchet MS" w:cstheme="minorBidi"/>
          <w:sz w:val="20"/>
          <w:szCs w:val="20"/>
        </w:rPr>
        <w:t xml:space="preserve"> de uma </w:t>
      </w:r>
      <w:r w:rsidR="00713628">
        <w:rPr>
          <w:rFonts w:ascii="Trebuchet MS" w:eastAsiaTheme="minorHAnsi" w:hAnsi="Trebuchet MS" w:cstheme="minorBidi"/>
          <w:sz w:val="20"/>
          <w:szCs w:val="20"/>
        </w:rPr>
        <w:t>concentração</w:t>
      </w:r>
      <w:r>
        <w:rPr>
          <w:rFonts w:ascii="Trebuchet MS" w:eastAsiaTheme="minorHAnsi" w:hAnsi="Trebuchet MS" w:cstheme="minorBidi"/>
          <w:sz w:val="20"/>
          <w:szCs w:val="20"/>
        </w:rPr>
        <w:t xml:space="preserve"> de TTC 2% não apresenta vantagens em relação à concentração de 0,05%, observando-se inclusive uma tendência para a obtenção de valores de </w:t>
      </w:r>
      <w:r w:rsidR="00713628">
        <w:rPr>
          <w:rFonts w:ascii="Trebuchet MS" w:eastAsiaTheme="minorHAnsi" w:hAnsi="Trebuchet MS" w:cstheme="minorBidi"/>
          <w:sz w:val="20"/>
          <w:szCs w:val="20"/>
        </w:rPr>
        <w:t>absorvência</w:t>
      </w:r>
      <w:r>
        <w:rPr>
          <w:rFonts w:ascii="Trebuchet MS" w:eastAsiaTheme="minorHAnsi" w:hAnsi="Trebuchet MS" w:cstheme="minorBidi"/>
          <w:sz w:val="20"/>
          <w:szCs w:val="20"/>
        </w:rPr>
        <w:t xml:space="preserve"> inferiores para TTC 2%. Embora, as dif</w:t>
      </w:r>
      <w:r>
        <w:rPr>
          <w:rFonts w:ascii="Trebuchet MS" w:eastAsiaTheme="minorHAnsi" w:hAnsi="Trebuchet MS" w:cstheme="minorBidi"/>
          <w:sz w:val="20"/>
          <w:szCs w:val="20"/>
        </w:rPr>
        <w:t>e</w:t>
      </w:r>
      <w:r>
        <w:rPr>
          <w:rFonts w:ascii="Trebuchet MS" w:eastAsiaTheme="minorHAnsi" w:hAnsi="Trebuchet MS" w:cstheme="minorBidi"/>
          <w:sz w:val="20"/>
          <w:szCs w:val="20"/>
        </w:rPr>
        <w:t>renças não sejam estatisticamente significativas (</w:t>
      </w:r>
      <w:proofErr w:type="gramStart"/>
      <w:r>
        <w:rPr>
          <w:rFonts w:ascii="Trebuchet MS" w:eastAsiaTheme="minorHAnsi" w:hAnsi="Trebuchet MS" w:cstheme="minorBidi"/>
          <w:sz w:val="20"/>
          <w:szCs w:val="20"/>
        </w:rPr>
        <w:t>p&gt;0</w:t>
      </w:r>
      <w:proofErr w:type="gramEnd"/>
      <w:r>
        <w:rPr>
          <w:rFonts w:ascii="Trebuchet MS" w:eastAsiaTheme="minorHAnsi" w:hAnsi="Trebuchet MS" w:cstheme="minorBidi"/>
          <w:sz w:val="20"/>
          <w:szCs w:val="20"/>
        </w:rPr>
        <w:t>,05).</w:t>
      </w:r>
    </w:p>
    <w:p w:rsidR="00CB53FD" w:rsidRPr="00DC02DF" w:rsidRDefault="00CB53FD" w:rsidP="00C70122">
      <w:pPr>
        <w:spacing w:line="360" w:lineRule="auto"/>
        <w:ind w:firstLine="720"/>
        <w:jc w:val="both"/>
        <w:rPr>
          <w:rFonts w:ascii="Trebuchet MS" w:eastAsiaTheme="minorHAnsi" w:hAnsi="Trebuchet MS" w:cstheme="minorBidi"/>
          <w:sz w:val="20"/>
          <w:szCs w:val="20"/>
        </w:rPr>
      </w:pPr>
      <w:r w:rsidRPr="00DC02DF">
        <w:rPr>
          <w:rFonts w:ascii="Trebuchet MS" w:eastAsiaTheme="minorHAnsi" w:hAnsi="Trebuchet MS" w:cstheme="minorBidi"/>
          <w:sz w:val="20"/>
          <w:szCs w:val="20"/>
        </w:rPr>
        <w:t xml:space="preserve">Joshi </w:t>
      </w:r>
      <w:r w:rsidRPr="00DC02DF">
        <w:rPr>
          <w:rFonts w:ascii="Trebuchet MS" w:eastAsiaTheme="minorHAnsi" w:hAnsi="Trebuchet MS" w:cstheme="minorBidi"/>
          <w:i/>
          <w:sz w:val="20"/>
          <w:szCs w:val="20"/>
        </w:rPr>
        <w:t xml:space="preserve">et al. </w:t>
      </w:r>
      <w:r w:rsidRPr="00DC02DF">
        <w:rPr>
          <w:rFonts w:ascii="Trebuchet MS" w:eastAsiaTheme="minorHAnsi" w:hAnsi="Trebuchet MS" w:cstheme="minorBidi"/>
          <w:sz w:val="20"/>
          <w:szCs w:val="20"/>
        </w:rPr>
        <w:t>(2004) estudaram a aplicação de diferentes concentrações de TTC (1%; 0,05% e 0,01%) em fatias frescas de cérebro de ratos adultos, a 37ºC durante 20 a 45 minutos. Concluíram que as fatias incubadas com TTC 0,05%, durante 30 minutos, apresentavam ópt</w:t>
      </w:r>
      <w:r w:rsidRPr="00DC02DF">
        <w:rPr>
          <w:rFonts w:ascii="Trebuchet MS" w:eastAsiaTheme="minorHAnsi" w:hAnsi="Trebuchet MS" w:cstheme="minorBidi"/>
          <w:sz w:val="20"/>
          <w:szCs w:val="20"/>
        </w:rPr>
        <w:t>i</w:t>
      </w:r>
      <w:r w:rsidRPr="00DC02DF">
        <w:rPr>
          <w:rFonts w:ascii="Trebuchet MS" w:eastAsiaTheme="minorHAnsi" w:hAnsi="Trebuchet MS" w:cstheme="minorBidi"/>
          <w:sz w:val="20"/>
          <w:szCs w:val="20"/>
        </w:rPr>
        <w:t>ma coloração, excelente contraste e melhor demarcação entre as áreas saudáveis e isquém</w:t>
      </w:r>
      <w:r w:rsidRPr="00DC02DF">
        <w:rPr>
          <w:rFonts w:ascii="Trebuchet MS" w:eastAsiaTheme="minorHAnsi" w:hAnsi="Trebuchet MS" w:cstheme="minorBidi"/>
          <w:sz w:val="20"/>
          <w:szCs w:val="20"/>
        </w:rPr>
        <w:t>i</w:t>
      </w:r>
      <w:r w:rsidRPr="00DC02DF">
        <w:rPr>
          <w:rFonts w:ascii="Trebuchet MS" w:eastAsiaTheme="minorHAnsi" w:hAnsi="Trebuchet MS" w:cstheme="minorBidi"/>
          <w:sz w:val="20"/>
          <w:szCs w:val="20"/>
        </w:rPr>
        <w:t xml:space="preserve">cas (Joshi </w:t>
      </w:r>
      <w:r w:rsidRPr="00DC02DF">
        <w:rPr>
          <w:rFonts w:ascii="Trebuchet MS" w:eastAsiaTheme="minorHAnsi" w:hAnsi="Trebuchet MS" w:cstheme="minorBidi"/>
          <w:i/>
          <w:sz w:val="20"/>
          <w:szCs w:val="20"/>
        </w:rPr>
        <w:t>et al.</w:t>
      </w:r>
      <w:r w:rsidRPr="00DC02DF">
        <w:rPr>
          <w:rFonts w:ascii="Trebuchet MS" w:eastAsiaTheme="minorHAnsi" w:hAnsi="Trebuchet MS" w:cstheme="minorBidi"/>
          <w:sz w:val="20"/>
          <w:szCs w:val="20"/>
        </w:rPr>
        <w:t>, 2004). Portanto, tod</w:t>
      </w:r>
      <w:r w:rsidR="003A661C">
        <w:rPr>
          <w:rFonts w:ascii="Trebuchet MS" w:eastAsiaTheme="minorHAnsi" w:hAnsi="Trebuchet MS" w:cstheme="minorBidi"/>
          <w:sz w:val="20"/>
          <w:szCs w:val="20"/>
        </w:rPr>
        <w:t>a</w:t>
      </w:r>
      <w:r w:rsidRPr="00DC02DF">
        <w:rPr>
          <w:rFonts w:ascii="Trebuchet MS" w:eastAsiaTheme="minorHAnsi" w:hAnsi="Trebuchet MS" w:cstheme="minorBidi"/>
          <w:sz w:val="20"/>
          <w:szCs w:val="20"/>
        </w:rPr>
        <w:t xml:space="preserve">s </w:t>
      </w:r>
      <w:r w:rsidR="003A661C">
        <w:rPr>
          <w:rFonts w:ascii="Trebuchet MS" w:eastAsiaTheme="minorHAnsi" w:hAnsi="Trebuchet MS" w:cstheme="minorBidi"/>
          <w:sz w:val="20"/>
          <w:szCs w:val="20"/>
        </w:rPr>
        <w:t>as experiências em que se utilizou o TTC</w:t>
      </w:r>
      <w:proofErr w:type="gramStart"/>
      <w:r w:rsidRPr="00DC02DF">
        <w:rPr>
          <w:rFonts w:ascii="Trebuchet MS" w:eastAsiaTheme="minorHAnsi" w:hAnsi="Trebuchet MS" w:cstheme="minorBidi"/>
          <w:sz w:val="20"/>
          <w:szCs w:val="20"/>
        </w:rPr>
        <w:t>,</w:t>
      </w:r>
      <w:proofErr w:type="gramEnd"/>
      <w:r w:rsidRPr="00DC02DF">
        <w:rPr>
          <w:rFonts w:ascii="Trebuchet MS" w:eastAsiaTheme="minorHAnsi" w:hAnsi="Trebuchet MS" w:cstheme="minorBidi"/>
          <w:sz w:val="20"/>
          <w:szCs w:val="20"/>
        </w:rPr>
        <w:t xml:space="preserve"> utilizou-se </w:t>
      </w:r>
      <w:r w:rsidR="003A661C">
        <w:rPr>
          <w:rFonts w:ascii="Trebuchet MS" w:eastAsiaTheme="minorHAnsi" w:hAnsi="Trebuchet MS" w:cstheme="minorBidi"/>
          <w:sz w:val="20"/>
          <w:szCs w:val="20"/>
        </w:rPr>
        <w:t>uma</w:t>
      </w:r>
      <w:r w:rsidRPr="00DC02DF">
        <w:rPr>
          <w:rFonts w:ascii="Trebuchet MS" w:eastAsiaTheme="minorHAnsi" w:hAnsi="Trebuchet MS" w:cstheme="minorBidi"/>
          <w:sz w:val="20"/>
          <w:szCs w:val="20"/>
        </w:rPr>
        <w:t xml:space="preserve"> concentração </w:t>
      </w:r>
      <w:r w:rsidR="003A661C">
        <w:rPr>
          <w:rFonts w:ascii="Trebuchet MS" w:eastAsiaTheme="minorHAnsi" w:hAnsi="Trebuchet MS" w:cstheme="minorBidi"/>
          <w:sz w:val="20"/>
          <w:szCs w:val="20"/>
        </w:rPr>
        <w:t>de 0,05% (m/v)</w:t>
      </w:r>
      <w:r w:rsidRPr="00DC02DF">
        <w:rPr>
          <w:rFonts w:ascii="Trebuchet MS" w:eastAsiaTheme="minorHAnsi" w:hAnsi="Trebuchet MS" w:cstheme="minorBidi"/>
          <w:sz w:val="20"/>
          <w:szCs w:val="20"/>
        </w:rPr>
        <w:t xml:space="preserve"> durante 1h</w:t>
      </w:r>
      <w:r>
        <w:rPr>
          <w:rFonts w:ascii="Trebuchet MS" w:eastAsiaTheme="minorHAnsi" w:hAnsi="Trebuchet MS" w:cstheme="minorBidi"/>
          <w:sz w:val="20"/>
          <w:szCs w:val="20"/>
        </w:rPr>
        <w:t xml:space="preserve">ora e </w:t>
      </w:r>
      <w:r w:rsidRPr="00DC02DF">
        <w:rPr>
          <w:rFonts w:ascii="Trebuchet MS" w:eastAsiaTheme="minorHAnsi" w:hAnsi="Trebuchet MS" w:cstheme="minorBidi"/>
          <w:sz w:val="20"/>
          <w:szCs w:val="20"/>
        </w:rPr>
        <w:t>30minutos de incuba</w:t>
      </w:r>
      <w:r w:rsidR="003A661C">
        <w:rPr>
          <w:rFonts w:ascii="Trebuchet MS" w:eastAsiaTheme="minorHAnsi" w:hAnsi="Trebuchet MS" w:cstheme="minorBidi"/>
          <w:sz w:val="20"/>
          <w:szCs w:val="20"/>
        </w:rPr>
        <w:t>ção a 37ºC com Krebs-TTC.</w:t>
      </w:r>
      <w:r w:rsidRPr="00DC02DF">
        <w:rPr>
          <w:rFonts w:ascii="Trebuchet MS" w:eastAsiaTheme="minorHAnsi" w:hAnsi="Trebuchet MS" w:cstheme="minorBidi"/>
          <w:sz w:val="20"/>
          <w:szCs w:val="20"/>
        </w:rPr>
        <w:t xml:space="preserve">  </w:t>
      </w:r>
    </w:p>
    <w:p w:rsidR="00F17CF8" w:rsidRPr="00751D14" w:rsidRDefault="00F17CF8" w:rsidP="00657290">
      <w:pPr>
        <w:spacing w:after="200" w:line="276" w:lineRule="auto"/>
        <w:ind w:left="644"/>
        <w:contextualSpacing/>
        <w:jc w:val="both"/>
        <w:rPr>
          <w:rFonts w:ascii="Trebuchet MS" w:eastAsiaTheme="minorHAnsi" w:hAnsi="Trebuchet MS" w:cstheme="minorBidi"/>
          <w:b/>
          <w:color w:val="365F91" w:themeColor="accent1" w:themeShade="BF"/>
          <w:sz w:val="20"/>
          <w:szCs w:val="20"/>
        </w:rPr>
      </w:pPr>
    </w:p>
    <w:p w:rsidR="00272981" w:rsidRPr="00751D14" w:rsidRDefault="00272981" w:rsidP="00A75D4E">
      <w:pPr>
        <w:tabs>
          <w:tab w:val="left" w:pos="567"/>
        </w:tabs>
        <w:spacing w:line="480" w:lineRule="auto"/>
        <w:rPr>
          <w:rFonts w:ascii="Trebuchet MS" w:hAnsi="Trebuchet MS"/>
          <w:b/>
          <w:shadow/>
          <w:color w:val="333399"/>
        </w:rPr>
      </w:pPr>
      <w:r w:rsidRPr="00751D14">
        <w:rPr>
          <w:rFonts w:ascii="Trebuchet MS" w:hAnsi="Trebuchet MS"/>
          <w:b/>
          <w:shadow/>
          <w:color w:val="333399"/>
        </w:rPr>
        <w:t xml:space="preserve">           3.3.5.2. Actividade da Caspase-3 (Morte neuronal por apoptose)</w:t>
      </w:r>
    </w:p>
    <w:p w:rsidR="0082137D" w:rsidRPr="00C65DA3" w:rsidRDefault="0082137D" w:rsidP="0082137D">
      <w:pPr>
        <w:autoSpaceDE w:val="0"/>
        <w:autoSpaceDN w:val="0"/>
        <w:adjustRightInd w:val="0"/>
        <w:spacing w:line="360" w:lineRule="auto"/>
        <w:ind w:firstLine="708"/>
        <w:jc w:val="both"/>
        <w:rPr>
          <w:rFonts w:ascii="Trebuchet MS" w:eastAsiaTheme="minorHAnsi" w:hAnsi="Trebuchet MS" w:cs="AdvPSTim"/>
          <w:sz w:val="20"/>
        </w:rPr>
      </w:pPr>
      <w:r w:rsidRPr="00C65DA3">
        <w:rPr>
          <w:rFonts w:ascii="Trebuchet MS" w:eastAsiaTheme="minorHAnsi" w:hAnsi="Trebuchet MS" w:cs="AdvPSTim"/>
          <w:sz w:val="20"/>
        </w:rPr>
        <w:t>Os métodos fluorimétricos baseados em substratos peptídicos marcados com fluor</w:t>
      </w:r>
      <w:r w:rsidRPr="00C65DA3">
        <w:rPr>
          <w:rFonts w:ascii="Trebuchet MS" w:eastAsiaTheme="minorHAnsi" w:hAnsi="Trebuchet MS" w:cs="AdvPSTim"/>
          <w:sz w:val="20"/>
        </w:rPr>
        <w:t>o</w:t>
      </w:r>
      <w:r w:rsidRPr="00C65DA3">
        <w:rPr>
          <w:rFonts w:ascii="Trebuchet MS" w:eastAsiaTheme="minorHAnsi" w:hAnsi="Trebuchet MS" w:cs="AdvPSTim"/>
          <w:sz w:val="20"/>
        </w:rPr>
        <w:t xml:space="preserve">cromo clivável têm sido amplamente utilizados na quantificação de diferentes proteases, incluindo caspases, que são enzimas determinantes para a apoptose (Wang </w:t>
      </w:r>
      <w:r w:rsidR="00F96813" w:rsidRPr="00C65DA3">
        <w:rPr>
          <w:rFonts w:ascii="Trebuchet MS" w:eastAsiaTheme="minorHAnsi" w:hAnsi="Trebuchet MS" w:cs="AdvPSTim"/>
          <w:i/>
          <w:sz w:val="20"/>
        </w:rPr>
        <w:t>et al.</w:t>
      </w:r>
      <w:r w:rsidRPr="00C65DA3">
        <w:rPr>
          <w:rFonts w:ascii="Trebuchet MS" w:eastAsiaTheme="minorHAnsi" w:hAnsi="Trebuchet MS" w:cs="AdvPSTim"/>
          <w:sz w:val="20"/>
        </w:rPr>
        <w:t xml:space="preserve">, 2005). </w:t>
      </w:r>
    </w:p>
    <w:p w:rsidR="00C72498" w:rsidRPr="00C65DA3" w:rsidRDefault="008779EF" w:rsidP="008779EF">
      <w:pPr>
        <w:autoSpaceDE w:val="0"/>
        <w:autoSpaceDN w:val="0"/>
        <w:adjustRightInd w:val="0"/>
        <w:spacing w:line="360" w:lineRule="auto"/>
        <w:ind w:firstLine="708"/>
        <w:jc w:val="both"/>
        <w:rPr>
          <w:rFonts w:ascii="Trebuchet MS" w:eastAsiaTheme="minorHAnsi" w:hAnsi="Trebuchet MS" w:cs="AdvPSTim"/>
          <w:sz w:val="20"/>
        </w:rPr>
      </w:pPr>
      <w:r w:rsidRPr="00C65DA3">
        <w:rPr>
          <w:rFonts w:ascii="Trebuchet MS" w:eastAsiaTheme="minorHAnsi" w:hAnsi="Trebuchet MS" w:cs="AdvPSTim"/>
          <w:sz w:val="20"/>
        </w:rPr>
        <w:t>A activação de caspase-3 ocorre em resposta a uma ampla variedade de factores de</w:t>
      </w:r>
      <w:r w:rsidRPr="00C65DA3">
        <w:rPr>
          <w:rFonts w:ascii="Trebuchet MS" w:eastAsiaTheme="minorHAnsi" w:hAnsi="Trebuchet MS" w:cs="AdvPSTim"/>
          <w:sz w:val="20"/>
        </w:rPr>
        <w:t>s</w:t>
      </w:r>
      <w:r w:rsidRPr="00C65DA3">
        <w:rPr>
          <w:rFonts w:ascii="Trebuchet MS" w:eastAsiaTheme="minorHAnsi" w:hAnsi="Trebuchet MS" w:cs="AdvPSTim"/>
          <w:sz w:val="20"/>
        </w:rPr>
        <w:t xml:space="preserve">favoráveis, particularmente na lesão cerebral traumática. Alterações semelhantes também são observadas </w:t>
      </w:r>
      <w:r w:rsidR="00650FCC">
        <w:rPr>
          <w:rFonts w:ascii="Trebuchet MS" w:eastAsiaTheme="minorHAnsi" w:hAnsi="Trebuchet MS" w:cs="AdvPSTim"/>
          <w:sz w:val="20"/>
        </w:rPr>
        <w:t>em</w:t>
      </w:r>
      <w:r w:rsidRPr="00C65DA3">
        <w:rPr>
          <w:rFonts w:ascii="Trebuchet MS" w:eastAsiaTheme="minorHAnsi" w:hAnsi="Trebuchet MS" w:cs="AdvPSTim"/>
          <w:sz w:val="20"/>
        </w:rPr>
        <w:t xml:space="preserve"> fatias de cérebro devido aos danos mecânicos. A actividade da caspase-3 também é alterada consoante o estado de fatias (Kudryashova </w:t>
      </w:r>
      <w:r w:rsidR="00194A32" w:rsidRPr="00C65DA3">
        <w:rPr>
          <w:rFonts w:ascii="Trebuchet MS" w:eastAsiaTheme="minorHAnsi" w:hAnsi="Trebuchet MS" w:cs="AdvPSTim"/>
          <w:i/>
          <w:sz w:val="20"/>
        </w:rPr>
        <w:t xml:space="preserve">et al. </w:t>
      </w:r>
      <w:r w:rsidRPr="00C65DA3">
        <w:rPr>
          <w:rFonts w:ascii="Trebuchet MS" w:eastAsiaTheme="minorHAnsi" w:hAnsi="Trebuchet MS" w:cs="AdvPSTim"/>
          <w:sz w:val="20"/>
        </w:rPr>
        <w:t>2009b). A activação da caspase-3 tem um papel central e exclusivo na iniciação e execução de apoptose neuronal.</w:t>
      </w:r>
      <w:r w:rsidR="00A75D4E" w:rsidRPr="00C65DA3">
        <w:rPr>
          <w:rFonts w:ascii="Trebuchet MS" w:eastAsiaTheme="minorHAnsi" w:hAnsi="Trebuchet MS" w:cs="AdvPSTim"/>
          <w:sz w:val="20"/>
        </w:rPr>
        <w:t xml:space="preserve"> A caspase-3 é uma das principais proteases efectoras de morte celular no adulto e no sistema </w:t>
      </w:r>
      <w:r w:rsidR="00A75D4E" w:rsidRPr="00C65DA3">
        <w:rPr>
          <w:rFonts w:ascii="Trebuchet MS" w:eastAsiaTheme="minorHAnsi" w:hAnsi="Trebuchet MS" w:cs="AdvPSTim"/>
          <w:sz w:val="20"/>
        </w:rPr>
        <w:lastRenderedPageBreak/>
        <w:t xml:space="preserve">nervoso neonatal (Le </w:t>
      </w:r>
      <w:r w:rsidR="00F96813" w:rsidRPr="00C65DA3">
        <w:rPr>
          <w:rFonts w:ascii="Trebuchet MS" w:eastAsiaTheme="minorHAnsi" w:hAnsi="Trebuchet MS" w:cs="AdvPSTim"/>
          <w:i/>
          <w:sz w:val="20"/>
        </w:rPr>
        <w:t>et al.</w:t>
      </w:r>
      <w:r w:rsidR="00A75D4E" w:rsidRPr="00C65DA3">
        <w:rPr>
          <w:rFonts w:ascii="Trebuchet MS" w:eastAsiaTheme="minorHAnsi" w:hAnsi="Trebuchet MS" w:cs="AdvPSTim"/>
          <w:sz w:val="20"/>
        </w:rPr>
        <w:t>, 2002).</w:t>
      </w:r>
      <w:r w:rsidR="00C72498" w:rsidRPr="00C65DA3">
        <w:rPr>
          <w:rFonts w:ascii="Trebuchet MS" w:eastAsiaTheme="minorHAnsi" w:hAnsi="Trebuchet MS" w:cs="AdvPSTim"/>
          <w:sz w:val="20"/>
        </w:rPr>
        <w:t xml:space="preserve"> A caspase-3 foi identificada como um mediador determ</w:t>
      </w:r>
      <w:r w:rsidR="00C72498" w:rsidRPr="00C65DA3">
        <w:rPr>
          <w:rFonts w:ascii="Trebuchet MS" w:eastAsiaTheme="minorHAnsi" w:hAnsi="Trebuchet MS" w:cs="AdvPSTim"/>
          <w:sz w:val="20"/>
        </w:rPr>
        <w:t>i</w:t>
      </w:r>
      <w:r w:rsidR="00C72498" w:rsidRPr="00C65DA3">
        <w:rPr>
          <w:rFonts w:ascii="Trebuchet MS" w:eastAsiaTheme="minorHAnsi" w:hAnsi="Trebuchet MS" w:cs="AdvPSTim"/>
          <w:sz w:val="20"/>
        </w:rPr>
        <w:t>nante de apoptose em modelos animais de AVC isquémico (</w:t>
      </w:r>
      <w:r w:rsidR="004149DC">
        <w:rPr>
          <w:rFonts w:ascii="Trebuchet MS" w:eastAsiaTheme="minorHAnsi" w:hAnsi="Trebuchet MS" w:cs="AdvPSTim"/>
          <w:sz w:val="20"/>
        </w:rPr>
        <w:t>Para revisão ver</w:t>
      </w:r>
      <w:r w:rsidR="00C72498" w:rsidRPr="00C65DA3">
        <w:rPr>
          <w:rFonts w:ascii="Trebuchet MS" w:eastAsiaTheme="minorHAnsi" w:hAnsi="Trebuchet MS" w:cs="AdvPSTim"/>
          <w:sz w:val="20"/>
        </w:rPr>
        <w:t xml:space="preserve"> Broughton </w:t>
      </w:r>
      <w:r w:rsidR="00F96813" w:rsidRPr="00C65DA3">
        <w:rPr>
          <w:rFonts w:ascii="Trebuchet MS" w:eastAsiaTheme="minorHAnsi" w:hAnsi="Trebuchet MS" w:cs="AdvPSTim"/>
          <w:i/>
          <w:sz w:val="20"/>
        </w:rPr>
        <w:t>et al.</w:t>
      </w:r>
      <w:r w:rsidR="00C72498" w:rsidRPr="00C65DA3">
        <w:rPr>
          <w:rFonts w:ascii="Trebuchet MS" w:eastAsiaTheme="minorHAnsi" w:hAnsi="Trebuchet MS" w:cs="AdvPSTim"/>
          <w:sz w:val="20"/>
        </w:rPr>
        <w:t>, 2009).</w:t>
      </w:r>
    </w:p>
    <w:p w:rsidR="00DF28CB" w:rsidRPr="00C65DA3" w:rsidRDefault="0082137D" w:rsidP="00755B0F">
      <w:pPr>
        <w:autoSpaceDE w:val="0"/>
        <w:autoSpaceDN w:val="0"/>
        <w:adjustRightInd w:val="0"/>
        <w:spacing w:line="360" w:lineRule="auto"/>
        <w:ind w:firstLine="708"/>
        <w:jc w:val="both"/>
        <w:rPr>
          <w:rFonts w:ascii="Trebuchet MS" w:eastAsiaTheme="minorHAnsi" w:hAnsi="Trebuchet MS" w:cs="AdvPSTim"/>
          <w:sz w:val="20"/>
        </w:rPr>
      </w:pPr>
      <w:r w:rsidRPr="00C65DA3">
        <w:rPr>
          <w:rFonts w:ascii="Trebuchet MS" w:eastAsiaTheme="minorHAnsi" w:hAnsi="Trebuchet MS" w:cs="AdvPSTim"/>
          <w:sz w:val="20"/>
        </w:rPr>
        <w:t xml:space="preserve">De acordo com Gurtu </w:t>
      </w:r>
      <w:r w:rsidR="00194A32" w:rsidRPr="00C65DA3">
        <w:rPr>
          <w:rFonts w:ascii="Trebuchet MS" w:eastAsiaTheme="minorHAnsi" w:hAnsi="Trebuchet MS" w:cs="AdvPSTim"/>
          <w:i/>
          <w:sz w:val="20"/>
        </w:rPr>
        <w:t xml:space="preserve">et al. </w:t>
      </w:r>
      <w:r w:rsidRPr="00C65DA3">
        <w:rPr>
          <w:rFonts w:ascii="Trebuchet MS" w:eastAsiaTheme="minorHAnsi" w:hAnsi="Trebuchet MS" w:cs="AdvPSTim"/>
          <w:sz w:val="20"/>
          <w:lang w:val="es-ES_tradnl"/>
        </w:rPr>
        <w:t xml:space="preserve">(1997), citado por Wang </w:t>
      </w:r>
      <w:r w:rsidR="00194A32" w:rsidRPr="00C65DA3">
        <w:rPr>
          <w:rFonts w:ascii="Trebuchet MS" w:eastAsiaTheme="minorHAnsi" w:hAnsi="Trebuchet MS" w:cs="AdvPSTim"/>
          <w:i/>
          <w:sz w:val="20"/>
          <w:lang w:val="es-ES_tradnl"/>
        </w:rPr>
        <w:t xml:space="preserve">et al. </w:t>
      </w:r>
      <w:r w:rsidRPr="00C65DA3">
        <w:rPr>
          <w:rFonts w:ascii="Trebuchet MS" w:eastAsiaTheme="minorHAnsi" w:hAnsi="Trebuchet MS" w:cs="AdvPSTim"/>
          <w:sz w:val="20"/>
        </w:rPr>
        <w:t>(2005), os substratos da caspase-3 (</w:t>
      </w:r>
      <w:r w:rsidR="00755B0F">
        <w:rPr>
          <w:rFonts w:ascii="Trebuchet MS" w:eastAsiaTheme="minorHAnsi" w:hAnsi="Trebuchet MS" w:cs="AdvPSTim"/>
          <w:sz w:val="20"/>
        </w:rPr>
        <w:t xml:space="preserve">Exemplo: </w:t>
      </w:r>
      <w:r w:rsidRPr="00C65DA3">
        <w:rPr>
          <w:rFonts w:ascii="Trebuchet MS" w:eastAsiaTheme="minorHAnsi" w:hAnsi="Trebuchet MS" w:cs="AdvPSTim"/>
          <w:sz w:val="20"/>
        </w:rPr>
        <w:t>Ac-DEVD-AFC</w:t>
      </w:r>
      <w:r w:rsidR="00581827" w:rsidRPr="00C65DA3">
        <w:rPr>
          <w:rStyle w:val="Refdenotaderodap"/>
          <w:rFonts w:ascii="Trebuchet MS" w:eastAsiaTheme="minorHAnsi" w:hAnsi="Trebuchet MS" w:cs="AdvPSTim"/>
          <w:sz w:val="20"/>
        </w:rPr>
        <w:footnoteReference w:id="4"/>
      </w:r>
      <w:r w:rsidR="00755B0F">
        <w:rPr>
          <w:rFonts w:ascii="Trebuchet MS" w:eastAsiaTheme="minorHAnsi" w:hAnsi="Trebuchet MS" w:cs="AdvPSTim"/>
          <w:sz w:val="20"/>
        </w:rPr>
        <w:t xml:space="preserve">) </w:t>
      </w:r>
      <w:r w:rsidRPr="00C65DA3">
        <w:rPr>
          <w:rFonts w:ascii="Trebuchet MS" w:eastAsiaTheme="minorHAnsi" w:hAnsi="Trebuchet MS" w:cs="AdvPSTim"/>
          <w:sz w:val="20"/>
        </w:rPr>
        <w:t xml:space="preserve">são baseados em corantes de cumarina </w:t>
      </w:r>
      <w:r w:rsidR="00755B0F">
        <w:rPr>
          <w:rFonts w:ascii="Trebuchet MS" w:eastAsiaTheme="minorHAnsi" w:hAnsi="Trebuchet MS" w:cs="AdvPSTim"/>
          <w:sz w:val="20"/>
        </w:rPr>
        <w:t>sendo</w:t>
      </w:r>
      <w:r w:rsidRPr="00C65DA3">
        <w:rPr>
          <w:rFonts w:ascii="Trebuchet MS" w:eastAsiaTheme="minorHAnsi" w:hAnsi="Trebuchet MS" w:cs="AdvPSTim"/>
          <w:sz w:val="20"/>
        </w:rPr>
        <w:t xml:space="preserve"> geralmente usados para determinar a actividade da caspase-3 em homogeneizados celulares.</w:t>
      </w:r>
      <w:r w:rsidRPr="00C65DA3">
        <w:rPr>
          <w:rFonts w:ascii="Trebuchet MS" w:eastAsiaTheme="minorHAnsi" w:hAnsi="Trebuchet MS" w:cstheme="minorBidi"/>
          <w:sz w:val="20"/>
        </w:rPr>
        <w:t xml:space="preserve"> </w:t>
      </w:r>
      <w:r w:rsidRPr="00C65DA3">
        <w:rPr>
          <w:rFonts w:ascii="Trebuchet MS" w:eastAsiaTheme="minorHAnsi" w:hAnsi="Trebuchet MS" w:cs="AdvPSTim"/>
          <w:sz w:val="20"/>
        </w:rPr>
        <w:t xml:space="preserve">Na maioria dos substratos de caspase-3, a sequência de reconhecimento do péptido é DEVD e </w:t>
      </w:r>
      <w:r w:rsidR="00755B0F">
        <w:rPr>
          <w:rFonts w:ascii="Trebuchet MS" w:eastAsiaTheme="minorHAnsi" w:hAnsi="Trebuchet MS" w:cs="AdvPSTim"/>
          <w:sz w:val="20"/>
        </w:rPr>
        <w:t xml:space="preserve">a </w:t>
      </w:r>
      <w:r w:rsidRPr="00C65DA3">
        <w:rPr>
          <w:rFonts w:ascii="Trebuchet MS" w:eastAsiaTheme="minorHAnsi" w:hAnsi="Trebuchet MS" w:cs="AdvPSTim"/>
          <w:sz w:val="20"/>
        </w:rPr>
        <w:t xml:space="preserve">clivagem ocorre após o segundo D. </w:t>
      </w:r>
      <w:r w:rsidR="00DF28CB" w:rsidRPr="00C65DA3">
        <w:rPr>
          <w:rFonts w:ascii="Trebuchet MS" w:eastAsiaTheme="minorHAnsi" w:hAnsi="Trebuchet MS" w:cs="AdvPSTim"/>
          <w:sz w:val="20"/>
        </w:rPr>
        <w:t>O AFC conjugado normalmente emite luz azul (</w:t>
      </w:r>
      <w:r w:rsidR="00DF28CB" w:rsidRPr="00C65DA3">
        <w:rPr>
          <w:rFonts w:ascii="Trebuchet MS" w:eastAsiaTheme="minorHAnsi" w:hAnsi="Trebuchet MS" w:cs="AdvPSTim"/>
          <w:sz w:val="20"/>
        </w:rPr>
        <w:sym w:font="Symbol" w:char="F06C"/>
      </w:r>
      <w:r w:rsidR="00DF28CB" w:rsidRPr="00C65DA3">
        <w:rPr>
          <w:rFonts w:ascii="Trebuchet MS" w:eastAsiaTheme="minorHAnsi" w:hAnsi="Trebuchet MS" w:cs="AdvPSTim"/>
          <w:sz w:val="20"/>
        </w:rPr>
        <w:t xml:space="preserve"> </w:t>
      </w:r>
      <w:r w:rsidR="00DF28CB" w:rsidRPr="00C65DA3">
        <w:rPr>
          <w:rFonts w:ascii="Trebuchet MS" w:eastAsiaTheme="minorHAnsi" w:hAnsi="Trebuchet MS" w:cs="AdvPSTim"/>
          <w:sz w:val="20"/>
          <w:vertAlign w:val="subscript"/>
        </w:rPr>
        <w:t>max</w:t>
      </w:r>
      <w:r w:rsidR="00DF28CB" w:rsidRPr="00C65DA3">
        <w:rPr>
          <w:rFonts w:ascii="Trebuchet MS" w:eastAsiaTheme="minorHAnsi" w:hAnsi="Trebuchet MS" w:cs="AdvPSTim"/>
          <w:sz w:val="20"/>
        </w:rPr>
        <w:t xml:space="preserve"> = 400 nm), mas sob clivagem proteolítica, o AFC livre emite </w:t>
      </w:r>
      <w:r w:rsidR="003268AD">
        <w:rPr>
          <w:rFonts w:ascii="Trebuchet MS" w:eastAsiaTheme="minorHAnsi" w:hAnsi="Trebuchet MS" w:cs="AdvPSTim"/>
          <w:sz w:val="20"/>
        </w:rPr>
        <w:t>uma fluorescência verde-amarela</w:t>
      </w:r>
      <w:r w:rsidR="00DF28CB" w:rsidRPr="00C65DA3">
        <w:rPr>
          <w:rFonts w:ascii="Trebuchet MS" w:eastAsiaTheme="minorHAnsi" w:hAnsi="Trebuchet MS" w:cs="AdvPSTim"/>
          <w:sz w:val="20"/>
        </w:rPr>
        <w:t xml:space="preserve"> a 505 nm (Wang and Johnson, 2007)</w:t>
      </w:r>
      <w:r w:rsidR="00FC13ED" w:rsidRPr="00C65DA3">
        <w:rPr>
          <w:rFonts w:ascii="Trebuchet MS" w:eastAsiaTheme="minorHAnsi" w:hAnsi="Trebuchet MS" w:cs="AdvPSTim"/>
          <w:sz w:val="20"/>
        </w:rPr>
        <w:t>.</w:t>
      </w:r>
    </w:p>
    <w:p w:rsidR="00C72498" w:rsidRPr="00C65DA3" w:rsidRDefault="00FC13ED" w:rsidP="00755B0F">
      <w:pPr>
        <w:spacing w:line="360" w:lineRule="auto"/>
        <w:ind w:firstLine="720"/>
        <w:jc w:val="both"/>
        <w:rPr>
          <w:rFonts w:ascii="Trebuchet MS" w:eastAsiaTheme="minorHAnsi" w:hAnsi="Trebuchet MS" w:cs="Arial"/>
          <w:color w:val="000000"/>
          <w:sz w:val="12"/>
        </w:rPr>
      </w:pPr>
      <w:r w:rsidRPr="00C65DA3">
        <w:rPr>
          <w:rFonts w:ascii="Trebuchet MS" w:eastAsiaTheme="minorHAnsi" w:hAnsi="Trebuchet MS" w:cs="Arial"/>
          <w:color w:val="000000"/>
          <w:sz w:val="20"/>
        </w:rPr>
        <w:t xml:space="preserve">No cérebro, a expressão da caspase-3 </w:t>
      </w:r>
      <w:r w:rsidR="00755B0F">
        <w:rPr>
          <w:rFonts w:ascii="Trebuchet MS" w:eastAsiaTheme="minorHAnsi" w:hAnsi="Trebuchet MS" w:cs="Arial"/>
          <w:color w:val="000000"/>
          <w:sz w:val="20"/>
        </w:rPr>
        <w:t>está</w:t>
      </w:r>
      <w:r w:rsidRPr="00C65DA3">
        <w:rPr>
          <w:rFonts w:ascii="Trebuchet MS" w:eastAsiaTheme="minorHAnsi" w:hAnsi="Trebuchet MS" w:cs="Arial"/>
          <w:color w:val="000000"/>
          <w:sz w:val="20"/>
        </w:rPr>
        <w:t xml:space="preserve"> aumentada quando </w:t>
      </w:r>
      <w:r w:rsidR="00755B0F">
        <w:rPr>
          <w:rFonts w:ascii="Trebuchet MS" w:eastAsiaTheme="minorHAnsi" w:hAnsi="Trebuchet MS" w:cs="Arial"/>
          <w:color w:val="000000"/>
          <w:sz w:val="20"/>
        </w:rPr>
        <w:t xml:space="preserve">os tecidos são sujeitos </w:t>
      </w:r>
      <w:r w:rsidRPr="00C65DA3">
        <w:rPr>
          <w:rFonts w:ascii="Trebuchet MS" w:eastAsiaTheme="minorHAnsi" w:hAnsi="Trebuchet MS" w:cs="Arial"/>
          <w:color w:val="000000"/>
          <w:sz w:val="20"/>
        </w:rPr>
        <w:t xml:space="preserve">a isquémia e hipoperfusão (Pape </w:t>
      </w:r>
      <w:r w:rsidR="00F96813" w:rsidRPr="00C65DA3">
        <w:rPr>
          <w:rFonts w:ascii="Trebuchet MS" w:eastAsiaTheme="minorHAnsi" w:hAnsi="Trebuchet MS" w:cs="Arial"/>
          <w:i/>
          <w:color w:val="000000"/>
          <w:sz w:val="20"/>
        </w:rPr>
        <w:t>et al.</w:t>
      </w:r>
      <w:r w:rsidRPr="00C65DA3">
        <w:rPr>
          <w:rFonts w:ascii="Trebuchet MS" w:eastAsiaTheme="minorHAnsi" w:hAnsi="Trebuchet MS" w:cs="Arial"/>
          <w:color w:val="000000"/>
          <w:sz w:val="20"/>
        </w:rPr>
        <w:t>, 2006</w:t>
      </w:r>
      <w:r w:rsidR="003C1CC0">
        <w:rPr>
          <w:rFonts w:ascii="Trebuchet MS" w:eastAsiaTheme="minorHAnsi" w:hAnsi="Trebuchet MS" w:cs="Arial"/>
          <w:color w:val="000000"/>
          <w:sz w:val="20"/>
        </w:rPr>
        <w:t xml:space="preserve">; </w:t>
      </w:r>
      <w:r w:rsidR="003C1CC0">
        <w:rPr>
          <w:rFonts w:ascii="Trebuchet MS" w:eastAsiaTheme="minorHAnsi" w:hAnsi="Trebuchet MS" w:cs="AdvPSTim"/>
          <w:sz w:val="20"/>
        </w:rPr>
        <w:t xml:space="preserve">Sigaut </w:t>
      </w:r>
      <w:r w:rsidR="003C1CC0" w:rsidRPr="003C1CC0">
        <w:rPr>
          <w:rFonts w:ascii="Trebuchet MS" w:eastAsiaTheme="minorHAnsi" w:hAnsi="Trebuchet MS" w:cs="AdvPSTim"/>
          <w:i/>
          <w:sz w:val="20"/>
        </w:rPr>
        <w:t>et al.</w:t>
      </w:r>
      <w:r w:rsidR="003C1CC0">
        <w:rPr>
          <w:rFonts w:ascii="Trebuchet MS" w:eastAsiaTheme="minorHAnsi" w:hAnsi="Trebuchet MS" w:cs="AdvPSTim"/>
          <w:sz w:val="20"/>
        </w:rPr>
        <w:t>, 2009</w:t>
      </w:r>
      <w:r w:rsidRPr="00C65DA3">
        <w:rPr>
          <w:rFonts w:ascii="Trebuchet MS" w:eastAsiaTheme="minorHAnsi" w:hAnsi="Trebuchet MS" w:cs="Arial"/>
          <w:color w:val="000000"/>
          <w:sz w:val="20"/>
        </w:rPr>
        <w:t xml:space="preserve">). </w:t>
      </w:r>
      <w:r w:rsidR="0082137D" w:rsidRPr="00C65DA3">
        <w:rPr>
          <w:rFonts w:ascii="Trebuchet MS" w:eastAsiaTheme="minorHAnsi" w:hAnsi="Trebuchet MS" w:cs="AdvPSTim"/>
          <w:sz w:val="20"/>
        </w:rPr>
        <w:t xml:space="preserve">Dahmani </w:t>
      </w:r>
      <w:r w:rsidR="00194A32" w:rsidRPr="00C65DA3">
        <w:rPr>
          <w:rFonts w:ascii="Trebuchet MS" w:eastAsiaTheme="minorHAnsi" w:hAnsi="Trebuchet MS" w:cs="AdvPSTim"/>
          <w:i/>
          <w:sz w:val="20"/>
        </w:rPr>
        <w:t xml:space="preserve">et al. </w:t>
      </w:r>
      <w:r w:rsidR="0082137D" w:rsidRPr="00C65DA3">
        <w:rPr>
          <w:rFonts w:ascii="Trebuchet MS" w:eastAsiaTheme="minorHAnsi" w:hAnsi="Trebuchet MS" w:cs="AdvPSTim"/>
          <w:sz w:val="20"/>
        </w:rPr>
        <w:t>(2005)</w:t>
      </w:r>
      <w:r w:rsidR="003C1CC0">
        <w:rPr>
          <w:rFonts w:ascii="Trebuchet MS" w:eastAsiaTheme="minorHAnsi" w:hAnsi="Trebuchet MS" w:cs="AdvPSTim"/>
          <w:sz w:val="20"/>
        </w:rPr>
        <w:t xml:space="preserve"> </w:t>
      </w:r>
      <w:r w:rsidR="0082137D" w:rsidRPr="00C65DA3">
        <w:rPr>
          <w:rFonts w:ascii="Trebuchet MS" w:eastAsiaTheme="minorHAnsi" w:hAnsi="Trebuchet MS" w:cs="AdvPSTim"/>
          <w:sz w:val="20"/>
        </w:rPr>
        <w:t>observaram um aumento da expressão da caspa</w:t>
      </w:r>
      <w:r w:rsidR="00366878">
        <w:rPr>
          <w:rFonts w:ascii="Trebuchet MS" w:eastAsiaTheme="minorHAnsi" w:hAnsi="Trebuchet MS" w:cs="AdvPSTim"/>
          <w:sz w:val="20"/>
        </w:rPr>
        <w:t>se-3 em resposta à</w:t>
      </w:r>
      <w:r w:rsidR="0082137D" w:rsidRPr="00C65DA3">
        <w:rPr>
          <w:rFonts w:ascii="Trebuchet MS" w:eastAsiaTheme="minorHAnsi" w:hAnsi="Trebuchet MS" w:cs="AdvPSTim"/>
          <w:sz w:val="20"/>
        </w:rPr>
        <w:t xml:space="preserve"> POG</w:t>
      </w:r>
      <w:r w:rsidR="00755B0F">
        <w:rPr>
          <w:rFonts w:ascii="Trebuchet MS" w:eastAsiaTheme="minorHAnsi" w:hAnsi="Trebuchet MS" w:cs="AdvPSTim"/>
          <w:sz w:val="20"/>
        </w:rPr>
        <w:t>.</w:t>
      </w:r>
      <w:r w:rsidR="00C72498" w:rsidRPr="00C65DA3">
        <w:rPr>
          <w:rFonts w:ascii="Trebuchet MS" w:eastAsiaTheme="minorHAnsi" w:hAnsi="Trebuchet MS" w:cs="Arial"/>
          <w:color w:val="000000"/>
          <w:sz w:val="12"/>
        </w:rPr>
        <w:t xml:space="preserve"> </w:t>
      </w:r>
    </w:p>
    <w:p w:rsidR="00CD5724" w:rsidRPr="00C65DA3" w:rsidRDefault="008921C9" w:rsidP="008921C9">
      <w:pPr>
        <w:spacing w:line="360" w:lineRule="auto"/>
        <w:ind w:firstLine="708"/>
        <w:jc w:val="both"/>
        <w:rPr>
          <w:rFonts w:ascii="Trebuchet MS" w:eastAsiaTheme="minorHAnsi" w:hAnsi="Trebuchet MS" w:cs="Arial"/>
          <w:color w:val="000000"/>
          <w:sz w:val="20"/>
        </w:rPr>
      </w:pPr>
      <w:r w:rsidRPr="00C65DA3">
        <w:rPr>
          <w:rFonts w:ascii="Trebuchet MS" w:eastAsiaTheme="minorHAnsi" w:hAnsi="Trebuchet MS" w:cs="Arial"/>
          <w:color w:val="000000"/>
          <w:sz w:val="20"/>
        </w:rPr>
        <w:t>Wang and Johnson (2007) observam que em fatias organotípicas, a actividade enzim</w:t>
      </w:r>
      <w:r w:rsidRPr="00C65DA3">
        <w:rPr>
          <w:rFonts w:ascii="Trebuchet MS" w:eastAsiaTheme="minorHAnsi" w:hAnsi="Trebuchet MS" w:cs="Arial"/>
          <w:color w:val="000000"/>
          <w:sz w:val="20"/>
        </w:rPr>
        <w:t>á</w:t>
      </w:r>
      <w:r w:rsidRPr="00C65DA3">
        <w:rPr>
          <w:rFonts w:ascii="Trebuchet MS" w:eastAsiaTheme="minorHAnsi" w:hAnsi="Trebuchet MS" w:cs="Arial"/>
          <w:color w:val="000000"/>
          <w:sz w:val="20"/>
        </w:rPr>
        <w:t>tica da caspase-3 é detectável ao fim de duas horas (no córtex) após tratamento como fenc</w:t>
      </w:r>
      <w:r w:rsidRPr="00C65DA3">
        <w:rPr>
          <w:rFonts w:ascii="Trebuchet MS" w:eastAsiaTheme="minorHAnsi" w:hAnsi="Trebuchet MS" w:cs="Arial"/>
          <w:color w:val="000000"/>
          <w:sz w:val="20"/>
        </w:rPr>
        <w:t>i</w:t>
      </w:r>
      <w:r w:rsidRPr="00C65DA3">
        <w:rPr>
          <w:rFonts w:ascii="Trebuchet MS" w:eastAsiaTheme="minorHAnsi" w:hAnsi="Trebuchet MS" w:cs="Arial"/>
          <w:color w:val="000000"/>
          <w:sz w:val="20"/>
        </w:rPr>
        <w:t>clidina, que activa a caspase-3 e induz apoptose. O pico máximo de actividade observado foi às 12horas, quer no hipocampo, estriado e córtex frontal (Wang and Johnson, 2007)</w:t>
      </w:r>
      <w:r w:rsidR="00CD5724" w:rsidRPr="00C65DA3">
        <w:rPr>
          <w:rFonts w:ascii="Trebuchet MS" w:eastAsiaTheme="minorHAnsi" w:hAnsi="Trebuchet MS" w:cs="Arial"/>
          <w:color w:val="000000"/>
          <w:sz w:val="20"/>
        </w:rPr>
        <w:t>.</w:t>
      </w:r>
      <w:r w:rsidR="00755B0F">
        <w:rPr>
          <w:rFonts w:ascii="Trebuchet MS" w:eastAsiaTheme="minorHAnsi" w:hAnsi="Trebuchet MS" w:cs="Arial"/>
          <w:color w:val="000000"/>
          <w:sz w:val="20"/>
        </w:rPr>
        <w:t xml:space="preserve"> </w:t>
      </w:r>
      <w:r w:rsidR="006D3D17" w:rsidRPr="00C65DA3">
        <w:rPr>
          <w:rFonts w:ascii="Trebuchet MS" w:eastAsiaTheme="minorHAnsi" w:hAnsi="Trebuchet MS" w:cs="Arial"/>
          <w:color w:val="000000"/>
          <w:sz w:val="20"/>
        </w:rPr>
        <w:t xml:space="preserve">Asahi e colaboradores demonstraram aumento de mRNA da caspase-3 </w:t>
      </w:r>
      <w:r w:rsidR="00755B0F">
        <w:rPr>
          <w:rFonts w:ascii="Trebuchet MS" w:eastAsiaTheme="minorHAnsi" w:hAnsi="Trebuchet MS" w:cs="Arial"/>
          <w:color w:val="000000"/>
          <w:sz w:val="20"/>
        </w:rPr>
        <w:t>no</w:t>
      </w:r>
      <w:r w:rsidR="006D3D17" w:rsidRPr="00C65DA3">
        <w:rPr>
          <w:rFonts w:ascii="Trebuchet MS" w:eastAsiaTheme="minorHAnsi" w:hAnsi="Trebuchet MS" w:cs="Arial"/>
          <w:color w:val="000000"/>
          <w:sz w:val="20"/>
        </w:rPr>
        <w:t xml:space="preserve"> cérebro</w:t>
      </w:r>
      <w:r w:rsidR="00755B0F">
        <w:rPr>
          <w:rFonts w:ascii="Trebuchet MS" w:eastAsiaTheme="minorHAnsi" w:hAnsi="Trebuchet MS" w:cs="Arial"/>
          <w:color w:val="000000"/>
          <w:sz w:val="20"/>
        </w:rPr>
        <w:t xml:space="preserve"> de ratos</w:t>
      </w:r>
      <w:r w:rsidR="006D3D17" w:rsidRPr="00C65DA3">
        <w:rPr>
          <w:rFonts w:ascii="Trebuchet MS" w:eastAsiaTheme="minorHAnsi" w:hAnsi="Trebuchet MS" w:cs="Arial"/>
          <w:color w:val="000000"/>
          <w:sz w:val="20"/>
        </w:rPr>
        <w:t xml:space="preserve"> 1h</w:t>
      </w:r>
      <w:r w:rsidR="00755B0F">
        <w:rPr>
          <w:rFonts w:ascii="Trebuchet MS" w:eastAsiaTheme="minorHAnsi" w:hAnsi="Trebuchet MS" w:cs="Arial"/>
          <w:color w:val="000000"/>
          <w:sz w:val="20"/>
        </w:rPr>
        <w:t>ora</w:t>
      </w:r>
      <w:r w:rsidR="006D3D17" w:rsidRPr="00C65DA3">
        <w:rPr>
          <w:rFonts w:ascii="Trebuchet MS" w:eastAsiaTheme="minorHAnsi" w:hAnsi="Trebuchet MS" w:cs="Arial"/>
          <w:color w:val="000000"/>
          <w:sz w:val="20"/>
        </w:rPr>
        <w:t xml:space="preserve"> após o início da isquémia focal. Além disso, Namura e associados detectaram a caspase-3 e seus produtos de clivagem no cérebro de ratos durante a reperfusão precoce, 2 horas </w:t>
      </w:r>
      <w:r w:rsidR="00755B0F" w:rsidRPr="00C65DA3">
        <w:rPr>
          <w:rFonts w:ascii="Trebuchet MS" w:eastAsiaTheme="minorHAnsi" w:hAnsi="Trebuchet MS" w:cs="Arial"/>
          <w:color w:val="000000"/>
          <w:sz w:val="20"/>
        </w:rPr>
        <w:t xml:space="preserve">após </w:t>
      </w:r>
      <w:r w:rsidR="006D3D17" w:rsidRPr="00C65DA3">
        <w:rPr>
          <w:rFonts w:ascii="Trebuchet MS" w:eastAsiaTheme="minorHAnsi" w:hAnsi="Trebuchet MS" w:cs="Arial"/>
          <w:color w:val="000000"/>
          <w:sz w:val="20"/>
        </w:rPr>
        <w:t>oclusão da artéria cerebral média (MCAO) (</w:t>
      </w:r>
      <w:r w:rsidR="004149DC">
        <w:rPr>
          <w:rFonts w:ascii="Trebuchet MS" w:eastAsiaTheme="minorHAnsi" w:hAnsi="Trebuchet MS" w:cs="Arial"/>
          <w:color w:val="000000"/>
          <w:sz w:val="20"/>
        </w:rPr>
        <w:t>Para revisão ver</w:t>
      </w:r>
      <w:r w:rsidR="006D3D17" w:rsidRPr="00C65DA3">
        <w:rPr>
          <w:rFonts w:ascii="Trebuchet MS" w:eastAsiaTheme="minorHAnsi" w:hAnsi="Trebuchet MS" w:cs="Arial"/>
          <w:color w:val="000000"/>
          <w:sz w:val="20"/>
        </w:rPr>
        <w:t xml:space="preserve"> Broughton </w:t>
      </w:r>
      <w:r w:rsidR="00F96813" w:rsidRPr="00C65DA3">
        <w:rPr>
          <w:rFonts w:ascii="Trebuchet MS" w:eastAsiaTheme="minorHAnsi" w:hAnsi="Trebuchet MS" w:cs="Arial"/>
          <w:i/>
          <w:color w:val="000000"/>
          <w:sz w:val="20"/>
        </w:rPr>
        <w:t>et al.</w:t>
      </w:r>
      <w:r w:rsidR="006D3D17" w:rsidRPr="00C65DA3">
        <w:rPr>
          <w:rFonts w:ascii="Trebuchet MS" w:eastAsiaTheme="minorHAnsi" w:hAnsi="Trebuchet MS" w:cs="Arial"/>
          <w:color w:val="000000"/>
          <w:sz w:val="20"/>
        </w:rPr>
        <w:t>, 2009).</w:t>
      </w:r>
    </w:p>
    <w:p w:rsidR="008921C9" w:rsidRPr="00751D14" w:rsidRDefault="008921C9" w:rsidP="008921C9">
      <w:pPr>
        <w:spacing w:line="360" w:lineRule="auto"/>
        <w:ind w:firstLine="708"/>
        <w:jc w:val="both"/>
        <w:rPr>
          <w:rFonts w:ascii="Trebuchet MS" w:eastAsiaTheme="minorHAnsi" w:hAnsi="Trebuchet MS" w:cs="Arial"/>
          <w:color w:val="000000"/>
          <w:sz w:val="16"/>
        </w:rPr>
      </w:pPr>
    </w:p>
    <w:p w:rsidR="0082137D" w:rsidRPr="00751D14" w:rsidRDefault="0082137D" w:rsidP="0082137D">
      <w:pPr>
        <w:autoSpaceDE w:val="0"/>
        <w:autoSpaceDN w:val="0"/>
        <w:adjustRightInd w:val="0"/>
        <w:spacing w:line="360" w:lineRule="auto"/>
        <w:jc w:val="both"/>
        <w:rPr>
          <w:rFonts w:ascii="Trebuchet MS" w:eastAsiaTheme="minorHAnsi" w:hAnsi="Trebuchet MS" w:cs="AdvPSTim"/>
        </w:rPr>
      </w:pPr>
      <w:r w:rsidRPr="00C65DA3">
        <w:rPr>
          <w:rFonts w:ascii="Trebuchet MS" w:eastAsiaTheme="minorHAnsi" w:hAnsi="Trebuchet MS" w:cs="AdvPSTim"/>
          <w:b/>
          <w:sz w:val="20"/>
          <w:u w:val="single"/>
        </w:rPr>
        <w:t>Procedimento:</w:t>
      </w:r>
      <w:r w:rsidRPr="00C65DA3">
        <w:rPr>
          <w:rFonts w:ascii="Trebuchet MS" w:eastAsiaTheme="minorHAnsi" w:hAnsi="Trebuchet MS" w:cs="AdvPSTim"/>
          <w:sz w:val="20"/>
        </w:rPr>
        <w:t xml:space="preserve"> Após os diferentes tratamentos (quer IPC ou pré-condicionamento químico) e consequente insulto isquémico (20 minutos de POG), procedeu-se à recolha das fatias para a determinação da caspase-3. As fatias foram recolhidas para </w:t>
      </w:r>
      <w:r w:rsidRPr="00C65DA3">
        <w:rPr>
          <w:rFonts w:ascii="Trebuchet MS" w:eastAsiaTheme="minorHAnsi" w:hAnsi="Trebuchet MS" w:cs="AdvPSTim"/>
          <w:i/>
          <w:sz w:val="20"/>
        </w:rPr>
        <w:t>cell strainers</w:t>
      </w:r>
      <w:r w:rsidRPr="00C65DA3">
        <w:rPr>
          <w:rFonts w:ascii="Trebuchet MS" w:eastAsiaTheme="minorHAnsi" w:hAnsi="Trebuchet MS" w:cs="AdvPSTim"/>
          <w:sz w:val="20"/>
        </w:rPr>
        <w:t xml:space="preserve"> </w:t>
      </w:r>
      <w:r w:rsidR="00664FAA">
        <w:rPr>
          <w:rFonts w:ascii="Trebuchet MS" w:eastAsiaTheme="minorHAnsi" w:hAnsi="Trebuchet MS" w:cs="AdvPSTim"/>
          <w:sz w:val="20"/>
        </w:rPr>
        <w:t xml:space="preserve">contidos em placas de petri mantidas </w:t>
      </w:r>
      <w:r w:rsidRPr="00C65DA3">
        <w:rPr>
          <w:rFonts w:ascii="Trebuchet MS" w:eastAsiaTheme="minorHAnsi" w:hAnsi="Trebuchet MS" w:cs="AdvPSTim"/>
          <w:sz w:val="20"/>
        </w:rPr>
        <w:t>em gelo, escorrendo-se o tampão krebs. Às fatias escorridas, adicionou-se 2 mL de tampão de lise gelado. O tampão de lise é constit</w:t>
      </w:r>
      <w:r w:rsidR="00B218D1">
        <w:rPr>
          <w:rFonts w:ascii="Trebuchet MS" w:eastAsiaTheme="minorHAnsi" w:hAnsi="Trebuchet MS" w:cs="AdvPSTim"/>
          <w:sz w:val="20"/>
        </w:rPr>
        <w:t xml:space="preserve">uído </w:t>
      </w:r>
      <w:proofErr w:type="gramStart"/>
      <w:r w:rsidR="00B218D1">
        <w:rPr>
          <w:rFonts w:ascii="Trebuchet MS" w:eastAsiaTheme="minorHAnsi" w:hAnsi="Trebuchet MS" w:cs="AdvPSTim"/>
          <w:sz w:val="20"/>
        </w:rPr>
        <w:t>por</w:t>
      </w:r>
      <w:proofErr w:type="gramEnd"/>
      <w:r w:rsidR="00B218D1">
        <w:rPr>
          <w:rFonts w:ascii="Trebuchet MS" w:eastAsiaTheme="minorHAnsi" w:hAnsi="Trebuchet MS" w:cs="AdvPSTim"/>
          <w:sz w:val="20"/>
        </w:rPr>
        <w:t xml:space="preserve"> (mM): Hepes 25</w:t>
      </w:r>
      <w:r w:rsidRPr="00C65DA3">
        <w:rPr>
          <w:rFonts w:ascii="Trebuchet MS" w:eastAsiaTheme="minorHAnsi" w:hAnsi="Trebuchet MS" w:cs="AdvPSTim"/>
          <w:sz w:val="20"/>
        </w:rPr>
        <w:t>; MgCl</w:t>
      </w:r>
      <w:r w:rsidRPr="00C65DA3">
        <w:rPr>
          <w:rFonts w:ascii="Trebuchet MS" w:eastAsiaTheme="minorHAnsi" w:hAnsi="Trebuchet MS" w:cs="AdvPSTim"/>
          <w:sz w:val="20"/>
          <w:vertAlign w:val="subscript"/>
        </w:rPr>
        <w:t xml:space="preserve">2 </w:t>
      </w:r>
      <w:r w:rsidRPr="00C65DA3">
        <w:rPr>
          <w:rFonts w:ascii="Trebuchet MS" w:eastAsiaTheme="minorHAnsi" w:hAnsi="Trebuchet MS" w:cs="AdvPSTim"/>
          <w:sz w:val="20"/>
        </w:rPr>
        <w:t xml:space="preserve">5; DTT 1; EDTA 1,5; EGTA 1 e </w:t>
      </w:r>
      <w:r w:rsidR="00664FAA" w:rsidRPr="00C65DA3">
        <w:rPr>
          <w:rFonts w:ascii="Trebuchet MS" w:eastAsiaTheme="minorHAnsi" w:hAnsi="Trebuchet MS" w:cs="AdvPSTim"/>
          <w:sz w:val="20"/>
        </w:rPr>
        <w:t>Triton x-100 0,1% (v/v)</w:t>
      </w:r>
      <w:r w:rsidR="00664FAA">
        <w:rPr>
          <w:rFonts w:ascii="Trebuchet MS" w:eastAsiaTheme="minorHAnsi" w:hAnsi="Trebuchet MS" w:cs="AdvPSTim"/>
          <w:sz w:val="20"/>
        </w:rPr>
        <w:t xml:space="preserve">, </w:t>
      </w:r>
      <w:r w:rsidRPr="00C65DA3">
        <w:rPr>
          <w:rFonts w:ascii="Trebuchet MS" w:eastAsiaTheme="minorHAnsi" w:hAnsi="Trebuchet MS" w:cs="AdvPSTim"/>
          <w:sz w:val="20"/>
        </w:rPr>
        <w:t xml:space="preserve">inibidores de proteases: aprotinina 10 </w:t>
      </w:r>
      <w:r w:rsidRPr="00C65DA3">
        <w:rPr>
          <w:rFonts w:ascii="Trebuchet MS" w:eastAsiaTheme="minorHAnsi" w:hAnsi="Trebuchet MS" w:cs="AdvPSTim"/>
          <w:sz w:val="20"/>
        </w:rPr>
        <w:sym w:font="Symbol" w:char="F06D"/>
      </w:r>
      <w:r w:rsidRPr="00C65DA3">
        <w:rPr>
          <w:rFonts w:ascii="Trebuchet MS" w:eastAsiaTheme="minorHAnsi" w:hAnsi="Trebuchet MS" w:cs="AdvPSTim"/>
          <w:sz w:val="20"/>
        </w:rPr>
        <w:t xml:space="preserve">g/mL; pepstatina A 10 </w:t>
      </w:r>
      <w:r w:rsidRPr="00C65DA3">
        <w:rPr>
          <w:rFonts w:ascii="Trebuchet MS" w:eastAsiaTheme="minorHAnsi" w:hAnsi="Trebuchet MS" w:cs="AdvPSTim"/>
          <w:sz w:val="20"/>
        </w:rPr>
        <w:sym w:font="Symbol" w:char="F06D"/>
      </w:r>
      <w:r w:rsidRPr="00C65DA3">
        <w:rPr>
          <w:rFonts w:ascii="Trebuchet MS" w:eastAsiaTheme="minorHAnsi" w:hAnsi="Trebuchet MS" w:cs="AdvPSTim"/>
          <w:sz w:val="20"/>
        </w:rPr>
        <w:t>g/mL; fluoreto de fenilmetilsu</w:t>
      </w:r>
      <w:r w:rsidR="00366878">
        <w:rPr>
          <w:rFonts w:ascii="Trebuchet MS" w:eastAsiaTheme="minorHAnsi" w:hAnsi="Trebuchet MS" w:cs="AdvPSTim"/>
          <w:sz w:val="20"/>
        </w:rPr>
        <w:t xml:space="preserve">lfonilo (PMSF) 1 mM; </w:t>
      </w:r>
      <w:r w:rsidRPr="00C65DA3">
        <w:rPr>
          <w:rFonts w:ascii="Trebuchet MS" w:eastAsiaTheme="minorHAnsi" w:hAnsi="Trebuchet MS" w:cs="AdvPSTim"/>
          <w:sz w:val="20"/>
        </w:rPr>
        <w:t xml:space="preserve">pH final de 7,4 (Adaptado de Wang and Johnson, 2007). O PMSF foi </w:t>
      </w:r>
      <w:r w:rsidRPr="009E323D">
        <w:rPr>
          <w:rFonts w:ascii="Trebuchet MS" w:eastAsiaTheme="minorHAnsi" w:hAnsi="Trebuchet MS" w:cs="AdvPSTim"/>
          <w:sz w:val="20"/>
          <w:szCs w:val="20"/>
        </w:rPr>
        <w:t>adicionado 1h</w:t>
      </w:r>
      <w:r w:rsidR="00366878">
        <w:rPr>
          <w:rFonts w:ascii="Trebuchet MS" w:eastAsiaTheme="minorHAnsi" w:hAnsi="Trebuchet MS" w:cs="AdvPSTim"/>
          <w:sz w:val="20"/>
          <w:szCs w:val="20"/>
        </w:rPr>
        <w:t>ora</w:t>
      </w:r>
      <w:r w:rsidRPr="009E323D">
        <w:rPr>
          <w:rFonts w:ascii="Trebuchet MS" w:eastAsiaTheme="minorHAnsi" w:hAnsi="Trebuchet MS" w:cs="AdvPSTim"/>
          <w:sz w:val="20"/>
          <w:szCs w:val="20"/>
        </w:rPr>
        <w:t xml:space="preserve"> antes da utilização e o tampão foi protegido da luz. As fatias foram transferidas para tubos de propileno de fundo plano</w:t>
      </w:r>
      <w:r w:rsidR="00664FAA">
        <w:rPr>
          <w:rFonts w:ascii="Trebuchet MS" w:eastAsiaTheme="minorHAnsi" w:hAnsi="Trebuchet MS" w:cs="AdvPSTim"/>
          <w:sz w:val="20"/>
          <w:szCs w:val="20"/>
        </w:rPr>
        <w:t xml:space="preserve"> e</w:t>
      </w:r>
      <w:r w:rsidRPr="009E323D">
        <w:rPr>
          <w:rFonts w:ascii="Trebuchet MS" w:eastAsiaTheme="minorHAnsi" w:hAnsi="Trebuchet MS" w:cs="AdvPSTim"/>
          <w:sz w:val="20"/>
          <w:szCs w:val="20"/>
        </w:rPr>
        <w:t xml:space="preserve"> mantidos em gelo. As amostras foram </w:t>
      </w:r>
      <w:r w:rsidR="00664FAA">
        <w:rPr>
          <w:rFonts w:ascii="Trebuchet MS" w:eastAsiaTheme="minorHAnsi" w:hAnsi="Trebuchet MS" w:cs="AdvPSTim"/>
          <w:sz w:val="20"/>
          <w:szCs w:val="20"/>
        </w:rPr>
        <w:t>homogeneizadas</w:t>
      </w:r>
      <w:r w:rsidRPr="009E323D">
        <w:rPr>
          <w:rFonts w:ascii="Trebuchet MS" w:eastAsiaTheme="minorHAnsi" w:hAnsi="Trebuchet MS" w:cs="AdvPSTim"/>
          <w:sz w:val="20"/>
          <w:szCs w:val="20"/>
        </w:rPr>
        <w:t xml:space="preserve"> com ultrasons durante 10 segundos em gelo (</w:t>
      </w:r>
      <w:r w:rsidR="00664FAA">
        <w:rPr>
          <w:rFonts w:ascii="Trebuchet MS" w:eastAsiaTheme="minorHAnsi" w:hAnsi="Trebuchet MS" w:cs="AdvPSTim"/>
          <w:sz w:val="20"/>
          <w:szCs w:val="20"/>
        </w:rPr>
        <w:t xml:space="preserve">ver </w:t>
      </w:r>
      <w:r w:rsidRPr="009E323D">
        <w:rPr>
          <w:rFonts w:ascii="Trebuchet MS" w:eastAsiaTheme="minorHAnsi" w:hAnsi="Trebuchet MS" w:cs="AdvPSTim"/>
          <w:sz w:val="20"/>
          <w:szCs w:val="20"/>
        </w:rPr>
        <w:t xml:space="preserve">Kudryashova </w:t>
      </w:r>
      <w:r w:rsidR="00F96813" w:rsidRPr="009E323D">
        <w:rPr>
          <w:rFonts w:ascii="Trebuchet MS" w:eastAsiaTheme="minorHAnsi" w:hAnsi="Trebuchet MS" w:cs="AdvPSTim"/>
          <w:i/>
          <w:sz w:val="20"/>
          <w:szCs w:val="20"/>
        </w:rPr>
        <w:t>et al.</w:t>
      </w:r>
      <w:r w:rsidR="00664FAA">
        <w:rPr>
          <w:rFonts w:ascii="Trebuchet MS" w:eastAsiaTheme="minorHAnsi" w:hAnsi="Trebuchet MS" w:cs="AdvPSTim"/>
          <w:sz w:val="20"/>
          <w:szCs w:val="20"/>
        </w:rPr>
        <w:t>, 2009b). Após homogeneizadas</w:t>
      </w:r>
      <w:r w:rsidRPr="009E323D">
        <w:rPr>
          <w:rFonts w:ascii="Trebuchet MS" w:eastAsiaTheme="minorHAnsi" w:hAnsi="Trebuchet MS" w:cs="AdvPSTim"/>
          <w:sz w:val="20"/>
          <w:szCs w:val="20"/>
        </w:rPr>
        <w:t>, as amostras perm</w:t>
      </w:r>
      <w:r w:rsidRPr="009E323D">
        <w:rPr>
          <w:rFonts w:ascii="Trebuchet MS" w:eastAsiaTheme="minorHAnsi" w:hAnsi="Trebuchet MS" w:cs="AdvPSTim"/>
          <w:sz w:val="20"/>
          <w:szCs w:val="20"/>
        </w:rPr>
        <w:t>a</w:t>
      </w:r>
      <w:r w:rsidRPr="009E323D">
        <w:rPr>
          <w:rFonts w:ascii="Trebuchet MS" w:eastAsiaTheme="minorHAnsi" w:hAnsi="Trebuchet MS" w:cs="AdvPSTim"/>
          <w:sz w:val="20"/>
          <w:szCs w:val="20"/>
        </w:rPr>
        <w:t>neceram em gelo durante 15 minutos. Centrifugaram-se durante 10 minutos a 15000g a 4ºC</w:t>
      </w:r>
      <w:r w:rsidR="001A7A93" w:rsidRPr="009E323D">
        <w:rPr>
          <w:rFonts w:ascii="Trebuchet MS" w:eastAsiaTheme="minorHAnsi" w:hAnsi="Trebuchet MS" w:cs="AdvPSTim"/>
          <w:sz w:val="20"/>
          <w:szCs w:val="20"/>
        </w:rPr>
        <w:t xml:space="preserve"> (Chong </w:t>
      </w:r>
      <w:r w:rsidR="00F96813" w:rsidRPr="009E323D">
        <w:rPr>
          <w:rFonts w:ascii="Trebuchet MS" w:eastAsiaTheme="minorHAnsi" w:hAnsi="Trebuchet MS" w:cs="AdvPSTim"/>
          <w:i/>
          <w:sz w:val="20"/>
          <w:szCs w:val="20"/>
        </w:rPr>
        <w:t>et al.</w:t>
      </w:r>
      <w:r w:rsidR="001A7A93" w:rsidRPr="009E323D">
        <w:rPr>
          <w:rFonts w:ascii="Trebuchet MS" w:eastAsiaTheme="minorHAnsi" w:hAnsi="Trebuchet MS" w:cs="AdvPSTim"/>
          <w:sz w:val="20"/>
          <w:szCs w:val="20"/>
        </w:rPr>
        <w:t>, 2006)</w:t>
      </w:r>
      <w:r w:rsidRPr="009E323D">
        <w:rPr>
          <w:rFonts w:ascii="Trebuchet MS" w:eastAsiaTheme="minorHAnsi" w:hAnsi="Trebuchet MS" w:cs="AdvPSTim"/>
          <w:sz w:val="20"/>
          <w:szCs w:val="20"/>
        </w:rPr>
        <w:t>. Recolheram-se os sobrenadantes e congelaram-se a -80ºC na eventual</w:t>
      </w:r>
      <w:r w:rsidRPr="009E323D">
        <w:rPr>
          <w:rFonts w:ascii="Trebuchet MS" w:eastAsiaTheme="minorHAnsi" w:hAnsi="Trebuchet MS" w:cs="AdvPSTim"/>
          <w:sz w:val="20"/>
          <w:szCs w:val="20"/>
        </w:rPr>
        <w:t>i</w:t>
      </w:r>
      <w:r w:rsidRPr="009E323D">
        <w:rPr>
          <w:rFonts w:ascii="Trebuchet MS" w:eastAsiaTheme="minorHAnsi" w:hAnsi="Trebuchet MS" w:cs="AdvPSTim"/>
          <w:sz w:val="20"/>
          <w:szCs w:val="20"/>
        </w:rPr>
        <w:t>dade de não se realizar de seguida a determinação da actividade da caspase-3 fluorimetric</w:t>
      </w:r>
      <w:r w:rsidRPr="009E323D">
        <w:rPr>
          <w:rFonts w:ascii="Trebuchet MS" w:eastAsiaTheme="minorHAnsi" w:hAnsi="Trebuchet MS" w:cs="AdvPSTim"/>
          <w:sz w:val="20"/>
          <w:szCs w:val="20"/>
        </w:rPr>
        <w:t>a</w:t>
      </w:r>
      <w:r w:rsidRPr="009E323D">
        <w:rPr>
          <w:rFonts w:ascii="Trebuchet MS" w:eastAsiaTheme="minorHAnsi" w:hAnsi="Trebuchet MS" w:cs="AdvPSTim"/>
          <w:sz w:val="20"/>
          <w:szCs w:val="20"/>
        </w:rPr>
        <w:t>mente</w:t>
      </w:r>
      <w:r w:rsidR="00067324" w:rsidRPr="009E323D">
        <w:rPr>
          <w:rFonts w:ascii="Trebuchet MS" w:eastAsiaTheme="minorHAnsi" w:hAnsi="Trebuchet MS" w:cs="AdvPSTim"/>
          <w:sz w:val="20"/>
          <w:szCs w:val="20"/>
        </w:rPr>
        <w:t xml:space="preserve"> (Wang and Johnson, 2007).</w:t>
      </w:r>
      <w:r w:rsidRPr="00751D14">
        <w:rPr>
          <w:rFonts w:ascii="Trebuchet MS" w:eastAsiaTheme="minorHAnsi" w:hAnsi="Trebuchet MS" w:cs="AdvPSTim"/>
        </w:rPr>
        <w:t xml:space="preserve"> </w:t>
      </w:r>
    </w:p>
    <w:p w:rsidR="000A7A63" w:rsidRPr="00C65DA3" w:rsidRDefault="0082137D" w:rsidP="001A7A93">
      <w:pPr>
        <w:autoSpaceDE w:val="0"/>
        <w:autoSpaceDN w:val="0"/>
        <w:adjustRightInd w:val="0"/>
        <w:spacing w:line="360" w:lineRule="auto"/>
        <w:ind w:firstLine="708"/>
        <w:jc w:val="both"/>
        <w:rPr>
          <w:rFonts w:ascii="Trebuchet MS" w:eastAsiaTheme="minorHAnsi" w:hAnsi="Trebuchet MS" w:cs="AdvPSTim"/>
          <w:sz w:val="20"/>
        </w:rPr>
      </w:pPr>
      <w:r w:rsidRPr="00C65DA3">
        <w:rPr>
          <w:rFonts w:ascii="Trebuchet MS" w:eastAsiaTheme="minorHAnsi" w:hAnsi="Trebuchet MS" w:cs="AdvPSTim"/>
          <w:sz w:val="20"/>
        </w:rPr>
        <w:lastRenderedPageBreak/>
        <w:t>A actividade da caspase foi determinada fluorimetricamente</w:t>
      </w:r>
      <w:r w:rsidR="00DF28CB" w:rsidRPr="00C65DA3">
        <w:rPr>
          <w:rFonts w:ascii="Trebuchet MS" w:eastAsiaTheme="minorHAnsi" w:hAnsi="Trebuchet MS" w:cs="AdvPSTim"/>
          <w:sz w:val="20"/>
        </w:rPr>
        <w:t xml:space="preserve"> </w:t>
      </w:r>
      <w:r w:rsidR="001A7A93" w:rsidRPr="00C65DA3">
        <w:rPr>
          <w:rFonts w:ascii="Trebuchet MS" w:eastAsiaTheme="minorHAnsi" w:hAnsi="Trebuchet MS" w:cs="AdvPSTim"/>
          <w:sz w:val="20"/>
        </w:rPr>
        <w:t xml:space="preserve">(Chong </w:t>
      </w:r>
      <w:r w:rsidR="00F96813" w:rsidRPr="00C65DA3">
        <w:rPr>
          <w:rFonts w:ascii="Trebuchet MS" w:eastAsiaTheme="minorHAnsi" w:hAnsi="Trebuchet MS" w:cs="AdvPSTim"/>
          <w:i/>
          <w:sz w:val="20"/>
        </w:rPr>
        <w:t>et al.</w:t>
      </w:r>
      <w:r w:rsidR="001A7A93" w:rsidRPr="00C65DA3">
        <w:rPr>
          <w:rFonts w:ascii="Trebuchet MS" w:eastAsiaTheme="minorHAnsi" w:hAnsi="Trebuchet MS" w:cs="AdvPSTim"/>
          <w:sz w:val="20"/>
        </w:rPr>
        <w:t xml:space="preserve">, 2006; </w:t>
      </w:r>
      <w:r w:rsidR="00DF28CB" w:rsidRPr="00C65DA3">
        <w:rPr>
          <w:rFonts w:ascii="Trebuchet MS" w:eastAsiaTheme="minorHAnsi" w:hAnsi="Trebuchet MS" w:cs="AdvPSTim"/>
          <w:sz w:val="20"/>
        </w:rPr>
        <w:t>Kudryashov et al, 2001; Wang and Johnson, 2007)</w:t>
      </w:r>
      <w:r w:rsidRPr="00C65DA3">
        <w:rPr>
          <w:rFonts w:ascii="Trebuchet MS" w:eastAsiaTheme="minorHAnsi" w:hAnsi="Trebuchet MS" w:cs="AdvPSTim"/>
          <w:sz w:val="20"/>
        </w:rPr>
        <w:t xml:space="preserve">, em que se usou o substrato Ac-DEVD-AFC e o inibidor Z-DEVD-FMK </w:t>
      </w:r>
      <w:r w:rsidR="004543A7">
        <w:rPr>
          <w:rFonts w:ascii="Trebuchet MS" w:eastAsiaTheme="minorHAnsi" w:hAnsi="Trebuchet MS" w:cs="AdvPSTim"/>
          <w:sz w:val="20"/>
        </w:rPr>
        <w:t>(</w:t>
      </w:r>
      <w:r w:rsidRPr="00C65DA3">
        <w:rPr>
          <w:rFonts w:ascii="Trebuchet MS" w:eastAsiaTheme="minorHAnsi" w:hAnsi="Trebuchet MS" w:cs="AdvPSTim"/>
          <w:sz w:val="20"/>
        </w:rPr>
        <w:t>Tocris Bioscience</w:t>
      </w:r>
      <w:r w:rsidR="004543A7">
        <w:rPr>
          <w:rFonts w:ascii="Trebuchet MS" w:eastAsiaTheme="minorHAnsi" w:hAnsi="Trebuchet MS" w:cs="AdvPSTim"/>
          <w:sz w:val="20"/>
        </w:rPr>
        <w:t>)</w:t>
      </w:r>
      <w:r w:rsidRPr="00C65DA3">
        <w:rPr>
          <w:rFonts w:ascii="Trebuchet MS" w:eastAsiaTheme="minorHAnsi" w:hAnsi="Trebuchet MS" w:cs="AdvPSTim"/>
          <w:sz w:val="20"/>
        </w:rPr>
        <w:t>. Numa placa opaca (Corning) de 96 poços</w:t>
      </w:r>
      <w:r w:rsidR="00F61A9A" w:rsidRPr="00C65DA3">
        <w:rPr>
          <w:rFonts w:ascii="Trebuchet MS" w:eastAsiaTheme="minorHAnsi" w:hAnsi="Trebuchet MS" w:cs="AdvPSTim"/>
          <w:sz w:val="20"/>
        </w:rPr>
        <w:t xml:space="preserve"> (Fig. 3.1</w:t>
      </w:r>
      <w:r w:rsidR="00CB53FD">
        <w:rPr>
          <w:rFonts w:ascii="Trebuchet MS" w:eastAsiaTheme="minorHAnsi" w:hAnsi="Trebuchet MS" w:cs="AdvPSTim"/>
          <w:sz w:val="20"/>
        </w:rPr>
        <w:t>2</w:t>
      </w:r>
      <w:r w:rsidR="00F61A9A" w:rsidRPr="00C65DA3">
        <w:rPr>
          <w:rFonts w:ascii="Trebuchet MS" w:eastAsiaTheme="minorHAnsi" w:hAnsi="Trebuchet MS" w:cs="AdvPSTim"/>
          <w:sz w:val="20"/>
        </w:rPr>
        <w:t>)</w:t>
      </w:r>
      <w:r w:rsidRPr="00C65DA3">
        <w:rPr>
          <w:rFonts w:ascii="Trebuchet MS" w:eastAsiaTheme="minorHAnsi" w:hAnsi="Trebuchet MS" w:cs="AdvPSTim"/>
          <w:sz w:val="20"/>
        </w:rPr>
        <w:t xml:space="preserve">, especial para fluorescência, procedeu-se à adição de 40 </w:t>
      </w:r>
      <w:r w:rsidRPr="00C65DA3">
        <w:rPr>
          <w:rFonts w:ascii="Trebuchet MS" w:eastAsiaTheme="minorHAnsi" w:hAnsi="Trebuchet MS" w:cs="AdvPSTim"/>
          <w:sz w:val="20"/>
        </w:rPr>
        <w:sym w:font="Symbol" w:char="F06D"/>
      </w:r>
      <w:r w:rsidRPr="00C65DA3">
        <w:rPr>
          <w:rFonts w:ascii="Trebuchet MS" w:eastAsiaTheme="minorHAnsi" w:hAnsi="Trebuchet MS" w:cs="AdvPSTim"/>
          <w:sz w:val="20"/>
        </w:rPr>
        <w:t>L de amostra</w:t>
      </w:r>
      <w:r w:rsidR="004543A7">
        <w:rPr>
          <w:rFonts w:ascii="Trebuchet MS" w:eastAsiaTheme="minorHAnsi" w:hAnsi="Trebuchet MS" w:cs="AdvPSTim"/>
          <w:sz w:val="20"/>
        </w:rPr>
        <w:t xml:space="preserve"> ou de tampão de incubação (branco)</w:t>
      </w:r>
      <w:r w:rsidRPr="00C65DA3">
        <w:rPr>
          <w:rFonts w:ascii="Trebuchet MS" w:eastAsiaTheme="minorHAnsi" w:hAnsi="Trebuchet MS" w:cs="AdvPSTim"/>
          <w:sz w:val="20"/>
        </w:rPr>
        <w:t xml:space="preserve">, 20 </w:t>
      </w:r>
      <w:r w:rsidRPr="00C65DA3">
        <w:rPr>
          <w:rFonts w:ascii="Trebuchet MS" w:eastAsiaTheme="minorHAnsi" w:hAnsi="Trebuchet MS" w:cs="AdvPSTim"/>
          <w:sz w:val="20"/>
        </w:rPr>
        <w:sym w:font="Symbol" w:char="F06D"/>
      </w:r>
      <w:r w:rsidRPr="00C65DA3">
        <w:rPr>
          <w:rFonts w:ascii="Trebuchet MS" w:eastAsiaTheme="minorHAnsi" w:hAnsi="Trebuchet MS" w:cs="AdvPSTim"/>
          <w:sz w:val="20"/>
        </w:rPr>
        <w:t xml:space="preserve">l tampão de incubação ou de </w:t>
      </w:r>
      <w:r w:rsidR="00AF4E31">
        <w:rPr>
          <w:rFonts w:ascii="Trebuchet MS" w:eastAsiaTheme="minorHAnsi" w:hAnsi="Trebuchet MS" w:cs="AdvPSTim"/>
          <w:sz w:val="20"/>
        </w:rPr>
        <w:t xml:space="preserve">tampão de incubação contendo </w:t>
      </w:r>
      <w:r w:rsidRPr="00C65DA3">
        <w:rPr>
          <w:rFonts w:ascii="Trebuchet MS" w:eastAsiaTheme="minorHAnsi" w:hAnsi="Trebuchet MS" w:cs="AdvPSTim"/>
          <w:sz w:val="20"/>
        </w:rPr>
        <w:t>in</w:t>
      </w:r>
      <w:r w:rsidRPr="00C65DA3">
        <w:rPr>
          <w:rFonts w:ascii="Trebuchet MS" w:eastAsiaTheme="minorHAnsi" w:hAnsi="Trebuchet MS" w:cs="AdvPSTim"/>
          <w:sz w:val="20"/>
        </w:rPr>
        <w:t>i</w:t>
      </w:r>
      <w:r w:rsidRPr="00C65DA3">
        <w:rPr>
          <w:rFonts w:ascii="Trebuchet MS" w:eastAsiaTheme="minorHAnsi" w:hAnsi="Trebuchet MS" w:cs="AdvPSTim"/>
          <w:sz w:val="20"/>
        </w:rPr>
        <w:t xml:space="preserve">bidor Z-DEVD-FMK 0,5 </w:t>
      </w:r>
      <w:r w:rsidRPr="00C65DA3">
        <w:rPr>
          <w:rFonts w:ascii="Trebuchet MS" w:eastAsiaTheme="minorHAnsi" w:hAnsi="Trebuchet MS" w:cs="AdvPSTim"/>
          <w:sz w:val="20"/>
        </w:rPr>
        <w:sym w:font="Symbol" w:char="F06D"/>
      </w:r>
      <w:r w:rsidRPr="00C65DA3">
        <w:rPr>
          <w:rFonts w:ascii="Trebuchet MS" w:eastAsiaTheme="minorHAnsi" w:hAnsi="Trebuchet MS" w:cs="AdvPSTim"/>
          <w:sz w:val="20"/>
        </w:rPr>
        <w:t>M e agitou-se no leitor de microplacas de Elisa durante 60 segundos</w:t>
      </w:r>
      <w:r w:rsidR="00067324" w:rsidRPr="00C65DA3">
        <w:rPr>
          <w:rFonts w:ascii="Trebuchet MS" w:eastAsiaTheme="minorHAnsi" w:hAnsi="Trebuchet MS" w:cs="AdvPSTim"/>
          <w:sz w:val="20"/>
        </w:rPr>
        <w:t xml:space="preserve"> (Wang and Johnson, 2007).</w:t>
      </w:r>
      <w:r w:rsidRPr="00C65DA3">
        <w:rPr>
          <w:rFonts w:ascii="Trebuchet MS" w:eastAsiaTheme="minorHAnsi" w:hAnsi="Trebuchet MS" w:cs="AdvPSTim"/>
          <w:sz w:val="20"/>
        </w:rPr>
        <w:t xml:space="preserve"> Deixou-se incubar à temperat</w:t>
      </w:r>
      <w:r w:rsidR="00AF4E31">
        <w:rPr>
          <w:rFonts w:ascii="Trebuchet MS" w:eastAsiaTheme="minorHAnsi" w:hAnsi="Trebuchet MS" w:cs="AdvPSTim"/>
          <w:sz w:val="20"/>
        </w:rPr>
        <w:t>ura ambiente durante 15 minutos</w:t>
      </w:r>
      <w:r w:rsidRPr="00C65DA3">
        <w:rPr>
          <w:rFonts w:ascii="Trebuchet MS" w:eastAsiaTheme="minorHAnsi" w:hAnsi="Trebuchet MS" w:cs="AdvPSTim"/>
          <w:sz w:val="20"/>
        </w:rPr>
        <w:t xml:space="preserve">. O tampão de incubação ou </w:t>
      </w:r>
      <w:r w:rsidR="00AF4E31">
        <w:rPr>
          <w:rFonts w:ascii="Trebuchet MS" w:eastAsiaTheme="minorHAnsi" w:hAnsi="Trebuchet MS" w:cs="AdvPSTim"/>
          <w:sz w:val="20"/>
        </w:rPr>
        <w:t xml:space="preserve">de </w:t>
      </w:r>
      <w:r w:rsidRPr="00C65DA3">
        <w:rPr>
          <w:rFonts w:ascii="Trebuchet MS" w:eastAsiaTheme="minorHAnsi" w:hAnsi="Trebuchet MS" w:cs="AdvPSTim"/>
          <w:sz w:val="20"/>
        </w:rPr>
        <w:t xml:space="preserve">análise </w:t>
      </w:r>
      <w:r w:rsidR="00AF4E31">
        <w:rPr>
          <w:rFonts w:ascii="Trebuchet MS" w:eastAsiaTheme="minorHAnsi" w:hAnsi="Trebuchet MS" w:cs="AdvPSTim"/>
          <w:sz w:val="20"/>
        </w:rPr>
        <w:t>era</w:t>
      </w:r>
      <w:r w:rsidRPr="00C65DA3">
        <w:rPr>
          <w:rFonts w:ascii="Trebuchet MS" w:eastAsiaTheme="minorHAnsi" w:hAnsi="Trebuchet MS" w:cs="AdvPSTim"/>
          <w:sz w:val="20"/>
        </w:rPr>
        <w:t xml:space="preserve"> constituído </w:t>
      </w:r>
      <w:proofErr w:type="gramStart"/>
      <w:r w:rsidRPr="00C65DA3">
        <w:rPr>
          <w:rFonts w:ascii="Trebuchet MS" w:eastAsiaTheme="minorHAnsi" w:hAnsi="Trebuchet MS" w:cs="AdvPSTim"/>
          <w:sz w:val="20"/>
        </w:rPr>
        <w:t>por</w:t>
      </w:r>
      <w:proofErr w:type="gramEnd"/>
      <w:r w:rsidRPr="00C65DA3">
        <w:rPr>
          <w:rFonts w:ascii="Trebuchet MS" w:eastAsiaTheme="minorHAnsi" w:hAnsi="Trebuchet MS" w:cs="AdvPSTim"/>
          <w:sz w:val="20"/>
        </w:rPr>
        <w:t xml:space="preserve"> (mM): Hepes 20; NaCl 100; EDTA 1; </w:t>
      </w:r>
      <w:r w:rsidR="00AF4E31" w:rsidRPr="00C65DA3">
        <w:rPr>
          <w:rFonts w:ascii="Trebuchet MS" w:eastAsiaTheme="minorHAnsi" w:hAnsi="Trebuchet MS" w:cs="AdvPSTim"/>
          <w:sz w:val="20"/>
        </w:rPr>
        <w:t>DTT 10</w:t>
      </w:r>
      <w:r w:rsidR="00AF4E31">
        <w:rPr>
          <w:rFonts w:ascii="Trebuchet MS" w:eastAsiaTheme="minorHAnsi" w:hAnsi="Trebuchet MS" w:cs="AdvPSTim"/>
          <w:sz w:val="20"/>
        </w:rPr>
        <w:t xml:space="preserve">; </w:t>
      </w:r>
      <w:r w:rsidRPr="00C65DA3">
        <w:rPr>
          <w:rFonts w:ascii="Trebuchet MS" w:eastAsiaTheme="minorHAnsi" w:hAnsi="Trebuchet MS" w:cs="AdvPSTim"/>
          <w:sz w:val="20"/>
        </w:rPr>
        <w:t xml:space="preserve">CHAPS </w:t>
      </w:r>
      <w:r w:rsidR="00AF4E31">
        <w:rPr>
          <w:rFonts w:ascii="Trebuchet MS" w:eastAsiaTheme="minorHAnsi" w:hAnsi="Trebuchet MS" w:cs="AdvPSTim"/>
          <w:sz w:val="20"/>
        </w:rPr>
        <w:t xml:space="preserve">0,1% (v/v); sacarose 10% (m/v); </w:t>
      </w:r>
      <w:r w:rsidRPr="00C65DA3">
        <w:rPr>
          <w:rFonts w:ascii="Trebuchet MS" w:eastAsiaTheme="minorHAnsi" w:hAnsi="Trebuchet MS" w:cs="AdvPSTim"/>
          <w:sz w:val="20"/>
        </w:rPr>
        <w:t xml:space="preserve">pH final de 7,4. O tampão de incubação </w:t>
      </w:r>
      <w:r w:rsidR="00AF4E31">
        <w:rPr>
          <w:rFonts w:ascii="Trebuchet MS" w:eastAsiaTheme="minorHAnsi" w:hAnsi="Trebuchet MS" w:cs="AdvPSTim"/>
          <w:sz w:val="20"/>
        </w:rPr>
        <w:t xml:space="preserve">era </w:t>
      </w:r>
      <w:r w:rsidRPr="00C65DA3">
        <w:rPr>
          <w:rFonts w:ascii="Trebuchet MS" w:eastAsiaTheme="minorHAnsi" w:hAnsi="Trebuchet MS" w:cs="AdvPSTim"/>
          <w:sz w:val="20"/>
        </w:rPr>
        <w:t xml:space="preserve">protegido da luz. Após </w:t>
      </w:r>
      <w:r w:rsidR="00AF4E31">
        <w:rPr>
          <w:rFonts w:ascii="Trebuchet MS" w:eastAsiaTheme="minorHAnsi" w:hAnsi="Trebuchet MS" w:cs="AdvPSTim"/>
          <w:sz w:val="20"/>
        </w:rPr>
        <w:t xml:space="preserve">os </w:t>
      </w:r>
      <w:r w:rsidRPr="00C65DA3">
        <w:rPr>
          <w:rFonts w:ascii="Trebuchet MS" w:eastAsiaTheme="minorHAnsi" w:hAnsi="Trebuchet MS" w:cs="AdvPSTim"/>
          <w:sz w:val="20"/>
        </w:rPr>
        <w:t>15 minutos de incubação, adicion</w:t>
      </w:r>
      <w:r w:rsidR="00AF4E31">
        <w:rPr>
          <w:rFonts w:ascii="Trebuchet MS" w:eastAsiaTheme="minorHAnsi" w:hAnsi="Trebuchet MS" w:cs="AdvPSTim"/>
          <w:sz w:val="20"/>
        </w:rPr>
        <w:t>aram-se</w:t>
      </w:r>
      <w:r w:rsidRPr="00C65DA3">
        <w:rPr>
          <w:rFonts w:ascii="Trebuchet MS" w:eastAsiaTheme="minorHAnsi" w:hAnsi="Trebuchet MS" w:cs="AdvPSTim"/>
          <w:sz w:val="20"/>
        </w:rPr>
        <w:t xml:space="preserve"> 140 </w:t>
      </w:r>
      <w:r w:rsidRPr="00C65DA3">
        <w:rPr>
          <w:rFonts w:ascii="Trebuchet MS" w:eastAsiaTheme="minorHAnsi" w:hAnsi="Trebuchet MS" w:cs="AdvPSTim"/>
          <w:sz w:val="20"/>
        </w:rPr>
        <w:sym w:font="Symbol" w:char="F06D"/>
      </w:r>
      <w:r w:rsidRPr="00C65DA3">
        <w:rPr>
          <w:rFonts w:ascii="Trebuchet MS" w:eastAsiaTheme="minorHAnsi" w:hAnsi="Trebuchet MS" w:cs="AdvPSTim"/>
          <w:sz w:val="20"/>
        </w:rPr>
        <w:t xml:space="preserve">L de substrato Ac-DEVD-AFC 25 </w:t>
      </w:r>
      <w:r w:rsidRPr="00C65DA3">
        <w:rPr>
          <w:rFonts w:ascii="Trebuchet MS" w:eastAsiaTheme="minorHAnsi" w:hAnsi="Trebuchet MS" w:cs="AdvPSTim"/>
          <w:sz w:val="20"/>
        </w:rPr>
        <w:sym w:font="Symbol" w:char="F06D"/>
      </w:r>
      <w:r w:rsidRPr="00C65DA3">
        <w:rPr>
          <w:rFonts w:ascii="Trebuchet MS" w:eastAsiaTheme="minorHAnsi" w:hAnsi="Trebuchet MS" w:cs="AdvPSTim"/>
          <w:sz w:val="20"/>
        </w:rPr>
        <w:t>M</w:t>
      </w:r>
      <w:r w:rsidR="00AF4E31">
        <w:rPr>
          <w:rFonts w:ascii="Trebuchet MS" w:eastAsiaTheme="minorHAnsi" w:hAnsi="Trebuchet MS" w:cs="AdvPSTim"/>
          <w:sz w:val="20"/>
        </w:rPr>
        <w:t xml:space="preserve"> em tampão de incubação</w:t>
      </w:r>
      <w:r w:rsidRPr="00C65DA3">
        <w:rPr>
          <w:rFonts w:ascii="Trebuchet MS" w:eastAsiaTheme="minorHAnsi" w:hAnsi="Trebuchet MS" w:cs="AdvPSTim"/>
          <w:sz w:val="20"/>
        </w:rPr>
        <w:t xml:space="preserve"> e agitou-se novamente durante 60 segundos, pr</w:t>
      </w:r>
      <w:r w:rsidRPr="00C65DA3">
        <w:rPr>
          <w:rFonts w:ascii="Trebuchet MS" w:eastAsiaTheme="minorHAnsi" w:hAnsi="Trebuchet MS" w:cs="AdvPSTim"/>
          <w:sz w:val="20"/>
        </w:rPr>
        <w:t>o</w:t>
      </w:r>
      <w:r w:rsidRPr="00C65DA3">
        <w:rPr>
          <w:rFonts w:ascii="Trebuchet MS" w:eastAsiaTheme="minorHAnsi" w:hAnsi="Trebuchet MS" w:cs="AdvPSTim"/>
          <w:sz w:val="20"/>
        </w:rPr>
        <w:t>teg</w:t>
      </w:r>
      <w:r w:rsidR="00AF4E31">
        <w:rPr>
          <w:rFonts w:ascii="Trebuchet MS" w:eastAsiaTheme="minorHAnsi" w:hAnsi="Trebuchet MS" w:cs="AdvPSTim"/>
          <w:sz w:val="20"/>
        </w:rPr>
        <w:t>endo</w:t>
      </w:r>
      <w:r w:rsidRPr="00C65DA3">
        <w:rPr>
          <w:rFonts w:ascii="Trebuchet MS" w:eastAsiaTheme="minorHAnsi" w:hAnsi="Trebuchet MS" w:cs="AdvPSTim"/>
          <w:sz w:val="20"/>
        </w:rPr>
        <w:t>-se da luz</w:t>
      </w:r>
      <w:r w:rsidR="00826C1D" w:rsidRPr="00C65DA3">
        <w:rPr>
          <w:rFonts w:ascii="Trebuchet MS" w:eastAsiaTheme="minorHAnsi" w:hAnsi="Trebuchet MS" w:cs="AdvPSTim"/>
          <w:sz w:val="20"/>
        </w:rPr>
        <w:t xml:space="preserve"> (Wang and Johnson, 2007)</w:t>
      </w:r>
      <w:r w:rsidR="00AF4E31">
        <w:rPr>
          <w:rFonts w:ascii="Trebuchet MS" w:eastAsiaTheme="minorHAnsi" w:hAnsi="Trebuchet MS" w:cs="AdvPSTim"/>
          <w:sz w:val="20"/>
        </w:rPr>
        <w:t xml:space="preserve">, pois o </w:t>
      </w:r>
      <w:r w:rsidRPr="00C65DA3">
        <w:rPr>
          <w:rFonts w:ascii="Trebuchet MS" w:eastAsiaTheme="minorHAnsi" w:hAnsi="Trebuchet MS" w:cs="AdvPSTim"/>
          <w:sz w:val="20"/>
        </w:rPr>
        <w:t xml:space="preserve">substrato Ac-DEVD-AFC é fotossensível. </w:t>
      </w:r>
      <w:r w:rsidR="00ED1239">
        <w:rPr>
          <w:rFonts w:ascii="Trebuchet MS" w:eastAsiaTheme="minorHAnsi" w:hAnsi="Trebuchet MS" w:cs="AdvPSTim"/>
          <w:sz w:val="20"/>
        </w:rPr>
        <w:t>Seguidamente, i</w:t>
      </w:r>
      <w:r w:rsidRPr="00C65DA3">
        <w:rPr>
          <w:rFonts w:ascii="Trebuchet MS" w:eastAsiaTheme="minorHAnsi" w:hAnsi="Trebuchet MS" w:cs="AdvPSTim"/>
          <w:sz w:val="20"/>
        </w:rPr>
        <w:t xml:space="preserve">ncubou-se </w:t>
      </w:r>
      <w:r w:rsidR="00ED1239" w:rsidRPr="00C65DA3">
        <w:rPr>
          <w:rFonts w:ascii="Trebuchet MS" w:eastAsiaTheme="minorHAnsi" w:hAnsi="Trebuchet MS" w:cs="AdvPSTim"/>
          <w:sz w:val="20"/>
        </w:rPr>
        <w:t xml:space="preserve">a placa </w:t>
      </w:r>
      <w:r w:rsidRPr="00C65DA3">
        <w:rPr>
          <w:rFonts w:ascii="Trebuchet MS" w:eastAsiaTheme="minorHAnsi" w:hAnsi="Trebuchet MS" w:cs="AdvPSTim"/>
          <w:sz w:val="20"/>
        </w:rPr>
        <w:t>durante 60 minutos na estufa a 37ºC</w:t>
      </w:r>
      <w:r w:rsidR="001A7A93" w:rsidRPr="00C65DA3">
        <w:rPr>
          <w:rFonts w:ascii="Trebuchet MS" w:eastAsiaTheme="minorHAnsi" w:hAnsi="Trebuchet MS" w:cs="AdvPSTim"/>
          <w:sz w:val="20"/>
        </w:rPr>
        <w:t xml:space="preserve"> (Chong </w:t>
      </w:r>
      <w:r w:rsidR="00F96813" w:rsidRPr="00C65DA3">
        <w:rPr>
          <w:rFonts w:ascii="Trebuchet MS" w:eastAsiaTheme="minorHAnsi" w:hAnsi="Trebuchet MS" w:cs="AdvPSTim"/>
          <w:i/>
          <w:sz w:val="20"/>
        </w:rPr>
        <w:t>et al.</w:t>
      </w:r>
      <w:r w:rsidR="001A7A93" w:rsidRPr="00C65DA3">
        <w:rPr>
          <w:rFonts w:ascii="Trebuchet MS" w:eastAsiaTheme="minorHAnsi" w:hAnsi="Trebuchet MS" w:cs="AdvPSTim"/>
          <w:sz w:val="20"/>
        </w:rPr>
        <w:t>, 2006)</w:t>
      </w:r>
      <w:r w:rsidRPr="00C65DA3">
        <w:rPr>
          <w:rFonts w:ascii="Trebuchet MS" w:eastAsiaTheme="minorHAnsi" w:hAnsi="Trebuchet MS" w:cs="AdvPSTim"/>
          <w:sz w:val="20"/>
        </w:rPr>
        <w:t xml:space="preserve">. </w:t>
      </w:r>
      <w:r w:rsidR="00ED1239">
        <w:rPr>
          <w:rFonts w:ascii="Trebuchet MS" w:eastAsiaTheme="minorHAnsi" w:hAnsi="Trebuchet MS" w:cs="AdvPSTim"/>
          <w:sz w:val="20"/>
        </w:rPr>
        <w:t>Finalmente, p</w:t>
      </w:r>
      <w:r w:rsidRPr="00C65DA3">
        <w:rPr>
          <w:rFonts w:ascii="Trebuchet MS" w:eastAsiaTheme="minorHAnsi" w:hAnsi="Trebuchet MS" w:cs="AdvPSTim"/>
          <w:sz w:val="20"/>
        </w:rPr>
        <w:t>rocedeu-se à leitura da fluorescência no fluorímetro</w:t>
      </w:r>
      <w:r w:rsidR="00ED409E" w:rsidRPr="00C65DA3">
        <w:rPr>
          <w:rFonts w:ascii="Trebuchet MS" w:eastAsiaTheme="minorHAnsi" w:hAnsi="Trebuchet MS" w:cs="AdvPSTim"/>
          <w:sz w:val="20"/>
        </w:rPr>
        <w:t xml:space="preserve"> (Fig. 3.1</w:t>
      </w:r>
      <w:r w:rsidR="00ED1239">
        <w:rPr>
          <w:rFonts w:ascii="Trebuchet MS" w:eastAsiaTheme="minorHAnsi" w:hAnsi="Trebuchet MS" w:cs="AdvPSTim"/>
          <w:sz w:val="20"/>
        </w:rPr>
        <w:t>2</w:t>
      </w:r>
      <w:r w:rsidR="00ED409E" w:rsidRPr="00C65DA3">
        <w:rPr>
          <w:rFonts w:ascii="Trebuchet MS" w:eastAsiaTheme="minorHAnsi" w:hAnsi="Trebuchet MS" w:cs="AdvPSTim"/>
          <w:sz w:val="20"/>
        </w:rPr>
        <w:t>)</w:t>
      </w:r>
      <w:r w:rsidRPr="00C65DA3">
        <w:rPr>
          <w:rFonts w:ascii="Trebuchet MS" w:eastAsiaTheme="minorHAnsi" w:hAnsi="Trebuchet MS" w:cs="AdvPSTim"/>
          <w:sz w:val="20"/>
        </w:rPr>
        <w:t xml:space="preserve">, </w:t>
      </w:r>
      <w:r w:rsidR="00ED1239">
        <w:rPr>
          <w:rFonts w:ascii="Trebuchet MS" w:eastAsiaTheme="minorHAnsi" w:hAnsi="Trebuchet MS" w:cs="AdvPSTim"/>
          <w:sz w:val="20"/>
        </w:rPr>
        <w:t>utilizando</w:t>
      </w:r>
      <w:r w:rsidRPr="00C65DA3">
        <w:rPr>
          <w:rFonts w:ascii="Trebuchet MS" w:eastAsiaTheme="minorHAnsi" w:hAnsi="Trebuchet MS" w:cs="AdvPSTim"/>
          <w:sz w:val="20"/>
        </w:rPr>
        <w:t xml:space="preserve"> </w:t>
      </w:r>
      <w:r w:rsidRPr="00C65DA3">
        <w:rPr>
          <w:rFonts w:ascii="Trebuchet MS" w:eastAsiaTheme="minorHAnsi" w:hAnsi="Trebuchet MS" w:cs="AdvPSTim"/>
          <w:sz w:val="20"/>
        </w:rPr>
        <w:sym w:font="Symbol" w:char="F06C"/>
      </w:r>
      <w:r w:rsidRPr="00C65DA3">
        <w:rPr>
          <w:rFonts w:ascii="Trebuchet MS" w:eastAsiaTheme="minorHAnsi" w:hAnsi="Trebuchet MS" w:cs="AdvPSTim"/>
          <w:sz w:val="20"/>
          <w:vertAlign w:val="subscript"/>
        </w:rPr>
        <w:t>exc</w:t>
      </w:r>
      <w:r w:rsidRPr="00C65DA3">
        <w:rPr>
          <w:rFonts w:ascii="Trebuchet MS" w:eastAsiaTheme="minorHAnsi" w:hAnsi="Trebuchet MS" w:cs="AdvPSTim"/>
          <w:sz w:val="20"/>
          <w:vertAlign w:val="subscript"/>
        </w:rPr>
        <w:t>i</w:t>
      </w:r>
      <w:r w:rsidRPr="00C65DA3">
        <w:rPr>
          <w:rFonts w:ascii="Trebuchet MS" w:eastAsiaTheme="minorHAnsi" w:hAnsi="Trebuchet MS" w:cs="AdvPSTim"/>
          <w:sz w:val="20"/>
          <w:vertAlign w:val="subscript"/>
        </w:rPr>
        <w:t xml:space="preserve">tação </w:t>
      </w:r>
      <w:r w:rsidRPr="00C65DA3">
        <w:rPr>
          <w:rFonts w:ascii="Trebuchet MS" w:eastAsiaTheme="minorHAnsi" w:hAnsi="Trebuchet MS" w:cs="AdvPSTim"/>
          <w:sz w:val="20"/>
        </w:rPr>
        <w:t xml:space="preserve">= 405 nm e </w:t>
      </w:r>
      <w:r w:rsidRPr="00C65DA3">
        <w:rPr>
          <w:rFonts w:ascii="Trebuchet MS" w:eastAsiaTheme="minorHAnsi" w:hAnsi="Trebuchet MS" w:cs="AdvPSTim"/>
          <w:sz w:val="20"/>
        </w:rPr>
        <w:sym w:font="Symbol" w:char="F06C"/>
      </w:r>
      <w:r w:rsidRPr="00C65DA3">
        <w:rPr>
          <w:rFonts w:ascii="Trebuchet MS" w:eastAsiaTheme="minorHAnsi" w:hAnsi="Trebuchet MS" w:cs="AdvPSTim"/>
          <w:sz w:val="20"/>
          <w:vertAlign w:val="subscript"/>
        </w:rPr>
        <w:t xml:space="preserve">emissão </w:t>
      </w:r>
      <w:r w:rsidRPr="00C65DA3">
        <w:rPr>
          <w:rFonts w:ascii="Trebuchet MS" w:eastAsiaTheme="minorHAnsi" w:hAnsi="Trebuchet MS" w:cs="AdvPSTim"/>
          <w:sz w:val="20"/>
        </w:rPr>
        <w:t>= 510 nm, fenda = 5nm</w:t>
      </w:r>
      <w:r w:rsidR="001A7A93" w:rsidRPr="00C65DA3">
        <w:rPr>
          <w:rFonts w:ascii="Trebuchet MS" w:eastAsiaTheme="minorHAnsi" w:hAnsi="Trebuchet MS" w:cs="AdvPSTim"/>
          <w:sz w:val="20"/>
        </w:rPr>
        <w:t xml:space="preserve"> (Chong </w:t>
      </w:r>
      <w:r w:rsidR="00F96813" w:rsidRPr="00C65DA3">
        <w:rPr>
          <w:rFonts w:ascii="Trebuchet MS" w:eastAsiaTheme="minorHAnsi" w:hAnsi="Trebuchet MS" w:cs="AdvPSTim"/>
          <w:i/>
          <w:sz w:val="20"/>
        </w:rPr>
        <w:t>et al.</w:t>
      </w:r>
      <w:r w:rsidR="001A7A93" w:rsidRPr="00C65DA3">
        <w:rPr>
          <w:rFonts w:ascii="Trebuchet MS" w:eastAsiaTheme="minorHAnsi" w:hAnsi="Trebuchet MS" w:cs="AdvPSTim"/>
          <w:sz w:val="20"/>
        </w:rPr>
        <w:t>, 2006)</w:t>
      </w:r>
      <w:r w:rsidRPr="00C65DA3">
        <w:rPr>
          <w:rFonts w:ascii="Trebuchet MS" w:eastAsiaTheme="minorHAnsi" w:hAnsi="Trebuchet MS" w:cs="AdvPSTim"/>
          <w:sz w:val="20"/>
        </w:rPr>
        <w:t xml:space="preserve">. A actividade da caspase-3 </w:t>
      </w:r>
      <w:r w:rsidR="00ED1239">
        <w:rPr>
          <w:rFonts w:ascii="Trebuchet MS" w:eastAsiaTheme="minorHAnsi" w:hAnsi="Trebuchet MS" w:cs="AdvPSTim"/>
          <w:sz w:val="20"/>
        </w:rPr>
        <w:t>foi</w:t>
      </w:r>
      <w:r w:rsidRPr="00C65DA3">
        <w:rPr>
          <w:rFonts w:ascii="Trebuchet MS" w:eastAsiaTheme="minorHAnsi" w:hAnsi="Trebuchet MS" w:cs="AdvPSTim"/>
          <w:sz w:val="20"/>
        </w:rPr>
        <w:t xml:space="preserve"> estimada fluorimetricamente, em termos da taxa de clivagem do substrato fluorogénico sintético. A fluorescência do AFC formado é resultado da clivagem proteolítica do substrato (</w:t>
      </w:r>
      <w:r w:rsidR="001A7A93" w:rsidRPr="00C65DA3">
        <w:rPr>
          <w:rFonts w:ascii="Trebuchet MS" w:eastAsiaTheme="minorHAnsi" w:hAnsi="Trebuchet MS" w:cs="AdvPSTim"/>
          <w:sz w:val="20"/>
        </w:rPr>
        <w:t xml:space="preserve">Chong </w:t>
      </w:r>
      <w:r w:rsidR="00F96813" w:rsidRPr="00C65DA3">
        <w:rPr>
          <w:rFonts w:ascii="Trebuchet MS" w:eastAsiaTheme="minorHAnsi" w:hAnsi="Trebuchet MS" w:cs="AdvPSTim"/>
          <w:i/>
          <w:sz w:val="20"/>
        </w:rPr>
        <w:t>et al.</w:t>
      </w:r>
      <w:r w:rsidR="001A7A93" w:rsidRPr="00C65DA3">
        <w:rPr>
          <w:rFonts w:ascii="Trebuchet MS" w:eastAsiaTheme="minorHAnsi" w:hAnsi="Trebuchet MS" w:cs="AdvPSTim"/>
          <w:sz w:val="20"/>
        </w:rPr>
        <w:t xml:space="preserve">, 2006; </w:t>
      </w:r>
      <w:r w:rsidRPr="00C65DA3">
        <w:rPr>
          <w:rFonts w:ascii="Trebuchet MS" w:eastAsiaTheme="minorHAnsi" w:hAnsi="Trebuchet MS" w:cs="AdvPSTim"/>
          <w:sz w:val="20"/>
        </w:rPr>
        <w:t xml:space="preserve">Kudryashova </w:t>
      </w:r>
      <w:r w:rsidR="00F96813" w:rsidRPr="00C65DA3">
        <w:rPr>
          <w:rFonts w:ascii="Trebuchet MS" w:eastAsiaTheme="minorHAnsi" w:hAnsi="Trebuchet MS" w:cs="AdvPSTim"/>
          <w:i/>
          <w:sz w:val="20"/>
        </w:rPr>
        <w:t>et al.</w:t>
      </w:r>
      <w:r w:rsidRPr="00C65DA3">
        <w:rPr>
          <w:rFonts w:ascii="Trebuchet MS" w:eastAsiaTheme="minorHAnsi" w:hAnsi="Trebuchet MS" w:cs="AdvPSTim"/>
          <w:sz w:val="20"/>
        </w:rPr>
        <w:t xml:space="preserve">, 2009b). </w:t>
      </w:r>
      <w:r w:rsidR="00112D5B" w:rsidRPr="00C65DA3">
        <w:rPr>
          <w:rFonts w:ascii="Trebuchet MS" w:eastAsiaTheme="minorHAnsi" w:hAnsi="Trebuchet MS" w:cs="AdvPSTim"/>
          <w:sz w:val="20"/>
        </w:rPr>
        <w:t>A actividade da caspase-3 foi calculado como a diferença entre a taxa de degradação em amostras de substrato que contém e não contém inibidor</w:t>
      </w:r>
      <w:r w:rsidR="00D453FD" w:rsidRPr="00C65DA3">
        <w:rPr>
          <w:rFonts w:ascii="Trebuchet MS" w:eastAsiaTheme="minorHAnsi" w:hAnsi="Trebuchet MS" w:cs="AdvPSTim"/>
          <w:sz w:val="20"/>
        </w:rPr>
        <w:t xml:space="preserve"> específico da caspase-3</w:t>
      </w:r>
      <w:r w:rsidR="00112D5B" w:rsidRPr="00C65DA3">
        <w:rPr>
          <w:rFonts w:ascii="Trebuchet MS" w:eastAsiaTheme="minorHAnsi" w:hAnsi="Trebuchet MS" w:cs="AdvPSTim"/>
          <w:sz w:val="20"/>
        </w:rPr>
        <w:t xml:space="preserve"> (Z-DEVD-FMK)</w:t>
      </w:r>
      <w:r w:rsidR="00D453FD" w:rsidRPr="00C65DA3">
        <w:rPr>
          <w:rFonts w:ascii="Trebuchet MS" w:eastAsiaTheme="minorHAnsi" w:hAnsi="Trebuchet MS" w:cs="AdvPSTim"/>
          <w:sz w:val="20"/>
        </w:rPr>
        <w:t xml:space="preserve"> (Kudryashov </w:t>
      </w:r>
      <w:r w:rsidR="00F96813" w:rsidRPr="00C65DA3">
        <w:rPr>
          <w:rFonts w:ascii="Trebuchet MS" w:eastAsiaTheme="minorHAnsi" w:hAnsi="Trebuchet MS" w:cs="AdvPSTim"/>
          <w:i/>
          <w:sz w:val="20"/>
        </w:rPr>
        <w:t>et al.</w:t>
      </w:r>
      <w:r w:rsidR="00D453FD" w:rsidRPr="00C65DA3">
        <w:rPr>
          <w:rFonts w:ascii="Trebuchet MS" w:eastAsiaTheme="minorHAnsi" w:hAnsi="Trebuchet MS" w:cs="AdvPSTim"/>
          <w:sz w:val="20"/>
        </w:rPr>
        <w:t>, 2001)</w:t>
      </w:r>
      <w:r w:rsidR="00112D5B" w:rsidRPr="00C65DA3">
        <w:rPr>
          <w:rFonts w:ascii="Trebuchet MS" w:eastAsiaTheme="minorHAnsi" w:hAnsi="Trebuchet MS" w:cs="AdvPSTim"/>
          <w:sz w:val="20"/>
        </w:rPr>
        <w:t>.</w:t>
      </w:r>
      <w:r w:rsidR="00E55E0E" w:rsidRPr="00C65DA3">
        <w:rPr>
          <w:rFonts w:ascii="Trebuchet MS" w:hAnsi="Trebuchet MS"/>
          <w:sz w:val="20"/>
        </w:rPr>
        <w:t xml:space="preserve"> </w:t>
      </w:r>
      <w:r w:rsidR="00E55E0E" w:rsidRPr="00C65DA3">
        <w:rPr>
          <w:rFonts w:ascii="Trebuchet MS" w:eastAsiaTheme="minorHAnsi" w:hAnsi="Trebuchet MS" w:cs="AdvPSTim"/>
          <w:sz w:val="20"/>
        </w:rPr>
        <w:t>A actividade da ca</w:t>
      </w:r>
      <w:r w:rsidR="00E55E0E" w:rsidRPr="00C65DA3">
        <w:rPr>
          <w:rFonts w:ascii="Trebuchet MS" w:eastAsiaTheme="minorHAnsi" w:hAnsi="Trebuchet MS" w:cs="AdvPSTim"/>
          <w:sz w:val="20"/>
        </w:rPr>
        <w:t>s</w:t>
      </w:r>
      <w:r w:rsidR="00E55E0E" w:rsidRPr="00C65DA3">
        <w:rPr>
          <w:rFonts w:ascii="Trebuchet MS" w:eastAsiaTheme="minorHAnsi" w:hAnsi="Trebuchet MS" w:cs="AdvPSTim"/>
          <w:sz w:val="20"/>
        </w:rPr>
        <w:t>pase-3 foi expressa como pmoles AFC/mg protein/60 min.</w:t>
      </w:r>
      <w:r w:rsidR="00112D5B" w:rsidRPr="00C65DA3">
        <w:rPr>
          <w:rFonts w:ascii="Trebuchet MS" w:eastAsiaTheme="minorHAnsi" w:hAnsi="Trebuchet MS" w:cs="AdvPSTim"/>
          <w:sz w:val="20"/>
        </w:rPr>
        <w:t xml:space="preserve"> </w:t>
      </w:r>
      <w:r w:rsidRPr="00C65DA3">
        <w:rPr>
          <w:rFonts w:ascii="Trebuchet MS" w:eastAsiaTheme="minorHAnsi" w:hAnsi="Trebuchet MS" w:cs="AdvPSTim"/>
          <w:sz w:val="20"/>
        </w:rPr>
        <w:t>A determinação das proteínas totais presentes em cada amostra recolhida realizou-se colorimetricamente através do kit Biorad-DC</w:t>
      </w:r>
      <w:r w:rsidRPr="00C65DA3">
        <w:rPr>
          <w:rFonts w:ascii="Trebuchet MS" w:eastAsiaTheme="minorHAnsi" w:hAnsi="Trebuchet MS" w:cs="AdvPSTim"/>
          <w:sz w:val="20"/>
          <w:vertAlign w:val="superscript"/>
        </w:rPr>
        <w:footnoteReference w:id="5"/>
      </w:r>
      <w:r w:rsidRPr="00C65DA3">
        <w:rPr>
          <w:rFonts w:ascii="Trebuchet MS" w:eastAsiaTheme="minorHAnsi" w:hAnsi="Trebuchet MS" w:cs="AdvPSTim"/>
          <w:sz w:val="20"/>
        </w:rPr>
        <w:t>.</w:t>
      </w:r>
    </w:p>
    <w:p w:rsidR="00AD13DC" w:rsidRPr="00751D14" w:rsidRDefault="00AD13DC" w:rsidP="00657290">
      <w:pPr>
        <w:spacing w:after="200" w:line="276" w:lineRule="auto"/>
        <w:ind w:left="644"/>
        <w:contextualSpacing/>
        <w:jc w:val="both"/>
        <w:rPr>
          <w:rFonts w:ascii="Trebuchet MS" w:eastAsiaTheme="minorHAnsi" w:hAnsi="Trebuchet MS" w:cstheme="minorBidi"/>
          <w:b/>
          <w:color w:val="365F91" w:themeColor="accent1" w:themeShade="BF"/>
          <w:sz w:val="20"/>
          <w:szCs w:val="20"/>
        </w:rPr>
      </w:pPr>
    </w:p>
    <w:tbl>
      <w:tblPr>
        <w:tblStyle w:val="Tabelacomgrelha"/>
        <w:tblW w:w="0" w:type="auto"/>
        <w:tblInd w:w="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84"/>
        <w:gridCol w:w="3993"/>
      </w:tblGrid>
      <w:tr w:rsidR="00243C0E" w:rsidRPr="00751D14" w:rsidTr="00243C0E">
        <w:tc>
          <w:tcPr>
            <w:tcW w:w="4322" w:type="dxa"/>
            <w:vAlign w:val="bottom"/>
          </w:tcPr>
          <w:p w:rsidR="00243C0E" w:rsidRPr="00751D14" w:rsidRDefault="00243C0E" w:rsidP="00243C0E">
            <w:pPr>
              <w:spacing w:after="200" w:line="276" w:lineRule="auto"/>
              <w:contextualSpacing/>
              <w:jc w:val="center"/>
              <w:rPr>
                <w:rFonts w:ascii="Trebuchet MS" w:eastAsiaTheme="minorHAnsi" w:hAnsi="Trebuchet MS" w:cstheme="minorBidi"/>
                <w:b/>
                <w:color w:val="365F91" w:themeColor="accent1" w:themeShade="BF"/>
                <w:sz w:val="20"/>
                <w:szCs w:val="20"/>
              </w:rPr>
            </w:pPr>
            <w:r w:rsidRPr="00751D14">
              <w:rPr>
                <w:rFonts w:ascii="Trebuchet MS" w:eastAsiaTheme="minorHAnsi" w:hAnsi="Trebuchet MS" w:cstheme="minorBidi"/>
                <w:b/>
                <w:noProof/>
                <w:color w:val="365F91" w:themeColor="accent1" w:themeShade="BF"/>
                <w:sz w:val="20"/>
                <w:szCs w:val="20"/>
                <w:lang w:eastAsia="pt-PT"/>
              </w:rPr>
              <w:drawing>
                <wp:inline distT="0" distB="0" distL="0" distR="0">
                  <wp:extent cx="2191888" cy="1644601"/>
                  <wp:effectExtent l="19050" t="0" r="0" b="0"/>
                  <wp:docPr id="40" name="Imagem 33" descr="C:\Users\Blandina Esteves\Desktop\Tese Mestrado BQ\Fotos Mestrado BQ\Imagem(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Blandina Esteves\Desktop\Tese Mestrado BQ\Fotos Mestrado BQ\Imagem(212).jpg"/>
                          <pic:cNvPicPr>
                            <a:picLocks noChangeAspect="1" noChangeArrowheads="1"/>
                          </pic:cNvPicPr>
                        </pic:nvPicPr>
                        <pic:blipFill>
                          <a:blip r:embed="rId45" cstate="print"/>
                          <a:srcRect/>
                          <a:stretch>
                            <a:fillRect/>
                          </a:stretch>
                        </pic:blipFill>
                        <pic:spPr bwMode="auto">
                          <a:xfrm>
                            <a:off x="0" y="0"/>
                            <a:ext cx="2192062" cy="1644731"/>
                          </a:xfrm>
                          <a:prstGeom prst="rect">
                            <a:avLst/>
                          </a:prstGeom>
                          <a:noFill/>
                          <a:ln w="9525">
                            <a:noFill/>
                            <a:miter lim="800000"/>
                            <a:headEnd/>
                            <a:tailEnd/>
                          </a:ln>
                        </pic:spPr>
                      </pic:pic>
                    </a:graphicData>
                  </a:graphic>
                </wp:inline>
              </w:drawing>
            </w:r>
          </w:p>
        </w:tc>
        <w:tc>
          <w:tcPr>
            <w:tcW w:w="4322" w:type="dxa"/>
            <w:vAlign w:val="bottom"/>
          </w:tcPr>
          <w:p w:rsidR="00243C0E" w:rsidRPr="00751D14" w:rsidRDefault="00243C0E" w:rsidP="00243C0E">
            <w:pPr>
              <w:spacing w:after="200" w:line="276" w:lineRule="auto"/>
              <w:contextualSpacing/>
              <w:jc w:val="center"/>
              <w:rPr>
                <w:rFonts w:ascii="Trebuchet MS" w:eastAsiaTheme="minorHAnsi" w:hAnsi="Trebuchet MS" w:cstheme="minorBidi"/>
                <w:b/>
                <w:color w:val="365F91" w:themeColor="accent1" w:themeShade="BF"/>
                <w:sz w:val="20"/>
                <w:szCs w:val="20"/>
              </w:rPr>
            </w:pPr>
            <w:r w:rsidRPr="00751D14">
              <w:rPr>
                <w:rFonts w:ascii="Trebuchet MS" w:hAnsi="Trebuchet MS" w:cs="Arial"/>
                <w:noProof/>
                <w:color w:val="0000FF"/>
                <w:sz w:val="27"/>
                <w:szCs w:val="27"/>
                <w:shd w:val="clear" w:color="auto" w:fill="CCCCCC"/>
                <w:lang w:eastAsia="pt-PT"/>
              </w:rPr>
              <w:drawing>
                <wp:inline distT="0" distB="0" distL="0" distR="0">
                  <wp:extent cx="2040255" cy="1426210"/>
                  <wp:effectExtent l="19050" t="0" r="0" b="0"/>
                  <wp:docPr id="41" name="EpU-pq3Wj0IPpM:l" descr="http://t2.gstatic.com/images?q=tbn:ANd9GcT8-X1n5HucaFMwVno6zJV5eAs1CtAf2OtC0-wt0qBKWazinBc&amp;t=1&amp;h=161&amp;w=231&amp;usg=__u5jnmpNF6QuNhQsv3-d6xg2GHHY=">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pU-pq3Wj0IPpM:l" descr="http://t2.gstatic.com/images?q=tbn:ANd9GcT8-X1n5HucaFMwVno6zJV5eAs1CtAf2OtC0-wt0qBKWazinBc&amp;t=1&amp;h=161&amp;w=231&amp;usg=__u5jnmpNF6QuNhQsv3-d6xg2GHHY=">
                            <a:hlinkClick r:id="rId46"/>
                          </pic:cNvPr>
                          <pic:cNvPicPr>
                            <a:picLocks noChangeAspect="1" noChangeArrowheads="1"/>
                          </pic:cNvPicPr>
                        </pic:nvPicPr>
                        <pic:blipFill>
                          <a:blip r:embed="rId47" cstate="print"/>
                          <a:srcRect/>
                          <a:stretch>
                            <a:fillRect/>
                          </a:stretch>
                        </pic:blipFill>
                        <pic:spPr bwMode="auto">
                          <a:xfrm>
                            <a:off x="0" y="0"/>
                            <a:ext cx="2040255" cy="1426210"/>
                          </a:xfrm>
                          <a:prstGeom prst="rect">
                            <a:avLst/>
                          </a:prstGeom>
                          <a:noFill/>
                          <a:ln w="9525">
                            <a:noFill/>
                            <a:miter lim="800000"/>
                            <a:headEnd/>
                            <a:tailEnd/>
                          </a:ln>
                        </pic:spPr>
                      </pic:pic>
                    </a:graphicData>
                  </a:graphic>
                </wp:inline>
              </w:drawing>
            </w:r>
          </w:p>
        </w:tc>
      </w:tr>
    </w:tbl>
    <w:p w:rsidR="00243C0E" w:rsidRPr="00751D14" w:rsidRDefault="00243C0E" w:rsidP="00657290">
      <w:pPr>
        <w:spacing w:after="200" w:line="276" w:lineRule="auto"/>
        <w:ind w:left="644"/>
        <w:contextualSpacing/>
        <w:jc w:val="both"/>
        <w:rPr>
          <w:rFonts w:ascii="Trebuchet MS" w:eastAsiaTheme="minorHAnsi" w:hAnsi="Trebuchet MS" w:cstheme="minorBidi"/>
          <w:b/>
          <w:color w:val="365F91" w:themeColor="accent1" w:themeShade="BF"/>
          <w:sz w:val="20"/>
          <w:szCs w:val="20"/>
        </w:rPr>
      </w:pPr>
    </w:p>
    <w:p w:rsidR="00AD13DC" w:rsidRPr="00140464" w:rsidRDefault="00FA0089" w:rsidP="00677C95">
      <w:pPr>
        <w:spacing w:after="200"/>
        <w:ind w:left="142"/>
        <w:contextualSpacing/>
        <w:jc w:val="center"/>
        <w:rPr>
          <w:rFonts w:ascii="Trebuchet MS" w:eastAsiaTheme="minorHAnsi" w:hAnsi="Trebuchet MS" w:cstheme="minorBidi"/>
          <w:sz w:val="18"/>
          <w:szCs w:val="18"/>
        </w:rPr>
      </w:pPr>
      <w:r w:rsidRPr="00140464">
        <w:rPr>
          <w:rFonts w:ascii="Trebuchet MS" w:eastAsiaTheme="minorHAnsi" w:hAnsi="Trebuchet MS" w:cstheme="minorBidi"/>
          <w:sz w:val="18"/>
          <w:szCs w:val="18"/>
        </w:rPr>
        <w:t xml:space="preserve">Fig. </w:t>
      </w:r>
      <w:r w:rsidR="00B12957" w:rsidRPr="00140464">
        <w:rPr>
          <w:rFonts w:ascii="Trebuchet MS" w:eastAsiaTheme="minorHAnsi" w:hAnsi="Trebuchet MS" w:cstheme="minorBidi"/>
          <w:sz w:val="18"/>
          <w:szCs w:val="18"/>
        </w:rPr>
        <w:t>3.1</w:t>
      </w:r>
      <w:r w:rsidR="00CB53FD" w:rsidRPr="00140464">
        <w:rPr>
          <w:rFonts w:ascii="Trebuchet MS" w:eastAsiaTheme="minorHAnsi" w:hAnsi="Trebuchet MS" w:cstheme="minorBidi"/>
          <w:sz w:val="18"/>
          <w:szCs w:val="18"/>
        </w:rPr>
        <w:t>2</w:t>
      </w:r>
      <w:r w:rsidR="00B12957" w:rsidRPr="00140464">
        <w:rPr>
          <w:rFonts w:ascii="Trebuchet MS" w:eastAsiaTheme="minorHAnsi" w:hAnsi="Trebuchet MS" w:cstheme="minorBidi"/>
          <w:sz w:val="18"/>
          <w:szCs w:val="18"/>
        </w:rPr>
        <w:t>. Fluorímetro</w:t>
      </w:r>
      <w:r w:rsidR="00243C0E" w:rsidRPr="00140464">
        <w:rPr>
          <w:rFonts w:ascii="Trebuchet MS" w:eastAsiaTheme="minorHAnsi" w:hAnsi="Trebuchet MS" w:cstheme="minorBidi"/>
          <w:sz w:val="18"/>
          <w:szCs w:val="18"/>
        </w:rPr>
        <w:t xml:space="preserve"> e placa opaca de 96 poços para fluorescência</w:t>
      </w:r>
      <w:r w:rsidR="002F1021" w:rsidRPr="00140464">
        <w:rPr>
          <w:rFonts w:ascii="Trebuchet MS" w:eastAsiaTheme="minorHAnsi" w:hAnsi="Trebuchet MS" w:cstheme="minorBidi"/>
          <w:sz w:val="18"/>
          <w:szCs w:val="18"/>
        </w:rPr>
        <w:t xml:space="preserve"> (Adaptado de </w:t>
      </w:r>
      <w:hyperlink r:id="rId48" w:history="1">
        <w:r w:rsidR="002F1021" w:rsidRPr="00140464">
          <w:rPr>
            <w:rStyle w:val="Hiperligao"/>
            <w:rFonts w:ascii="Trebuchet MS" w:eastAsiaTheme="minorHAnsi" w:hAnsi="Trebuchet MS" w:cstheme="minorBidi"/>
            <w:sz w:val="18"/>
            <w:szCs w:val="18"/>
          </w:rPr>
          <w:t>http://www.scientiis.com/laboratorium/catalog/</w:t>
        </w:r>
      </w:hyperlink>
      <w:r w:rsidR="002F1021" w:rsidRPr="00140464">
        <w:rPr>
          <w:rFonts w:ascii="Trebuchet MS" w:eastAsiaTheme="minorHAnsi" w:hAnsi="Trebuchet MS" w:cstheme="minorBidi"/>
          <w:sz w:val="18"/>
          <w:szCs w:val="18"/>
        </w:rPr>
        <w:t xml:space="preserve"> - consultado em 20-09-2010).</w:t>
      </w:r>
    </w:p>
    <w:p w:rsidR="00AD13DC" w:rsidRPr="00751D14" w:rsidRDefault="00AD13DC" w:rsidP="00657290">
      <w:pPr>
        <w:spacing w:after="200" w:line="276" w:lineRule="auto"/>
        <w:ind w:left="644"/>
        <w:contextualSpacing/>
        <w:jc w:val="both"/>
        <w:rPr>
          <w:rFonts w:ascii="Trebuchet MS" w:eastAsiaTheme="minorHAnsi" w:hAnsi="Trebuchet MS" w:cstheme="minorBidi"/>
          <w:b/>
          <w:color w:val="365F91" w:themeColor="accent1" w:themeShade="BF"/>
          <w:sz w:val="20"/>
          <w:szCs w:val="20"/>
        </w:rPr>
      </w:pPr>
    </w:p>
    <w:p w:rsidR="00F67281" w:rsidRPr="00751D14" w:rsidRDefault="00F67281" w:rsidP="00F67281">
      <w:pPr>
        <w:autoSpaceDE w:val="0"/>
        <w:autoSpaceDN w:val="0"/>
        <w:adjustRightInd w:val="0"/>
        <w:jc w:val="both"/>
        <w:rPr>
          <w:rFonts w:ascii="Trebuchet MS" w:eastAsiaTheme="minorHAnsi" w:hAnsi="Trebuchet MS" w:cs="AdvPSTim"/>
          <w:sz w:val="20"/>
          <w:szCs w:val="20"/>
        </w:rPr>
      </w:pPr>
    </w:p>
    <w:p w:rsidR="00066EF6" w:rsidRPr="00751D14" w:rsidRDefault="00F67281" w:rsidP="00396595">
      <w:pPr>
        <w:spacing w:line="360" w:lineRule="auto"/>
        <w:rPr>
          <w:rFonts w:ascii="Trebuchet MS" w:eastAsiaTheme="minorHAnsi" w:hAnsi="Trebuchet MS" w:cstheme="minorBidi"/>
          <w:szCs w:val="20"/>
        </w:rPr>
      </w:pPr>
      <w:r w:rsidRPr="00751D14">
        <w:rPr>
          <w:rFonts w:ascii="Trebuchet MS" w:hAnsi="Trebuchet MS"/>
          <w:b/>
          <w:shadow/>
          <w:color w:val="333399"/>
        </w:rPr>
        <w:t xml:space="preserve">        </w:t>
      </w:r>
      <w:r w:rsidR="00CD58DA">
        <w:rPr>
          <w:rFonts w:ascii="Trebuchet MS" w:eastAsiaTheme="minorHAnsi" w:hAnsi="Trebuchet MS" w:cstheme="minorBidi"/>
          <w:sz w:val="20"/>
          <w:szCs w:val="20"/>
        </w:rPr>
        <w:t>A curva de calibração obtida para a d</w:t>
      </w:r>
      <w:r w:rsidR="00066EF6" w:rsidRPr="00066EF6">
        <w:rPr>
          <w:rFonts w:ascii="Trebuchet MS" w:eastAsiaTheme="minorHAnsi" w:hAnsi="Trebuchet MS" w:cstheme="minorBidi"/>
          <w:sz w:val="20"/>
          <w:szCs w:val="20"/>
        </w:rPr>
        <w:t>eterminação de proteínas totais realizada pelo kit Bio</w:t>
      </w:r>
      <w:r w:rsidR="00CD58DA">
        <w:rPr>
          <w:rFonts w:ascii="Trebuchet MS" w:eastAsiaTheme="minorHAnsi" w:hAnsi="Trebuchet MS" w:cstheme="minorBidi"/>
          <w:sz w:val="20"/>
          <w:szCs w:val="20"/>
        </w:rPr>
        <w:t>Rad DC, rea</w:t>
      </w:r>
      <w:r w:rsidR="00066EF6" w:rsidRPr="00066EF6">
        <w:rPr>
          <w:rFonts w:ascii="Trebuchet MS" w:eastAsiaTheme="minorHAnsi" w:hAnsi="Trebuchet MS" w:cstheme="minorBidi"/>
          <w:sz w:val="20"/>
          <w:szCs w:val="20"/>
        </w:rPr>
        <w:t>lizada com diferentes concentrações de BSA</w:t>
      </w:r>
      <w:r w:rsidR="00CD58DA">
        <w:rPr>
          <w:rFonts w:ascii="Trebuchet MS" w:eastAsiaTheme="minorHAnsi" w:hAnsi="Trebuchet MS" w:cstheme="minorBidi"/>
          <w:sz w:val="20"/>
          <w:szCs w:val="20"/>
        </w:rPr>
        <w:t>, encontra-se na figura 3.13.</w:t>
      </w:r>
    </w:p>
    <w:p w:rsidR="00066EF6" w:rsidRPr="00751D14" w:rsidRDefault="00066EF6" w:rsidP="00066EF6">
      <w:pPr>
        <w:spacing w:line="360" w:lineRule="auto"/>
        <w:jc w:val="center"/>
        <w:rPr>
          <w:rFonts w:ascii="Trebuchet MS" w:eastAsiaTheme="minorHAnsi" w:hAnsi="Trebuchet MS" w:cstheme="minorBidi"/>
          <w:szCs w:val="20"/>
        </w:rPr>
      </w:pPr>
      <w:r w:rsidRPr="00751D14">
        <w:rPr>
          <w:rFonts w:ascii="Trebuchet MS" w:eastAsiaTheme="minorHAnsi" w:hAnsi="Trebuchet MS" w:cstheme="minorBidi"/>
          <w:noProof/>
          <w:szCs w:val="20"/>
          <w:lang w:eastAsia="pt-PT"/>
        </w:rPr>
        <w:lastRenderedPageBreak/>
        <w:drawing>
          <wp:inline distT="0" distB="0" distL="0" distR="0">
            <wp:extent cx="3790950" cy="2444750"/>
            <wp:effectExtent l="0" t="0" r="0" b="0"/>
            <wp:docPr id="4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066EF6" w:rsidRDefault="00CD58DA" w:rsidP="001F4CD1">
      <w:pPr>
        <w:spacing w:after="200"/>
        <w:ind w:left="851" w:right="1134"/>
        <w:jc w:val="center"/>
        <w:rPr>
          <w:rFonts w:ascii="Trebuchet MS" w:eastAsiaTheme="minorHAnsi" w:hAnsi="Trebuchet MS" w:cstheme="minorBidi"/>
          <w:sz w:val="18"/>
          <w:szCs w:val="20"/>
        </w:rPr>
      </w:pPr>
      <w:r>
        <w:rPr>
          <w:rFonts w:ascii="Trebuchet MS" w:eastAsiaTheme="minorHAnsi" w:hAnsi="Trebuchet MS" w:cstheme="minorBidi"/>
          <w:sz w:val="18"/>
          <w:szCs w:val="20"/>
        </w:rPr>
        <w:t>Fig.</w:t>
      </w:r>
      <w:r w:rsidR="00066EF6" w:rsidRPr="00066EF6">
        <w:rPr>
          <w:rFonts w:ascii="Trebuchet MS" w:eastAsiaTheme="minorHAnsi" w:hAnsi="Trebuchet MS" w:cstheme="minorBidi"/>
          <w:sz w:val="18"/>
          <w:szCs w:val="20"/>
        </w:rPr>
        <w:t xml:space="preserve"> </w:t>
      </w:r>
      <w:r w:rsidR="00066EF6">
        <w:rPr>
          <w:rFonts w:ascii="Trebuchet MS" w:eastAsiaTheme="minorHAnsi" w:hAnsi="Trebuchet MS" w:cstheme="minorBidi"/>
          <w:sz w:val="18"/>
          <w:szCs w:val="20"/>
        </w:rPr>
        <w:t>3</w:t>
      </w:r>
      <w:r w:rsidR="00066EF6" w:rsidRPr="00066EF6">
        <w:rPr>
          <w:rFonts w:ascii="Trebuchet MS" w:eastAsiaTheme="minorHAnsi" w:hAnsi="Trebuchet MS" w:cstheme="minorBidi"/>
          <w:sz w:val="18"/>
          <w:szCs w:val="20"/>
        </w:rPr>
        <w:t>.</w:t>
      </w:r>
      <w:r w:rsidR="00066EF6">
        <w:rPr>
          <w:rFonts w:ascii="Trebuchet MS" w:eastAsiaTheme="minorHAnsi" w:hAnsi="Trebuchet MS" w:cstheme="minorBidi"/>
          <w:sz w:val="18"/>
          <w:szCs w:val="20"/>
        </w:rPr>
        <w:t>1</w:t>
      </w:r>
      <w:r>
        <w:rPr>
          <w:rFonts w:ascii="Trebuchet MS" w:eastAsiaTheme="minorHAnsi" w:hAnsi="Trebuchet MS" w:cstheme="minorBidi"/>
          <w:sz w:val="18"/>
          <w:szCs w:val="20"/>
        </w:rPr>
        <w:t>3</w:t>
      </w:r>
      <w:r w:rsidR="00066EF6" w:rsidRPr="00066EF6">
        <w:rPr>
          <w:rFonts w:ascii="Trebuchet MS" w:eastAsiaTheme="minorHAnsi" w:hAnsi="Trebuchet MS" w:cstheme="minorBidi"/>
          <w:sz w:val="18"/>
          <w:szCs w:val="20"/>
        </w:rPr>
        <w:t>. Gráfico representativo da determinação de proteínas totais de amo</w:t>
      </w:r>
      <w:r w:rsidR="00066EF6" w:rsidRPr="00066EF6">
        <w:rPr>
          <w:rFonts w:ascii="Trebuchet MS" w:eastAsiaTheme="minorHAnsi" w:hAnsi="Trebuchet MS" w:cstheme="minorBidi"/>
          <w:sz w:val="18"/>
          <w:szCs w:val="20"/>
        </w:rPr>
        <w:t>s</w:t>
      </w:r>
      <w:r w:rsidR="00066EF6" w:rsidRPr="00066EF6">
        <w:rPr>
          <w:rFonts w:ascii="Trebuchet MS" w:eastAsiaTheme="minorHAnsi" w:hAnsi="Trebuchet MS" w:cstheme="minorBidi"/>
          <w:sz w:val="18"/>
          <w:szCs w:val="20"/>
        </w:rPr>
        <w:t>tras de fatias de cérebro, através do Kit BioRad DC.</w:t>
      </w:r>
    </w:p>
    <w:p w:rsidR="003B1BE0" w:rsidRPr="00066EF6" w:rsidRDefault="003B1BE0" w:rsidP="00396595">
      <w:pPr>
        <w:spacing w:line="360" w:lineRule="auto"/>
        <w:ind w:firstLine="720"/>
        <w:jc w:val="both"/>
        <w:rPr>
          <w:rFonts w:ascii="Trebuchet MS" w:eastAsiaTheme="minorHAnsi" w:hAnsi="Trebuchet MS" w:cstheme="minorBidi"/>
          <w:sz w:val="20"/>
          <w:szCs w:val="20"/>
        </w:rPr>
      </w:pPr>
    </w:p>
    <w:p w:rsidR="00F67281" w:rsidRPr="00751D14" w:rsidRDefault="00F67281" w:rsidP="00F67281">
      <w:pPr>
        <w:spacing w:line="480" w:lineRule="auto"/>
        <w:rPr>
          <w:rFonts w:ascii="Trebuchet MS" w:hAnsi="Trebuchet MS"/>
          <w:b/>
          <w:shadow/>
          <w:color w:val="333399"/>
        </w:rPr>
      </w:pPr>
      <w:r w:rsidRPr="00751D14">
        <w:rPr>
          <w:rFonts w:ascii="Trebuchet MS" w:hAnsi="Trebuchet MS"/>
          <w:b/>
          <w:shadow/>
          <w:color w:val="333399"/>
        </w:rPr>
        <w:t xml:space="preserve">   3.3.5.3. Actividade da LDH libertada (Morte neuronal por necrose)</w:t>
      </w:r>
    </w:p>
    <w:p w:rsidR="00F67281" w:rsidRPr="009E323D" w:rsidRDefault="00F67281" w:rsidP="00F67281">
      <w:pPr>
        <w:autoSpaceDE w:val="0"/>
        <w:autoSpaceDN w:val="0"/>
        <w:adjustRightInd w:val="0"/>
        <w:spacing w:line="360" w:lineRule="auto"/>
        <w:ind w:firstLine="708"/>
        <w:jc w:val="both"/>
        <w:rPr>
          <w:rFonts w:ascii="Trebuchet MS" w:eastAsiaTheme="minorHAnsi" w:hAnsi="Trebuchet MS" w:cs="AdvP41153C"/>
          <w:color w:val="000000"/>
          <w:sz w:val="20"/>
          <w:szCs w:val="20"/>
        </w:rPr>
      </w:pPr>
      <w:r w:rsidRPr="00C65DA3">
        <w:rPr>
          <w:rFonts w:ascii="Trebuchet MS" w:eastAsiaTheme="minorHAnsi" w:hAnsi="Trebuchet MS" w:cstheme="minorBidi"/>
          <w:bCs/>
          <w:color w:val="000000"/>
          <w:sz w:val="20"/>
        </w:rPr>
        <w:t xml:space="preserve">A isquémia induz uma pequena, mas progressiva, libertação da enzima </w:t>
      </w:r>
      <w:r w:rsidRPr="00C65DA3">
        <w:rPr>
          <w:rFonts w:ascii="Trebuchet MS" w:eastAsiaTheme="minorHAnsi" w:hAnsi="Trebuchet MS" w:cstheme="minorBidi"/>
          <w:b/>
          <w:bCs/>
          <w:color w:val="000000"/>
          <w:sz w:val="20"/>
        </w:rPr>
        <w:t xml:space="preserve">desidrogenase </w:t>
      </w:r>
      <w:r w:rsidR="00255953">
        <w:rPr>
          <w:rFonts w:ascii="Trebuchet MS" w:eastAsiaTheme="minorHAnsi" w:hAnsi="Trebuchet MS" w:cstheme="minorBidi"/>
          <w:b/>
          <w:bCs/>
          <w:color w:val="000000"/>
          <w:sz w:val="20"/>
        </w:rPr>
        <w:t xml:space="preserve">do </w:t>
      </w:r>
      <w:r w:rsidR="00255953" w:rsidRPr="00C65DA3">
        <w:rPr>
          <w:rFonts w:ascii="Trebuchet MS" w:eastAsiaTheme="minorHAnsi" w:hAnsi="Trebuchet MS" w:cstheme="minorBidi"/>
          <w:b/>
          <w:bCs/>
          <w:color w:val="000000"/>
          <w:sz w:val="20"/>
        </w:rPr>
        <w:t xml:space="preserve">lactato </w:t>
      </w:r>
      <w:r w:rsidRPr="00C65DA3">
        <w:rPr>
          <w:rFonts w:ascii="Trebuchet MS" w:eastAsiaTheme="minorHAnsi" w:hAnsi="Trebuchet MS" w:cstheme="minorBidi"/>
          <w:b/>
          <w:bCs/>
          <w:color w:val="000000"/>
          <w:sz w:val="20"/>
        </w:rPr>
        <w:t xml:space="preserve">(LDH) </w:t>
      </w:r>
      <w:r w:rsidRPr="00C65DA3">
        <w:rPr>
          <w:rFonts w:ascii="Trebuchet MS" w:eastAsiaTheme="minorHAnsi" w:hAnsi="Trebuchet MS" w:cstheme="minorBidi"/>
          <w:bCs/>
          <w:color w:val="000000"/>
          <w:sz w:val="20"/>
        </w:rPr>
        <w:t xml:space="preserve">do tecido lesado para o meio externo durante a fase de reperfusão </w:t>
      </w:r>
      <w:r w:rsidRPr="00C65DA3">
        <w:rPr>
          <w:rFonts w:ascii="Trebuchet MS" w:hAnsi="Trebuchet MS"/>
          <w:color w:val="000000"/>
          <w:sz w:val="20"/>
        </w:rPr>
        <w:t>(Pede</w:t>
      </w:r>
      <w:r w:rsidRPr="00C65DA3">
        <w:rPr>
          <w:rFonts w:ascii="Trebuchet MS" w:hAnsi="Trebuchet MS"/>
          <w:color w:val="000000"/>
          <w:sz w:val="20"/>
        </w:rPr>
        <w:t>r</w:t>
      </w:r>
      <w:r w:rsidRPr="00C65DA3">
        <w:rPr>
          <w:rFonts w:ascii="Trebuchet MS" w:hAnsi="Trebuchet MS"/>
          <w:color w:val="000000"/>
          <w:sz w:val="20"/>
        </w:rPr>
        <w:t xml:space="preserve">sen </w:t>
      </w:r>
      <w:r w:rsidR="00F96813" w:rsidRPr="00C65DA3">
        <w:rPr>
          <w:rFonts w:ascii="Trebuchet MS" w:hAnsi="Trebuchet MS"/>
          <w:i/>
          <w:color w:val="000000"/>
          <w:sz w:val="20"/>
        </w:rPr>
        <w:t>et al.</w:t>
      </w:r>
      <w:r w:rsidRPr="00C65DA3">
        <w:rPr>
          <w:rFonts w:ascii="Trebuchet MS" w:hAnsi="Trebuchet MS"/>
          <w:color w:val="000000"/>
          <w:sz w:val="20"/>
        </w:rPr>
        <w:t>, 1998)</w:t>
      </w:r>
      <w:r w:rsidRPr="00C65DA3">
        <w:rPr>
          <w:rFonts w:ascii="Trebuchet MS" w:hAnsi="Trebuchet MS"/>
          <w:bCs/>
          <w:color w:val="000000"/>
          <w:sz w:val="20"/>
        </w:rPr>
        <w:t>.</w:t>
      </w:r>
      <w:r w:rsidRPr="00C65DA3">
        <w:rPr>
          <w:rFonts w:ascii="Trebuchet MS" w:eastAsiaTheme="minorHAnsi" w:hAnsi="Trebuchet MS" w:cstheme="minorBidi"/>
          <w:bCs/>
          <w:color w:val="000000"/>
          <w:sz w:val="20"/>
        </w:rPr>
        <w:t xml:space="preserve"> </w:t>
      </w:r>
      <w:r w:rsidRPr="00C65DA3">
        <w:rPr>
          <w:rFonts w:ascii="Trebuchet MS" w:eastAsiaTheme="minorHAnsi" w:hAnsi="Trebuchet MS" w:cs="AdvP41153C"/>
          <w:color w:val="000000"/>
          <w:sz w:val="20"/>
        </w:rPr>
        <w:t xml:space="preserve">A LDH, enzima citoplasmática, é frequentemente utilizada como marcador bioquímico, de necrose tecidual </w:t>
      </w:r>
      <w:r w:rsidRPr="00C65DA3">
        <w:rPr>
          <w:rFonts w:ascii="Trebuchet MS" w:hAnsi="Trebuchet MS"/>
          <w:color w:val="000000"/>
          <w:sz w:val="20"/>
        </w:rPr>
        <w:t xml:space="preserve">(Pedersen </w:t>
      </w:r>
      <w:r w:rsidR="00F96813" w:rsidRPr="00C65DA3">
        <w:rPr>
          <w:rFonts w:ascii="Trebuchet MS" w:hAnsi="Trebuchet MS"/>
          <w:i/>
          <w:color w:val="000000"/>
          <w:sz w:val="20"/>
        </w:rPr>
        <w:t>et al.</w:t>
      </w:r>
      <w:r w:rsidRPr="00C65DA3">
        <w:rPr>
          <w:rFonts w:ascii="Trebuchet MS" w:hAnsi="Trebuchet MS"/>
          <w:color w:val="000000"/>
          <w:sz w:val="20"/>
        </w:rPr>
        <w:t>, 1998),</w:t>
      </w:r>
      <w:r w:rsidRPr="00C65DA3">
        <w:rPr>
          <w:rFonts w:ascii="Trebuchet MS" w:eastAsiaTheme="minorHAnsi" w:hAnsi="Trebuchet MS" w:cs="AdvP41153C"/>
          <w:color w:val="000000"/>
          <w:sz w:val="20"/>
        </w:rPr>
        <w:t xml:space="preserve"> em estudos isquémicos (</w:t>
      </w:r>
      <w:r w:rsidRPr="00C65DA3">
        <w:rPr>
          <w:rFonts w:ascii="Trebuchet MS" w:eastAsiaTheme="minorHAnsi" w:hAnsi="Trebuchet MS" w:cstheme="minorBidi"/>
          <w:color w:val="000000"/>
          <w:sz w:val="20"/>
        </w:rPr>
        <w:t xml:space="preserve">Büyükuysal, </w:t>
      </w:r>
      <w:r w:rsidRPr="009E323D">
        <w:rPr>
          <w:rFonts w:ascii="Trebuchet MS" w:eastAsiaTheme="minorHAnsi" w:hAnsi="Trebuchet MS" w:cstheme="minorBidi"/>
          <w:color w:val="000000"/>
          <w:sz w:val="20"/>
          <w:szCs w:val="20"/>
        </w:rPr>
        <w:t>2005)</w:t>
      </w:r>
      <w:r w:rsidRPr="009E323D">
        <w:rPr>
          <w:rFonts w:ascii="Trebuchet MS" w:eastAsiaTheme="minorHAnsi" w:hAnsi="Trebuchet MS" w:cs="AdvP41153C"/>
          <w:color w:val="000000"/>
          <w:sz w:val="20"/>
          <w:szCs w:val="20"/>
        </w:rPr>
        <w:t xml:space="preserve">.  </w:t>
      </w:r>
    </w:p>
    <w:p w:rsidR="00F67281" w:rsidRDefault="00F67281" w:rsidP="00F67281">
      <w:pPr>
        <w:spacing w:line="360" w:lineRule="auto"/>
        <w:ind w:firstLine="708"/>
        <w:jc w:val="both"/>
        <w:rPr>
          <w:rFonts w:ascii="Trebuchet MS" w:eastAsiaTheme="minorHAnsi" w:hAnsi="Trebuchet MS" w:cstheme="minorBidi"/>
          <w:color w:val="000000"/>
          <w:sz w:val="20"/>
          <w:szCs w:val="20"/>
        </w:rPr>
      </w:pPr>
      <w:r w:rsidRPr="009E323D">
        <w:rPr>
          <w:rFonts w:ascii="Trebuchet MS" w:eastAsiaTheme="minorHAnsi" w:hAnsi="Trebuchet MS" w:cstheme="minorBidi"/>
          <w:bCs/>
          <w:color w:val="000000"/>
          <w:sz w:val="20"/>
          <w:szCs w:val="20"/>
        </w:rPr>
        <w:t xml:space="preserve">A </w:t>
      </w:r>
      <w:r w:rsidRPr="009E323D">
        <w:rPr>
          <w:rFonts w:ascii="Trebuchet MS" w:eastAsiaTheme="minorHAnsi" w:hAnsi="Trebuchet MS" w:cstheme="minorBidi"/>
          <w:bCs/>
          <w:color w:val="000000"/>
          <w:sz w:val="20"/>
          <w:szCs w:val="20"/>
          <w:u w:val="single"/>
        </w:rPr>
        <w:t>actividade da enzima citosólica</w:t>
      </w:r>
      <w:r w:rsidRPr="009E323D">
        <w:rPr>
          <w:rFonts w:ascii="Trebuchet MS" w:eastAsiaTheme="minorHAnsi" w:hAnsi="Trebuchet MS" w:cstheme="minorBidi"/>
          <w:bCs/>
          <w:color w:val="000000"/>
          <w:sz w:val="20"/>
          <w:szCs w:val="20"/>
        </w:rPr>
        <w:t xml:space="preserve"> (LDH) </w:t>
      </w:r>
      <w:r w:rsidR="00943BC5">
        <w:rPr>
          <w:rFonts w:ascii="Trebuchet MS" w:eastAsiaTheme="minorHAnsi" w:hAnsi="Trebuchet MS" w:cstheme="minorBidi"/>
          <w:bCs/>
          <w:color w:val="000000"/>
          <w:sz w:val="20"/>
          <w:szCs w:val="20"/>
        </w:rPr>
        <w:t>foi</w:t>
      </w:r>
      <w:r w:rsidRPr="009E323D">
        <w:rPr>
          <w:rFonts w:ascii="Trebuchet MS" w:eastAsiaTheme="minorHAnsi" w:hAnsi="Trebuchet MS" w:cstheme="minorBidi"/>
          <w:bCs/>
          <w:color w:val="000000"/>
          <w:sz w:val="20"/>
          <w:szCs w:val="20"/>
        </w:rPr>
        <w:t xml:space="preserve"> determinada </w:t>
      </w:r>
      <w:r w:rsidR="00943BC5">
        <w:rPr>
          <w:rFonts w:ascii="Trebuchet MS" w:eastAsiaTheme="minorHAnsi" w:hAnsi="Trebuchet MS" w:cstheme="minorBidi"/>
          <w:bCs/>
          <w:color w:val="000000"/>
          <w:sz w:val="20"/>
          <w:szCs w:val="20"/>
        </w:rPr>
        <w:t xml:space="preserve">no meio de </w:t>
      </w:r>
      <w:r w:rsidRPr="009E323D">
        <w:rPr>
          <w:rFonts w:ascii="Trebuchet MS" w:eastAsiaTheme="minorHAnsi" w:hAnsi="Trebuchet MS" w:cstheme="minorBidi"/>
          <w:bCs/>
          <w:color w:val="000000"/>
          <w:sz w:val="20"/>
          <w:szCs w:val="20"/>
        </w:rPr>
        <w:t>reperfusão</w:t>
      </w:r>
      <w:r w:rsidR="00943BC5">
        <w:rPr>
          <w:rFonts w:ascii="Trebuchet MS" w:eastAsiaTheme="minorHAnsi" w:hAnsi="Trebuchet MS" w:cstheme="minorBidi"/>
          <w:bCs/>
          <w:color w:val="000000"/>
          <w:sz w:val="20"/>
          <w:szCs w:val="20"/>
        </w:rPr>
        <w:t>, 2horas e 30 minutos após a isquémia e serviu</w:t>
      </w:r>
      <w:r w:rsidRPr="009E323D">
        <w:rPr>
          <w:rFonts w:ascii="Trebuchet MS" w:eastAsiaTheme="minorHAnsi" w:hAnsi="Trebuchet MS" w:cstheme="minorBidi"/>
          <w:bCs/>
          <w:color w:val="000000"/>
          <w:sz w:val="20"/>
          <w:szCs w:val="20"/>
        </w:rPr>
        <w:t xml:space="preserve"> para avaliar a necrose celular </w:t>
      </w:r>
      <w:r w:rsidRPr="009E323D">
        <w:rPr>
          <w:rFonts w:ascii="Trebuchet MS" w:eastAsiaTheme="minorHAnsi" w:hAnsi="Trebuchet MS" w:cstheme="minorBidi"/>
          <w:color w:val="000000"/>
          <w:sz w:val="20"/>
          <w:szCs w:val="20"/>
        </w:rPr>
        <w:t xml:space="preserve">(Pedersen </w:t>
      </w:r>
      <w:r w:rsidR="00F96813" w:rsidRPr="009E323D">
        <w:rPr>
          <w:rFonts w:ascii="Trebuchet MS" w:eastAsiaTheme="minorHAnsi" w:hAnsi="Trebuchet MS" w:cstheme="minorBidi"/>
          <w:i/>
          <w:color w:val="000000"/>
          <w:sz w:val="20"/>
          <w:szCs w:val="20"/>
        </w:rPr>
        <w:t>et al.</w:t>
      </w:r>
      <w:r w:rsidRPr="009E323D">
        <w:rPr>
          <w:rFonts w:ascii="Trebuchet MS" w:eastAsiaTheme="minorHAnsi" w:hAnsi="Trebuchet MS" w:cstheme="minorBidi"/>
          <w:color w:val="000000"/>
          <w:sz w:val="20"/>
          <w:szCs w:val="20"/>
        </w:rPr>
        <w:t>, 1998</w:t>
      </w:r>
      <w:r w:rsidR="00D73D21">
        <w:rPr>
          <w:rFonts w:ascii="Trebuchet MS" w:eastAsiaTheme="minorHAnsi" w:hAnsi="Trebuchet MS" w:cstheme="minorBidi"/>
          <w:color w:val="000000"/>
          <w:sz w:val="20"/>
          <w:szCs w:val="20"/>
        </w:rPr>
        <w:t xml:space="preserve">; Moroni </w:t>
      </w:r>
      <w:r w:rsidR="00D73D21" w:rsidRPr="00D73D21">
        <w:rPr>
          <w:rFonts w:ascii="Trebuchet MS" w:eastAsiaTheme="minorHAnsi" w:hAnsi="Trebuchet MS" w:cstheme="minorBidi"/>
          <w:i/>
          <w:color w:val="000000"/>
          <w:sz w:val="20"/>
          <w:szCs w:val="20"/>
        </w:rPr>
        <w:t>et al.</w:t>
      </w:r>
      <w:r w:rsidR="00D73D21">
        <w:rPr>
          <w:rFonts w:ascii="Trebuchet MS" w:eastAsiaTheme="minorHAnsi" w:hAnsi="Trebuchet MS" w:cstheme="minorBidi"/>
          <w:color w:val="000000"/>
          <w:sz w:val="20"/>
          <w:szCs w:val="20"/>
        </w:rPr>
        <w:t>, 2001</w:t>
      </w:r>
      <w:r w:rsidRPr="009E323D">
        <w:rPr>
          <w:rFonts w:ascii="Trebuchet MS" w:eastAsiaTheme="minorHAnsi" w:hAnsi="Trebuchet MS" w:cstheme="minorBidi"/>
          <w:color w:val="000000"/>
          <w:sz w:val="20"/>
          <w:szCs w:val="20"/>
        </w:rPr>
        <w:t xml:space="preserve">), isto é, serve para avaliar e quantificar extensão </w:t>
      </w:r>
      <w:r w:rsidR="00943BC5">
        <w:rPr>
          <w:rFonts w:ascii="Trebuchet MS" w:eastAsiaTheme="minorHAnsi" w:hAnsi="Trebuchet MS" w:cstheme="minorBidi"/>
          <w:color w:val="000000"/>
          <w:sz w:val="20"/>
          <w:szCs w:val="20"/>
        </w:rPr>
        <w:t>das células lisadas</w:t>
      </w:r>
      <w:r w:rsidRPr="009E323D">
        <w:rPr>
          <w:rFonts w:ascii="Trebuchet MS" w:eastAsiaTheme="minorHAnsi" w:hAnsi="Trebuchet MS" w:cstheme="minorBidi"/>
          <w:color w:val="000000"/>
          <w:sz w:val="20"/>
          <w:szCs w:val="20"/>
        </w:rPr>
        <w:t xml:space="preserve"> (Büyükuysal, 2005; Chong </w:t>
      </w:r>
      <w:r w:rsidR="00F96813" w:rsidRPr="009E323D">
        <w:rPr>
          <w:rFonts w:ascii="Trebuchet MS" w:eastAsiaTheme="minorHAnsi" w:hAnsi="Trebuchet MS" w:cstheme="minorBidi"/>
          <w:i/>
          <w:color w:val="000000"/>
          <w:sz w:val="20"/>
          <w:szCs w:val="20"/>
        </w:rPr>
        <w:t>et al.</w:t>
      </w:r>
      <w:r w:rsidRPr="009E323D">
        <w:rPr>
          <w:rFonts w:ascii="Trebuchet MS" w:eastAsiaTheme="minorHAnsi" w:hAnsi="Trebuchet MS" w:cstheme="minorBidi"/>
          <w:color w:val="000000"/>
          <w:sz w:val="20"/>
          <w:szCs w:val="20"/>
        </w:rPr>
        <w:t>, 2006).</w:t>
      </w:r>
    </w:p>
    <w:p w:rsidR="00F67281" w:rsidRPr="009E323D" w:rsidRDefault="00F67281" w:rsidP="00F67281">
      <w:pPr>
        <w:autoSpaceDE w:val="0"/>
        <w:autoSpaceDN w:val="0"/>
        <w:adjustRightInd w:val="0"/>
        <w:spacing w:line="360" w:lineRule="auto"/>
        <w:rPr>
          <w:rFonts w:ascii="Trebuchet MS" w:eastAsiaTheme="minorHAnsi" w:hAnsi="Trebuchet MS" w:cs="WarnockPro-Regular"/>
          <w:sz w:val="20"/>
          <w:szCs w:val="20"/>
        </w:rPr>
      </w:pPr>
    </w:p>
    <w:p w:rsidR="00F67281" w:rsidRPr="009E323D" w:rsidRDefault="00F67281" w:rsidP="00F67281">
      <w:pPr>
        <w:autoSpaceDE w:val="0"/>
        <w:autoSpaceDN w:val="0"/>
        <w:adjustRightInd w:val="0"/>
        <w:spacing w:line="360" w:lineRule="auto"/>
        <w:jc w:val="both"/>
        <w:rPr>
          <w:rFonts w:ascii="Trebuchet MS" w:eastAsiaTheme="minorHAnsi" w:hAnsi="Trebuchet MS" w:cs="TimesNewRomanPS-BoldMT"/>
          <w:bCs/>
          <w:sz w:val="20"/>
          <w:szCs w:val="20"/>
        </w:rPr>
      </w:pPr>
      <w:r w:rsidRPr="009E323D">
        <w:rPr>
          <w:rFonts w:ascii="Trebuchet MS" w:eastAsiaTheme="minorHAnsi" w:hAnsi="Trebuchet MS" w:cs="TimesNewRomanPS-BoldMT"/>
          <w:b/>
          <w:bCs/>
          <w:sz w:val="20"/>
          <w:szCs w:val="20"/>
          <w:u w:val="single"/>
        </w:rPr>
        <w:t>Procedimento</w:t>
      </w:r>
      <w:r w:rsidRPr="009E323D">
        <w:rPr>
          <w:rFonts w:ascii="Trebuchet MS" w:eastAsiaTheme="minorHAnsi" w:hAnsi="Trebuchet MS" w:cs="TimesNewRomanPS-BoldMT"/>
          <w:b/>
          <w:bCs/>
          <w:sz w:val="20"/>
          <w:szCs w:val="20"/>
        </w:rPr>
        <w:t xml:space="preserve">: </w:t>
      </w:r>
      <w:r w:rsidRPr="009E323D">
        <w:rPr>
          <w:rFonts w:ascii="Trebuchet MS" w:eastAsiaTheme="minorHAnsi" w:hAnsi="Trebuchet MS" w:cs="TimesNewRomanPS-BoldMT"/>
          <w:bCs/>
          <w:sz w:val="20"/>
          <w:szCs w:val="20"/>
        </w:rPr>
        <w:t>As fatias de hipocampo submetidas aos diferentes tipos de pré-condicionamento (isquémico e químico) e posterior reperfusão</w:t>
      </w:r>
      <w:proofErr w:type="gramStart"/>
      <w:r w:rsidRPr="009E323D">
        <w:rPr>
          <w:rFonts w:ascii="Trebuchet MS" w:eastAsiaTheme="minorHAnsi" w:hAnsi="Trebuchet MS" w:cs="TimesNewRomanPS-BoldMT"/>
          <w:bCs/>
          <w:sz w:val="20"/>
          <w:szCs w:val="20"/>
        </w:rPr>
        <w:t>,</w:t>
      </w:r>
      <w:proofErr w:type="gramEnd"/>
      <w:r w:rsidRPr="009E323D">
        <w:rPr>
          <w:rFonts w:ascii="Trebuchet MS" w:eastAsiaTheme="minorHAnsi" w:hAnsi="Trebuchet MS" w:cs="TimesNewRomanPS-BoldMT"/>
          <w:bCs/>
          <w:sz w:val="20"/>
          <w:szCs w:val="20"/>
        </w:rPr>
        <w:t xml:space="preserve"> foram sujeitas a POG</w:t>
      </w:r>
      <w:r w:rsidR="004C0B1D">
        <w:rPr>
          <w:rFonts w:ascii="Trebuchet MS" w:eastAsiaTheme="minorHAnsi" w:hAnsi="Trebuchet MS" w:cs="TimesNewRomanPS-BoldMT"/>
          <w:bCs/>
          <w:sz w:val="20"/>
          <w:szCs w:val="20"/>
        </w:rPr>
        <w:t xml:space="preserve"> de 20 minutos </w:t>
      </w:r>
      <w:r w:rsidRPr="009E323D">
        <w:rPr>
          <w:rFonts w:ascii="Trebuchet MS" w:eastAsiaTheme="minorHAnsi" w:hAnsi="Trebuchet MS" w:cs="TimesNewRomanPS-BoldMT"/>
          <w:bCs/>
          <w:sz w:val="20"/>
          <w:szCs w:val="20"/>
        </w:rPr>
        <w:t xml:space="preserve">(insulto isquémico). A avaliação da morte neuronal, provocada por POG, </w:t>
      </w:r>
      <w:r w:rsidR="007121F8">
        <w:rPr>
          <w:rFonts w:ascii="Trebuchet MS" w:eastAsiaTheme="minorHAnsi" w:hAnsi="Trebuchet MS" w:cs="TimesNewRomanPS-BoldMT"/>
          <w:bCs/>
          <w:sz w:val="20"/>
          <w:szCs w:val="20"/>
        </w:rPr>
        <w:t>foi</w:t>
      </w:r>
      <w:r w:rsidRPr="009E323D">
        <w:rPr>
          <w:rFonts w:ascii="Trebuchet MS" w:eastAsiaTheme="minorHAnsi" w:hAnsi="Trebuchet MS" w:cs="TimesNewRomanPS-BoldMT"/>
          <w:bCs/>
          <w:sz w:val="20"/>
          <w:szCs w:val="20"/>
        </w:rPr>
        <w:t xml:space="preserve"> efectu</w:t>
      </w:r>
      <w:r w:rsidRPr="009E323D">
        <w:rPr>
          <w:rFonts w:ascii="Trebuchet MS" w:eastAsiaTheme="minorHAnsi" w:hAnsi="Trebuchet MS" w:cs="TimesNewRomanPS-BoldMT"/>
          <w:bCs/>
          <w:sz w:val="20"/>
          <w:szCs w:val="20"/>
        </w:rPr>
        <w:t>a</w:t>
      </w:r>
      <w:r w:rsidRPr="009E323D">
        <w:rPr>
          <w:rFonts w:ascii="Trebuchet MS" w:eastAsiaTheme="minorHAnsi" w:hAnsi="Trebuchet MS" w:cs="TimesNewRomanPS-BoldMT"/>
          <w:bCs/>
          <w:sz w:val="20"/>
          <w:szCs w:val="20"/>
        </w:rPr>
        <w:t>da através da libertação da LDH para o meio de perfusão. Após</w:t>
      </w:r>
      <w:r w:rsidR="007121F8">
        <w:rPr>
          <w:rFonts w:ascii="Trebuchet MS" w:eastAsiaTheme="minorHAnsi" w:hAnsi="Trebuchet MS" w:cs="TimesNewRomanPS-BoldMT"/>
          <w:bCs/>
          <w:sz w:val="20"/>
          <w:szCs w:val="20"/>
        </w:rPr>
        <w:t xml:space="preserve"> a aplicação da</w:t>
      </w:r>
      <w:r w:rsidRPr="009E323D">
        <w:rPr>
          <w:rFonts w:ascii="Trebuchet MS" w:eastAsiaTheme="minorHAnsi" w:hAnsi="Trebuchet MS" w:cs="TimesNewRomanPS-BoldMT"/>
          <w:bCs/>
          <w:sz w:val="20"/>
          <w:szCs w:val="20"/>
        </w:rPr>
        <w:t xml:space="preserve"> POG, procedeu-se à reperfusão do meio de incubação durante 2h</w:t>
      </w:r>
      <w:r w:rsidR="00CB53FD">
        <w:rPr>
          <w:rFonts w:ascii="Trebuchet MS" w:eastAsiaTheme="minorHAnsi" w:hAnsi="Trebuchet MS" w:cs="TimesNewRomanPS-BoldMT"/>
          <w:bCs/>
          <w:sz w:val="20"/>
          <w:szCs w:val="20"/>
        </w:rPr>
        <w:t xml:space="preserve">oras e </w:t>
      </w:r>
      <w:r w:rsidRPr="009E323D">
        <w:rPr>
          <w:rFonts w:ascii="Trebuchet MS" w:eastAsiaTheme="minorHAnsi" w:hAnsi="Trebuchet MS" w:cs="TimesNewRomanPS-BoldMT"/>
          <w:bCs/>
          <w:sz w:val="20"/>
          <w:szCs w:val="20"/>
        </w:rPr>
        <w:t>30 minutos através do sistema de pe</w:t>
      </w:r>
      <w:r w:rsidRPr="009E323D">
        <w:rPr>
          <w:rFonts w:ascii="Trebuchet MS" w:eastAsiaTheme="minorHAnsi" w:hAnsi="Trebuchet MS" w:cs="TimesNewRomanPS-BoldMT"/>
          <w:bCs/>
          <w:sz w:val="20"/>
          <w:szCs w:val="20"/>
        </w:rPr>
        <w:t>r</w:t>
      </w:r>
      <w:r w:rsidRPr="009E323D">
        <w:rPr>
          <w:rFonts w:ascii="Trebuchet MS" w:eastAsiaTheme="minorHAnsi" w:hAnsi="Trebuchet MS" w:cs="TimesNewRomanPS-BoldMT"/>
          <w:bCs/>
          <w:sz w:val="20"/>
          <w:szCs w:val="20"/>
        </w:rPr>
        <w:t>fu</w:t>
      </w:r>
      <w:r w:rsidR="007121F8">
        <w:rPr>
          <w:rFonts w:ascii="Trebuchet MS" w:eastAsiaTheme="minorHAnsi" w:hAnsi="Trebuchet MS" w:cs="TimesNewRomanPS-BoldMT"/>
          <w:bCs/>
          <w:sz w:val="20"/>
          <w:szCs w:val="20"/>
        </w:rPr>
        <w:t>são. Depois de se desprezar</w:t>
      </w:r>
      <w:r w:rsidRPr="009E323D">
        <w:rPr>
          <w:rFonts w:ascii="Trebuchet MS" w:eastAsiaTheme="minorHAnsi" w:hAnsi="Trebuchet MS" w:cs="TimesNewRomanPS-BoldMT"/>
          <w:bCs/>
          <w:sz w:val="20"/>
          <w:szCs w:val="20"/>
        </w:rPr>
        <w:t xml:space="preserve"> o meio de incubação </w:t>
      </w:r>
      <w:r w:rsidR="007121F8">
        <w:rPr>
          <w:rFonts w:ascii="Trebuchet MS" w:eastAsiaTheme="minorHAnsi" w:hAnsi="Trebuchet MS" w:cs="TimesNewRomanPS-BoldMT"/>
          <w:bCs/>
          <w:sz w:val="20"/>
          <w:szCs w:val="20"/>
        </w:rPr>
        <w:t>n</w:t>
      </w:r>
      <w:r w:rsidRPr="009E323D">
        <w:rPr>
          <w:rFonts w:ascii="Trebuchet MS" w:eastAsiaTheme="minorHAnsi" w:hAnsi="Trebuchet MS" w:cs="TimesNewRomanPS-BoldMT"/>
          <w:bCs/>
          <w:sz w:val="20"/>
          <w:szCs w:val="20"/>
        </w:rPr>
        <w:t>os primeiros 30 minutos</w:t>
      </w:r>
      <w:r w:rsidR="007121F8">
        <w:rPr>
          <w:rFonts w:ascii="Trebuchet MS" w:eastAsiaTheme="minorHAnsi" w:hAnsi="Trebuchet MS" w:cs="TimesNewRomanPS-BoldMT"/>
          <w:bCs/>
          <w:sz w:val="20"/>
          <w:szCs w:val="20"/>
        </w:rPr>
        <w:t xml:space="preserve"> de reperfusão, a</w:t>
      </w:r>
      <w:r w:rsidRPr="009E323D">
        <w:rPr>
          <w:rFonts w:ascii="Trebuchet MS" w:eastAsiaTheme="minorHAnsi" w:hAnsi="Trebuchet MS" w:cs="TimesNewRomanPS-BoldMT"/>
          <w:bCs/>
          <w:sz w:val="20"/>
          <w:szCs w:val="20"/>
        </w:rPr>
        <w:t xml:space="preserve"> solução de perfusão das diferentes câmaras </w:t>
      </w:r>
      <w:r w:rsidR="007121F8">
        <w:rPr>
          <w:rFonts w:ascii="Trebuchet MS" w:eastAsiaTheme="minorHAnsi" w:hAnsi="Trebuchet MS" w:cs="TimesNewRomanPS-BoldMT"/>
          <w:bCs/>
          <w:sz w:val="20"/>
          <w:szCs w:val="20"/>
        </w:rPr>
        <w:t>foi</w:t>
      </w:r>
      <w:r w:rsidRPr="009E323D">
        <w:rPr>
          <w:rFonts w:ascii="Trebuchet MS" w:eastAsiaTheme="minorHAnsi" w:hAnsi="Trebuchet MS" w:cs="TimesNewRomanPS-BoldMT"/>
          <w:bCs/>
          <w:sz w:val="20"/>
          <w:szCs w:val="20"/>
        </w:rPr>
        <w:t xml:space="preserve"> recolhida </w:t>
      </w:r>
      <w:r w:rsidR="007121F8">
        <w:rPr>
          <w:rFonts w:ascii="Trebuchet MS" w:eastAsiaTheme="minorHAnsi" w:hAnsi="Trebuchet MS" w:cs="TimesNewRomanPS-BoldMT"/>
          <w:bCs/>
          <w:sz w:val="20"/>
          <w:szCs w:val="20"/>
        </w:rPr>
        <w:t>para tubos</w:t>
      </w:r>
      <w:r w:rsidRPr="009E323D">
        <w:rPr>
          <w:rFonts w:ascii="Trebuchet MS" w:eastAsiaTheme="minorHAnsi" w:hAnsi="Trebuchet MS" w:cs="TimesNewRomanPS-BoldMT"/>
          <w:bCs/>
          <w:sz w:val="20"/>
          <w:szCs w:val="20"/>
        </w:rPr>
        <w:t xml:space="preserve"> falcons</w:t>
      </w:r>
      <w:r w:rsidR="007121F8">
        <w:rPr>
          <w:rFonts w:ascii="Trebuchet MS" w:eastAsiaTheme="minorHAnsi" w:hAnsi="Trebuchet MS" w:cs="TimesNewRomanPS-BoldMT"/>
          <w:bCs/>
          <w:sz w:val="20"/>
          <w:szCs w:val="20"/>
        </w:rPr>
        <w:t xml:space="preserve"> individuais</w:t>
      </w:r>
      <w:r w:rsidRPr="009E323D">
        <w:rPr>
          <w:rFonts w:ascii="Trebuchet MS" w:eastAsiaTheme="minorHAnsi" w:hAnsi="Trebuchet MS" w:cs="TimesNewRomanPS-BoldMT"/>
          <w:bCs/>
          <w:sz w:val="20"/>
          <w:szCs w:val="20"/>
        </w:rPr>
        <w:t>, durante 10 minutos</w:t>
      </w:r>
      <w:r w:rsidRPr="009E323D">
        <w:rPr>
          <w:rFonts w:ascii="Trebuchet MS" w:eastAsiaTheme="minorHAnsi" w:hAnsi="Trebuchet MS" w:cstheme="minorBidi"/>
          <w:color w:val="FF0000"/>
          <w:sz w:val="20"/>
          <w:szCs w:val="20"/>
        </w:rPr>
        <w:t xml:space="preserve"> </w:t>
      </w:r>
      <w:r w:rsidRPr="009E323D">
        <w:rPr>
          <w:rFonts w:ascii="Trebuchet MS" w:eastAsiaTheme="minorHAnsi" w:hAnsi="Trebuchet MS" w:cstheme="minorBidi"/>
          <w:sz w:val="20"/>
          <w:szCs w:val="20"/>
        </w:rPr>
        <w:t>(Fig. 3.1</w:t>
      </w:r>
      <w:r w:rsidR="007121F8">
        <w:rPr>
          <w:rFonts w:ascii="Trebuchet MS" w:eastAsiaTheme="minorHAnsi" w:hAnsi="Trebuchet MS" w:cstheme="minorBidi"/>
          <w:sz w:val="20"/>
          <w:szCs w:val="20"/>
        </w:rPr>
        <w:t>4</w:t>
      </w:r>
      <w:r w:rsidRPr="009E323D">
        <w:rPr>
          <w:rFonts w:ascii="Trebuchet MS" w:eastAsiaTheme="minorHAnsi" w:hAnsi="Trebuchet MS" w:cstheme="minorBidi"/>
          <w:sz w:val="20"/>
          <w:szCs w:val="20"/>
        </w:rPr>
        <w:t>)</w:t>
      </w:r>
      <w:r w:rsidRPr="009E323D">
        <w:rPr>
          <w:rFonts w:ascii="Trebuchet MS" w:eastAsiaTheme="minorHAnsi" w:hAnsi="Trebuchet MS" w:cs="TimesNewRomanPS-BoldMT"/>
          <w:bCs/>
          <w:sz w:val="20"/>
          <w:szCs w:val="20"/>
        </w:rPr>
        <w:t xml:space="preserve">. </w:t>
      </w:r>
      <w:r w:rsidR="007121F8">
        <w:rPr>
          <w:rFonts w:ascii="Trebuchet MS" w:eastAsiaTheme="minorHAnsi" w:hAnsi="Trebuchet MS" w:cs="TimesNewRomanPS-BoldMT"/>
          <w:bCs/>
          <w:sz w:val="20"/>
          <w:szCs w:val="20"/>
        </w:rPr>
        <w:t>Seguidamente, procedeu-se à recirculação, do meio de perf</w:t>
      </w:r>
      <w:r w:rsidR="007121F8">
        <w:rPr>
          <w:rFonts w:ascii="Trebuchet MS" w:eastAsiaTheme="minorHAnsi" w:hAnsi="Trebuchet MS" w:cs="TimesNewRomanPS-BoldMT"/>
          <w:bCs/>
          <w:sz w:val="20"/>
          <w:szCs w:val="20"/>
        </w:rPr>
        <w:t>u</w:t>
      </w:r>
      <w:r w:rsidR="007121F8">
        <w:rPr>
          <w:rFonts w:ascii="Trebuchet MS" w:eastAsiaTheme="minorHAnsi" w:hAnsi="Trebuchet MS" w:cs="TimesNewRomanPS-BoldMT"/>
          <w:bCs/>
          <w:sz w:val="20"/>
          <w:szCs w:val="20"/>
        </w:rPr>
        <w:t>são recolhido nos tubos</w:t>
      </w:r>
      <w:r w:rsidRPr="009E323D">
        <w:rPr>
          <w:rFonts w:ascii="Trebuchet MS" w:eastAsiaTheme="minorHAnsi" w:hAnsi="Trebuchet MS" w:cs="TimesNewRomanPS-BoldMT"/>
          <w:bCs/>
          <w:sz w:val="20"/>
          <w:szCs w:val="20"/>
        </w:rPr>
        <w:t>, através das câmaras</w:t>
      </w:r>
      <w:r w:rsidR="007121F8">
        <w:rPr>
          <w:rFonts w:ascii="Trebuchet MS" w:eastAsiaTheme="minorHAnsi" w:hAnsi="Trebuchet MS" w:cs="TimesNewRomanPS-BoldMT"/>
          <w:bCs/>
          <w:sz w:val="20"/>
          <w:szCs w:val="20"/>
        </w:rPr>
        <w:t xml:space="preserve"> respectivas</w:t>
      </w:r>
      <w:r w:rsidRPr="009E323D">
        <w:rPr>
          <w:rFonts w:ascii="Trebuchet MS" w:eastAsiaTheme="minorHAnsi" w:hAnsi="Trebuchet MS" w:cs="TimesNewRomanPS-BoldMT"/>
          <w:bCs/>
          <w:sz w:val="20"/>
          <w:szCs w:val="20"/>
        </w:rPr>
        <w:t xml:space="preserve"> duran</w:t>
      </w:r>
      <w:r w:rsidR="007121F8">
        <w:rPr>
          <w:rFonts w:ascii="Trebuchet MS" w:eastAsiaTheme="minorHAnsi" w:hAnsi="Trebuchet MS" w:cs="TimesNewRomanPS-BoldMT"/>
          <w:bCs/>
          <w:sz w:val="20"/>
          <w:szCs w:val="20"/>
        </w:rPr>
        <w:t xml:space="preserve">te mais </w:t>
      </w:r>
      <w:r w:rsidRPr="009E323D">
        <w:rPr>
          <w:rFonts w:ascii="Trebuchet MS" w:eastAsiaTheme="minorHAnsi" w:hAnsi="Trebuchet MS" w:cs="TimesNewRomanPS-BoldMT"/>
          <w:bCs/>
          <w:sz w:val="20"/>
          <w:szCs w:val="20"/>
        </w:rPr>
        <w:t>duas horas. Uma vez concentrada a LDH libertada para o meio de perfusão, procede</w:t>
      </w:r>
      <w:r w:rsidR="007121F8">
        <w:rPr>
          <w:rFonts w:ascii="Trebuchet MS" w:eastAsiaTheme="minorHAnsi" w:hAnsi="Trebuchet MS" w:cs="TimesNewRomanPS-BoldMT"/>
          <w:bCs/>
          <w:sz w:val="20"/>
          <w:szCs w:val="20"/>
        </w:rPr>
        <w:t>u</w:t>
      </w:r>
      <w:r w:rsidRPr="009E323D">
        <w:rPr>
          <w:rFonts w:ascii="Trebuchet MS" w:eastAsiaTheme="minorHAnsi" w:hAnsi="Trebuchet MS" w:cs="TimesNewRomanPS-BoldMT"/>
          <w:bCs/>
          <w:sz w:val="20"/>
          <w:szCs w:val="20"/>
        </w:rPr>
        <w:t xml:space="preserve">-se à recolha de diferentes alíquotas </w:t>
      </w:r>
      <w:r w:rsidR="007121F8">
        <w:rPr>
          <w:rFonts w:ascii="Trebuchet MS" w:eastAsiaTheme="minorHAnsi" w:hAnsi="Trebuchet MS" w:cs="TimesNewRomanPS-BoldMT"/>
          <w:bCs/>
          <w:sz w:val="20"/>
          <w:szCs w:val="20"/>
        </w:rPr>
        <w:t>correspondentes a cada câmara</w:t>
      </w:r>
      <w:r w:rsidRPr="009E323D">
        <w:rPr>
          <w:rFonts w:ascii="Trebuchet MS" w:eastAsiaTheme="minorHAnsi" w:hAnsi="Trebuchet MS" w:cs="TimesNewRomanPS-BoldMT"/>
          <w:bCs/>
          <w:sz w:val="20"/>
          <w:szCs w:val="20"/>
        </w:rPr>
        <w:t xml:space="preserve"> (Chong </w:t>
      </w:r>
      <w:r w:rsidR="00F96813" w:rsidRPr="009E323D">
        <w:rPr>
          <w:rFonts w:ascii="Trebuchet MS" w:eastAsiaTheme="minorHAnsi" w:hAnsi="Trebuchet MS" w:cs="TimesNewRomanPS-BoldMT"/>
          <w:bCs/>
          <w:i/>
          <w:sz w:val="20"/>
          <w:szCs w:val="20"/>
        </w:rPr>
        <w:t>et al.</w:t>
      </w:r>
      <w:r w:rsidRPr="009E323D">
        <w:rPr>
          <w:rFonts w:ascii="Trebuchet MS" w:eastAsiaTheme="minorHAnsi" w:hAnsi="Trebuchet MS" w:cs="TimesNewRomanPS-BoldMT"/>
          <w:bCs/>
          <w:sz w:val="20"/>
          <w:szCs w:val="20"/>
        </w:rPr>
        <w:t>, 2006).</w:t>
      </w:r>
    </w:p>
    <w:p w:rsidR="00F67281" w:rsidRPr="009E323D" w:rsidRDefault="00F67281" w:rsidP="00F67281">
      <w:pPr>
        <w:spacing w:after="200" w:line="360" w:lineRule="auto"/>
        <w:ind w:firstLine="708"/>
        <w:contextualSpacing/>
        <w:jc w:val="both"/>
        <w:rPr>
          <w:rFonts w:ascii="Trebuchet MS" w:eastAsiaTheme="minorHAnsi" w:hAnsi="Trebuchet MS" w:cs="WarnockPro-Regular"/>
          <w:sz w:val="20"/>
          <w:szCs w:val="20"/>
        </w:rPr>
      </w:pPr>
      <w:r w:rsidRPr="009E323D">
        <w:rPr>
          <w:rFonts w:ascii="Trebuchet MS" w:eastAsiaTheme="minorHAnsi" w:hAnsi="Trebuchet MS" w:cs="Arial"/>
          <w:bCs/>
          <w:sz w:val="20"/>
          <w:szCs w:val="20"/>
        </w:rPr>
        <w:t xml:space="preserve">A LDH libertada </w:t>
      </w:r>
      <w:r w:rsidR="00943BC5">
        <w:rPr>
          <w:rFonts w:ascii="Trebuchet MS" w:eastAsiaTheme="minorHAnsi" w:hAnsi="Trebuchet MS" w:cs="Arial"/>
          <w:bCs/>
          <w:sz w:val="20"/>
          <w:szCs w:val="20"/>
        </w:rPr>
        <w:t>foi</w:t>
      </w:r>
      <w:r w:rsidRPr="009E323D">
        <w:rPr>
          <w:rFonts w:ascii="Trebuchet MS" w:eastAsiaTheme="minorHAnsi" w:hAnsi="Trebuchet MS" w:cs="Arial"/>
          <w:bCs/>
          <w:sz w:val="20"/>
          <w:szCs w:val="20"/>
        </w:rPr>
        <w:t xml:space="preserve"> medida no </w:t>
      </w:r>
      <w:r w:rsidR="00943BC5">
        <w:rPr>
          <w:rFonts w:ascii="Trebuchet MS" w:eastAsiaTheme="minorHAnsi" w:hAnsi="Trebuchet MS" w:cs="Arial"/>
          <w:bCs/>
          <w:sz w:val="20"/>
          <w:szCs w:val="20"/>
        </w:rPr>
        <w:t>meio</w:t>
      </w:r>
      <w:r w:rsidRPr="009E323D">
        <w:rPr>
          <w:rFonts w:ascii="Trebuchet MS" w:eastAsiaTheme="minorHAnsi" w:hAnsi="Trebuchet MS" w:cs="Arial"/>
          <w:bCs/>
          <w:sz w:val="20"/>
          <w:szCs w:val="20"/>
        </w:rPr>
        <w:t xml:space="preserve"> de incubação </w:t>
      </w:r>
      <w:r w:rsidR="00943BC5">
        <w:rPr>
          <w:rFonts w:ascii="Trebuchet MS" w:eastAsiaTheme="minorHAnsi" w:hAnsi="Trebuchet MS" w:cs="Arial"/>
          <w:bCs/>
          <w:sz w:val="20"/>
          <w:szCs w:val="20"/>
        </w:rPr>
        <w:t xml:space="preserve">recirculado </w:t>
      </w:r>
      <w:r w:rsidRPr="009E323D">
        <w:rPr>
          <w:rFonts w:ascii="Trebuchet MS" w:eastAsiaTheme="minorHAnsi" w:hAnsi="Trebuchet MS" w:cs="Arial"/>
          <w:bCs/>
          <w:sz w:val="20"/>
          <w:szCs w:val="20"/>
        </w:rPr>
        <w:t xml:space="preserve">(Xue </w:t>
      </w:r>
      <w:r w:rsidR="00F96813" w:rsidRPr="009E323D">
        <w:rPr>
          <w:rFonts w:ascii="Trebuchet MS" w:eastAsiaTheme="minorHAnsi" w:hAnsi="Trebuchet MS" w:cs="Arial"/>
          <w:bCs/>
          <w:i/>
          <w:sz w:val="20"/>
          <w:szCs w:val="20"/>
        </w:rPr>
        <w:t>et al.</w:t>
      </w:r>
      <w:r w:rsidRPr="009E323D">
        <w:rPr>
          <w:rFonts w:ascii="Trebuchet MS" w:eastAsiaTheme="minorHAnsi" w:hAnsi="Trebuchet MS" w:cs="Arial"/>
          <w:bCs/>
          <w:sz w:val="20"/>
          <w:szCs w:val="20"/>
        </w:rPr>
        <w:t xml:space="preserve">, 2004). </w:t>
      </w:r>
      <w:r w:rsidRPr="009E323D">
        <w:rPr>
          <w:rFonts w:ascii="Trebuchet MS" w:eastAsiaTheme="minorHAnsi" w:hAnsi="Trebuchet MS" w:cs="WarnockPro-Regular"/>
          <w:sz w:val="20"/>
          <w:szCs w:val="20"/>
        </w:rPr>
        <w:t xml:space="preserve">A </w:t>
      </w:r>
      <w:r w:rsidRPr="009E323D">
        <w:rPr>
          <w:rFonts w:ascii="Trebuchet MS" w:eastAsiaTheme="minorHAnsi" w:hAnsi="Trebuchet MS" w:cs="WarnockPro-Regular"/>
          <w:sz w:val="20"/>
          <w:szCs w:val="20"/>
          <w:u w:val="single"/>
        </w:rPr>
        <w:t>LDH basal</w:t>
      </w:r>
      <w:r w:rsidRPr="009E323D">
        <w:rPr>
          <w:rFonts w:ascii="Trebuchet MS" w:eastAsiaTheme="minorHAnsi" w:hAnsi="Trebuchet MS" w:cs="WarnockPro-Regular"/>
          <w:sz w:val="20"/>
          <w:szCs w:val="20"/>
        </w:rPr>
        <w:t xml:space="preserve"> libertada para o meio extracelular </w:t>
      </w:r>
      <w:r w:rsidR="00943BC5">
        <w:rPr>
          <w:rFonts w:ascii="Trebuchet MS" w:eastAsiaTheme="minorHAnsi" w:hAnsi="Trebuchet MS" w:cs="WarnockPro-Regular"/>
          <w:sz w:val="20"/>
          <w:szCs w:val="20"/>
        </w:rPr>
        <w:t>foi também</w:t>
      </w:r>
      <w:r w:rsidRPr="009E323D">
        <w:rPr>
          <w:rFonts w:ascii="Trebuchet MS" w:eastAsiaTheme="minorHAnsi" w:hAnsi="Trebuchet MS" w:cs="WarnockPro-Regular"/>
          <w:sz w:val="20"/>
          <w:szCs w:val="20"/>
        </w:rPr>
        <w:t xml:space="preserve"> determinada nos ensaios controlo </w:t>
      </w:r>
      <w:r w:rsidRPr="009E323D">
        <w:rPr>
          <w:rFonts w:ascii="Trebuchet MS" w:eastAsiaTheme="minorHAnsi" w:hAnsi="Trebuchet MS" w:cs="WarnockPro-Regular"/>
          <w:sz w:val="20"/>
          <w:szCs w:val="20"/>
        </w:rPr>
        <w:lastRenderedPageBreak/>
        <w:t>que não foram expostos ao POG, tem sido este valor subtraído a todos os valores experime</w:t>
      </w:r>
      <w:r w:rsidRPr="009E323D">
        <w:rPr>
          <w:rFonts w:ascii="Trebuchet MS" w:eastAsiaTheme="minorHAnsi" w:hAnsi="Trebuchet MS" w:cs="WarnockPro-Regular"/>
          <w:sz w:val="20"/>
          <w:szCs w:val="20"/>
        </w:rPr>
        <w:t>n</w:t>
      </w:r>
      <w:r w:rsidRPr="009E323D">
        <w:rPr>
          <w:rFonts w:ascii="Trebuchet MS" w:eastAsiaTheme="minorHAnsi" w:hAnsi="Trebuchet MS" w:cs="WarnockPro-Regular"/>
          <w:sz w:val="20"/>
          <w:szCs w:val="20"/>
        </w:rPr>
        <w:t xml:space="preserve">tais obtidos (Moroni </w:t>
      </w:r>
      <w:r w:rsidRPr="00CB53FD">
        <w:rPr>
          <w:rFonts w:ascii="Trebuchet MS" w:eastAsiaTheme="minorHAnsi" w:hAnsi="Trebuchet MS" w:cs="WarnockPro-Regular"/>
          <w:i/>
          <w:sz w:val="20"/>
          <w:szCs w:val="20"/>
        </w:rPr>
        <w:t>et a</w:t>
      </w:r>
      <w:r w:rsidR="00CB53FD" w:rsidRPr="00CB53FD">
        <w:rPr>
          <w:rFonts w:ascii="Trebuchet MS" w:eastAsiaTheme="minorHAnsi" w:hAnsi="Trebuchet MS" w:cs="WarnockPro-Regular"/>
          <w:i/>
          <w:sz w:val="20"/>
          <w:szCs w:val="20"/>
        </w:rPr>
        <w:t>l</w:t>
      </w:r>
      <w:r w:rsidRPr="00CB53FD">
        <w:rPr>
          <w:rFonts w:ascii="Trebuchet MS" w:eastAsiaTheme="minorHAnsi" w:hAnsi="Trebuchet MS" w:cs="WarnockPro-Regular"/>
          <w:i/>
          <w:sz w:val="20"/>
          <w:szCs w:val="20"/>
        </w:rPr>
        <w:t>.</w:t>
      </w:r>
      <w:r w:rsidRPr="009E323D">
        <w:rPr>
          <w:rFonts w:ascii="Trebuchet MS" w:eastAsiaTheme="minorHAnsi" w:hAnsi="Trebuchet MS" w:cs="WarnockPro-Regular"/>
          <w:sz w:val="20"/>
          <w:szCs w:val="20"/>
        </w:rPr>
        <w:t xml:space="preserve">, 2001). </w:t>
      </w:r>
    </w:p>
    <w:p w:rsidR="00F67281" w:rsidRPr="00751D14" w:rsidRDefault="00F67281" w:rsidP="00F67281">
      <w:pPr>
        <w:autoSpaceDE w:val="0"/>
        <w:autoSpaceDN w:val="0"/>
        <w:adjustRightInd w:val="0"/>
        <w:spacing w:line="360" w:lineRule="auto"/>
        <w:jc w:val="both"/>
        <w:rPr>
          <w:rFonts w:ascii="Trebuchet MS" w:eastAsiaTheme="minorHAnsi" w:hAnsi="Trebuchet MS" w:cs="TimesNewRomanPS-BoldMT"/>
          <w:bCs/>
        </w:rPr>
      </w:pPr>
    </w:p>
    <w:p w:rsidR="00F67281" w:rsidRPr="00751D14" w:rsidRDefault="00F67281" w:rsidP="00F67281">
      <w:pPr>
        <w:autoSpaceDE w:val="0"/>
        <w:autoSpaceDN w:val="0"/>
        <w:adjustRightInd w:val="0"/>
        <w:spacing w:line="360" w:lineRule="auto"/>
        <w:jc w:val="center"/>
        <w:rPr>
          <w:rFonts w:ascii="Trebuchet MS" w:eastAsiaTheme="minorHAnsi" w:hAnsi="Trebuchet MS" w:cs="TimesNewRomanPS-BoldMT"/>
          <w:bCs/>
        </w:rPr>
      </w:pPr>
      <w:r w:rsidRPr="00751D14">
        <w:rPr>
          <w:rFonts w:ascii="Trebuchet MS" w:eastAsiaTheme="minorHAnsi" w:hAnsi="Trebuchet MS" w:cs="TimesNewRomanPS-BoldMT"/>
          <w:bCs/>
          <w:noProof/>
          <w:lang w:eastAsia="pt-PT"/>
        </w:rPr>
        <w:drawing>
          <wp:inline distT="0" distB="0" distL="0" distR="0">
            <wp:extent cx="1474199" cy="1795553"/>
            <wp:effectExtent l="19050" t="0" r="0" b="0"/>
            <wp:docPr id="29" name="Imagem 70" descr="C:\Users\Blandina Esteves\Desktop\100MSDCF\DSC0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Blandina Esteves\Desktop\100MSDCF\DSC00026.JPG"/>
                    <pic:cNvPicPr>
                      <a:picLocks noChangeAspect="1" noChangeArrowheads="1"/>
                    </pic:cNvPicPr>
                  </pic:nvPicPr>
                  <pic:blipFill>
                    <a:blip r:embed="rId50" cstate="print"/>
                    <a:srcRect t="7264"/>
                    <a:stretch>
                      <a:fillRect/>
                    </a:stretch>
                  </pic:blipFill>
                  <pic:spPr bwMode="auto">
                    <a:xfrm>
                      <a:off x="0" y="0"/>
                      <a:ext cx="1480618" cy="1803371"/>
                    </a:xfrm>
                    <a:prstGeom prst="rect">
                      <a:avLst/>
                    </a:prstGeom>
                    <a:noFill/>
                    <a:ln w="9525">
                      <a:noFill/>
                      <a:miter lim="800000"/>
                      <a:headEnd/>
                      <a:tailEnd/>
                    </a:ln>
                  </pic:spPr>
                </pic:pic>
              </a:graphicData>
            </a:graphic>
          </wp:inline>
        </w:drawing>
      </w:r>
      <w:r w:rsidRPr="00751D14">
        <w:rPr>
          <w:rFonts w:ascii="Trebuchet MS" w:eastAsiaTheme="minorHAnsi" w:hAnsi="Trebuchet MS" w:cs="TimesNewRomanPS-BoldMT"/>
          <w:bCs/>
          <w:noProof/>
          <w:lang w:eastAsia="pt-PT"/>
        </w:rPr>
        <w:drawing>
          <wp:inline distT="0" distB="0" distL="0" distR="0">
            <wp:extent cx="2393072" cy="1795141"/>
            <wp:effectExtent l="19050" t="0" r="7228" b="0"/>
            <wp:docPr id="30" name="Imagem 7" descr="C:\Users\Blandina Esteves\Desktop\Tese Mestrado BQ\Fotos Mestrado BQ\DSC00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landina Esteves\Desktop\Tese Mestrado BQ\Fotos Mestrado BQ\DSC00053.JPG"/>
                    <pic:cNvPicPr>
                      <a:picLocks noChangeAspect="1" noChangeArrowheads="1"/>
                    </pic:cNvPicPr>
                  </pic:nvPicPr>
                  <pic:blipFill>
                    <a:blip r:embed="rId51" cstate="print"/>
                    <a:srcRect/>
                    <a:stretch>
                      <a:fillRect/>
                    </a:stretch>
                  </pic:blipFill>
                  <pic:spPr bwMode="auto">
                    <a:xfrm>
                      <a:off x="0" y="0"/>
                      <a:ext cx="2395234" cy="1796763"/>
                    </a:xfrm>
                    <a:prstGeom prst="rect">
                      <a:avLst/>
                    </a:prstGeom>
                    <a:noFill/>
                    <a:ln w="9525">
                      <a:noFill/>
                      <a:miter lim="800000"/>
                      <a:headEnd/>
                      <a:tailEnd/>
                    </a:ln>
                  </pic:spPr>
                </pic:pic>
              </a:graphicData>
            </a:graphic>
          </wp:inline>
        </w:drawing>
      </w:r>
    </w:p>
    <w:p w:rsidR="00F67281" w:rsidRPr="009E323D" w:rsidRDefault="00F67281" w:rsidP="00F67281">
      <w:pPr>
        <w:autoSpaceDE w:val="0"/>
        <w:autoSpaceDN w:val="0"/>
        <w:adjustRightInd w:val="0"/>
        <w:spacing w:line="360" w:lineRule="auto"/>
        <w:jc w:val="center"/>
        <w:rPr>
          <w:rFonts w:ascii="Trebuchet MS" w:eastAsiaTheme="minorHAnsi" w:hAnsi="Trebuchet MS" w:cs="TimesNewRomanPS-BoldMT"/>
          <w:bCs/>
          <w:sz w:val="22"/>
        </w:rPr>
      </w:pPr>
      <w:r w:rsidRPr="009E323D">
        <w:rPr>
          <w:rFonts w:ascii="Trebuchet MS" w:eastAsiaTheme="minorHAnsi" w:hAnsi="Trebuchet MS" w:cstheme="minorBidi"/>
          <w:sz w:val="18"/>
          <w:szCs w:val="20"/>
        </w:rPr>
        <w:t>Fig. 3.1</w:t>
      </w:r>
      <w:r w:rsidR="007121F8">
        <w:rPr>
          <w:rFonts w:ascii="Trebuchet MS" w:eastAsiaTheme="minorHAnsi" w:hAnsi="Trebuchet MS" w:cstheme="minorBidi"/>
          <w:sz w:val="18"/>
          <w:szCs w:val="20"/>
        </w:rPr>
        <w:t>4</w:t>
      </w:r>
      <w:r w:rsidR="005E580C" w:rsidRPr="009E323D">
        <w:rPr>
          <w:rFonts w:ascii="Trebuchet MS" w:eastAsiaTheme="minorHAnsi" w:hAnsi="Trebuchet MS" w:cstheme="minorBidi"/>
          <w:sz w:val="18"/>
          <w:szCs w:val="20"/>
        </w:rPr>
        <w:t>.</w:t>
      </w:r>
      <w:r w:rsidRPr="009E323D">
        <w:rPr>
          <w:rFonts w:ascii="Trebuchet MS" w:eastAsiaTheme="minorHAnsi" w:hAnsi="Trebuchet MS" w:cstheme="minorBidi"/>
          <w:sz w:val="18"/>
          <w:szCs w:val="20"/>
        </w:rPr>
        <w:t xml:space="preserve"> Recolha e concentração de LDH libertada.</w:t>
      </w:r>
    </w:p>
    <w:p w:rsidR="00F67281" w:rsidRPr="00751D14" w:rsidRDefault="00F67281" w:rsidP="00F67281">
      <w:pPr>
        <w:autoSpaceDE w:val="0"/>
        <w:autoSpaceDN w:val="0"/>
        <w:adjustRightInd w:val="0"/>
        <w:spacing w:line="360" w:lineRule="auto"/>
        <w:jc w:val="both"/>
        <w:rPr>
          <w:rFonts w:ascii="Trebuchet MS" w:eastAsiaTheme="minorHAnsi" w:hAnsi="Trebuchet MS" w:cs="TimesNewRomanPS-BoldMT"/>
          <w:bCs/>
          <w:sz w:val="20"/>
          <w:szCs w:val="20"/>
        </w:rPr>
      </w:pPr>
    </w:p>
    <w:p w:rsidR="00F67281" w:rsidRPr="009E323D" w:rsidRDefault="00F67281" w:rsidP="00F67281">
      <w:pPr>
        <w:autoSpaceDE w:val="0"/>
        <w:autoSpaceDN w:val="0"/>
        <w:adjustRightInd w:val="0"/>
        <w:spacing w:line="360" w:lineRule="auto"/>
        <w:ind w:firstLine="708"/>
        <w:jc w:val="both"/>
        <w:rPr>
          <w:rFonts w:ascii="Trebuchet MS" w:eastAsiaTheme="minorHAnsi" w:hAnsi="Trebuchet MS" w:cs="TimesNewRomanPS-BoldMT"/>
          <w:bCs/>
          <w:sz w:val="20"/>
          <w:szCs w:val="20"/>
        </w:rPr>
      </w:pPr>
      <w:r w:rsidRPr="009E323D">
        <w:rPr>
          <w:rFonts w:ascii="Trebuchet MS" w:eastAsiaTheme="minorHAnsi" w:hAnsi="Trebuchet MS" w:cs="TimesNewRomanPS-BoldMT"/>
          <w:bCs/>
          <w:sz w:val="20"/>
          <w:szCs w:val="20"/>
        </w:rPr>
        <w:t xml:space="preserve">Para a determinação quantitativa </w:t>
      </w:r>
      <w:proofErr w:type="gramStart"/>
      <w:r w:rsidR="00194A32" w:rsidRPr="009E323D">
        <w:rPr>
          <w:rFonts w:ascii="Trebuchet MS" w:eastAsiaTheme="minorHAnsi" w:hAnsi="Trebuchet MS" w:cs="TimesNewRomanPS-BoldMT"/>
          <w:bCs/>
          <w:i/>
          <w:sz w:val="20"/>
          <w:szCs w:val="20"/>
        </w:rPr>
        <w:t>in vitro</w:t>
      </w:r>
      <w:proofErr w:type="gramEnd"/>
      <w:r w:rsidR="00194A32" w:rsidRPr="009E323D">
        <w:rPr>
          <w:rFonts w:ascii="Trebuchet MS" w:eastAsiaTheme="minorHAnsi" w:hAnsi="Trebuchet MS" w:cs="TimesNewRomanPS-BoldMT"/>
          <w:bCs/>
          <w:i/>
          <w:sz w:val="20"/>
          <w:szCs w:val="20"/>
        </w:rPr>
        <w:t xml:space="preserve"> </w:t>
      </w:r>
      <w:r w:rsidRPr="009E323D">
        <w:rPr>
          <w:rFonts w:ascii="Trebuchet MS" w:eastAsiaTheme="minorHAnsi" w:hAnsi="Trebuchet MS" w:cs="TimesNewRomanPS-BoldMT"/>
          <w:bCs/>
          <w:sz w:val="20"/>
          <w:szCs w:val="20"/>
        </w:rPr>
        <w:t xml:space="preserve">da actividade enzimática da LDH nas fatias agudas de hipocampo, utilizou-se um kit </w:t>
      </w:r>
      <w:r w:rsidR="00F73A21">
        <w:rPr>
          <w:rFonts w:ascii="Trebuchet MS" w:eastAsiaTheme="minorHAnsi" w:hAnsi="Trebuchet MS" w:cs="TimesNewRomanPS-BoldMT"/>
          <w:bCs/>
          <w:sz w:val="20"/>
          <w:szCs w:val="20"/>
        </w:rPr>
        <w:t>obtido</w:t>
      </w:r>
      <w:r w:rsidRPr="009E323D">
        <w:rPr>
          <w:rFonts w:ascii="Trebuchet MS" w:eastAsiaTheme="minorHAnsi" w:hAnsi="Trebuchet MS" w:cs="TimesNewRomanPS-BoldMT"/>
          <w:bCs/>
          <w:sz w:val="20"/>
          <w:szCs w:val="20"/>
        </w:rPr>
        <w:t xml:space="preserve"> da Randox (LDH P-L Manual). </w:t>
      </w:r>
      <w:r w:rsidR="00F73A21">
        <w:rPr>
          <w:rFonts w:ascii="Trebuchet MS" w:eastAsiaTheme="minorHAnsi" w:hAnsi="Trebuchet MS" w:cs="TimesNewRomanPS-BoldMT"/>
          <w:bCs/>
          <w:sz w:val="20"/>
          <w:szCs w:val="20"/>
        </w:rPr>
        <w:t>Resumidamente, m</w:t>
      </w:r>
      <w:r w:rsidRPr="009E323D">
        <w:rPr>
          <w:rFonts w:ascii="Trebuchet MS" w:eastAsiaTheme="minorHAnsi" w:hAnsi="Trebuchet MS" w:cs="TimesNewRomanPS-BoldMT"/>
          <w:bCs/>
          <w:sz w:val="20"/>
          <w:szCs w:val="20"/>
        </w:rPr>
        <w:t xml:space="preserve">ediu-se a absorvência a 340 nm num espectrofotómetro durante 30 minutos de incubação à temperatura ambiente (25ºC), </w:t>
      </w:r>
      <w:r w:rsidR="00F73A21">
        <w:rPr>
          <w:rFonts w:ascii="Trebuchet MS" w:eastAsiaTheme="minorHAnsi" w:hAnsi="Trebuchet MS" w:cs="TimesNewRomanPS-BoldMT"/>
          <w:bCs/>
          <w:sz w:val="20"/>
          <w:szCs w:val="20"/>
        </w:rPr>
        <w:t xml:space="preserve">após se adicionar </w:t>
      </w:r>
      <w:r w:rsidRPr="009E323D">
        <w:rPr>
          <w:rFonts w:ascii="Trebuchet MS" w:eastAsiaTheme="minorHAnsi" w:hAnsi="Trebuchet MS" w:cs="TimesNewRomanPS-BoldMT"/>
          <w:bCs/>
          <w:sz w:val="20"/>
          <w:szCs w:val="20"/>
        </w:rPr>
        <w:t xml:space="preserve">50 </w:t>
      </w:r>
      <w:r w:rsidRPr="009E323D">
        <w:rPr>
          <w:rFonts w:ascii="Trebuchet MS" w:eastAsiaTheme="minorHAnsi" w:hAnsi="Trebuchet MS" w:cs="TimesNewRomanPS-BoldMT"/>
          <w:bCs/>
          <w:sz w:val="20"/>
          <w:szCs w:val="20"/>
        </w:rPr>
        <w:sym w:font="Symbol" w:char="F06D"/>
      </w:r>
      <w:r w:rsidRPr="009E323D">
        <w:rPr>
          <w:rFonts w:ascii="Trebuchet MS" w:eastAsiaTheme="minorHAnsi" w:hAnsi="Trebuchet MS" w:cs="TimesNewRomanPS-BoldMT"/>
          <w:bCs/>
          <w:sz w:val="20"/>
          <w:szCs w:val="20"/>
        </w:rPr>
        <w:t xml:space="preserve">L de amostra e 100 </w:t>
      </w:r>
      <w:r w:rsidRPr="009E323D">
        <w:rPr>
          <w:rFonts w:ascii="Trebuchet MS" w:eastAsiaTheme="minorHAnsi" w:hAnsi="Trebuchet MS" w:cs="TimesNewRomanPS-BoldMT"/>
          <w:bCs/>
          <w:sz w:val="20"/>
          <w:szCs w:val="20"/>
        </w:rPr>
        <w:sym w:font="Symbol" w:char="F06D"/>
      </w:r>
      <w:r w:rsidRPr="009E323D">
        <w:rPr>
          <w:rFonts w:ascii="Trebuchet MS" w:eastAsiaTheme="minorHAnsi" w:hAnsi="Trebuchet MS" w:cs="TimesNewRomanPS-BoldMT"/>
          <w:bCs/>
          <w:sz w:val="20"/>
          <w:szCs w:val="20"/>
        </w:rPr>
        <w:t>L de reagente (</w:t>
      </w:r>
      <w:r w:rsidRPr="009E323D">
        <w:rPr>
          <w:rFonts w:ascii="Trebuchet MS" w:eastAsiaTheme="minorHAnsi" w:hAnsi="Trebuchet MS" w:cstheme="minorBidi"/>
          <w:sz w:val="20"/>
          <w:szCs w:val="20"/>
        </w:rPr>
        <w:t>Fig. 3.1</w:t>
      </w:r>
      <w:r w:rsidR="007121F8">
        <w:rPr>
          <w:rFonts w:ascii="Trebuchet MS" w:eastAsiaTheme="minorHAnsi" w:hAnsi="Trebuchet MS" w:cstheme="minorBidi"/>
          <w:sz w:val="20"/>
          <w:szCs w:val="20"/>
        </w:rPr>
        <w:t>5</w:t>
      </w:r>
      <w:r w:rsidRPr="009E323D">
        <w:rPr>
          <w:rFonts w:ascii="Trebuchet MS" w:eastAsiaTheme="minorHAnsi" w:hAnsi="Trebuchet MS" w:cstheme="minorBidi"/>
          <w:sz w:val="20"/>
          <w:szCs w:val="20"/>
        </w:rPr>
        <w:t>)</w:t>
      </w:r>
      <w:r w:rsidR="005819F0">
        <w:rPr>
          <w:rFonts w:ascii="Trebuchet MS" w:eastAsiaTheme="minorHAnsi" w:hAnsi="Trebuchet MS" w:cstheme="minorBidi"/>
          <w:sz w:val="20"/>
          <w:szCs w:val="20"/>
        </w:rPr>
        <w:t xml:space="preserve"> contendo os substratos da enzima</w:t>
      </w:r>
      <w:r w:rsidRPr="009E323D">
        <w:rPr>
          <w:rFonts w:ascii="Trebuchet MS" w:eastAsiaTheme="minorHAnsi" w:hAnsi="Trebuchet MS" w:cs="TimesNewRomanPS-BoldMT"/>
          <w:bCs/>
          <w:sz w:val="20"/>
          <w:szCs w:val="20"/>
        </w:rPr>
        <w:t>. Registou-se a absorvência ao longo do tempo, aos seguintes tempos de reacção: 1, 5, 10, 15 e 20 minutos. Realizou-se as leituras em triplicado</w:t>
      </w:r>
      <w:r w:rsidR="00C4297E" w:rsidRPr="009E323D">
        <w:rPr>
          <w:rFonts w:ascii="Trebuchet MS" w:eastAsiaTheme="minorHAnsi" w:hAnsi="Trebuchet MS" w:cs="TimesNewRomanPS-BoldMT"/>
          <w:bCs/>
          <w:sz w:val="20"/>
          <w:szCs w:val="20"/>
        </w:rPr>
        <w:t xml:space="preserve"> para cada amostra recolhida</w:t>
      </w:r>
      <w:r w:rsidRPr="009E323D">
        <w:rPr>
          <w:rFonts w:ascii="Trebuchet MS" w:eastAsiaTheme="minorHAnsi" w:hAnsi="Trebuchet MS" w:cs="TimesNewRomanPS-BoldMT"/>
          <w:bCs/>
          <w:sz w:val="20"/>
          <w:szCs w:val="20"/>
        </w:rPr>
        <w:t>. Durante o período de incubação, as amostras foram protegidas da luz, uma vez que, o NADH é sensível à luz.</w:t>
      </w:r>
    </w:p>
    <w:p w:rsidR="00F67281" w:rsidRPr="00751D14" w:rsidRDefault="00F67281" w:rsidP="00F67281">
      <w:pPr>
        <w:autoSpaceDE w:val="0"/>
        <w:autoSpaceDN w:val="0"/>
        <w:adjustRightInd w:val="0"/>
        <w:rPr>
          <w:rFonts w:ascii="Trebuchet MS" w:eastAsiaTheme="minorHAnsi" w:hAnsi="Trebuchet MS" w:cs="TimesNewRomanPS-BoldMT"/>
          <w:b/>
          <w:bCs/>
          <w:sz w:val="16"/>
          <w:szCs w:val="16"/>
        </w:rPr>
      </w:pPr>
    </w:p>
    <w:p w:rsidR="00F67281" w:rsidRPr="00751D14" w:rsidRDefault="00F67281" w:rsidP="00F67281">
      <w:pPr>
        <w:autoSpaceDE w:val="0"/>
        <w:autoSpaceDN w:val="0"/>
        <w:adjustRightInd w:val="0"/>
        <w:jc w:val="center"/>
        <w:rPr>
          <w:rFonts w:ascii="Trebuchet MS" w:eastAsiaTheme="minorHAnsi" w:hAnsi="Trebuchet MS" w:cs="TimesNewRomanPS-BoldMT"/>
          <w:b/>
          <w:bCs/>
          <w:lang w:val="en-US"/>
        </w:rPr>
      </w:pPr>
      <w:r w:rsidRPr="00751D14">
        <w:rPr>
          <w:rFonts w:ascii="Trebuchet MS" w:eastAsiaTheme="minorHAnsi" w:hAnsi="Trebuchet MS" w:cs="TimesNewRomanPS-BoldMT"/>
          <w:b/>
          <w:bCs/>
          <w:noProof/>
          <w:lang w:eastAsia="pt-PT"/>
        </w:rPr>
        <w:drawing>
          <wp:inline distT="0" distB="0" distL="0" distR="0">
            <wp:extent cx="4144415" cy="1250950"/>
            <wp:effectExtent l="19050" t="0" r="8485" b="0"/>
            <wp:docPr id="31" name="il_fi" descr="http://www.oocities.com/pelabzen/lacd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oocities.com/pelabzen/lacdh.gif"/>
                    <pic:cNvPicPr>
                      <a:picLocks noChangeAspect="1" noChangeArrowheads="1"/>
                    </pic:cNvPicPr>
                  </pic:nvPicPr>
                  <pic:blipFill>
                    <a:blip r:embed="rId52" cstate="print"/>
                    <a:srcRect/>
                    <a:stretch>
                      <a:fillRect/>
                    </a:stretch>
                  </pic:blipFill>
                  <pic:spPr bwMode="auto">
                    <a:xfrm>
                      <a:off x="0" y="0"/>
                      <a:ext cx="4141624" cy="1250108"/>
                    </a:xfrm>
                    <a:prstGeom prst="rect">
                      <a:avLst/>
                    </a:prstGeom>
                    <a:noFill/>
                    <a:ln w="9525">
                      <a:noFill/>
                      <a:miter lim="800000"/>
                      <a:headEnd/>
                      <a:tailEnd/>
                    </a:ln>
                  </pic:spPr>
                </pic:pic>
              </a:graphicData>
            </a:graphic>
          </wp:inline>
        </w:drawing>
      </w:r>
    </w:p>
    <w:p w:rsidR="00F67281" w:rsidRPr="00751D14" w:rsidRDefault="00F67281" w:rsidP="00F67281">
      <w:pPr>
        <w:autoSpaceDE w:val="0"/>
        <w:autoSpaceDN w:val="0"/>
        <w:adjustRightInd w:val="0"/>
        <w:rPr>
          <w:rFonts w:ascii="Trebuchet MS" w:eastAsiaTheme="minorHAnsi" w:hAnsi="Trebuchet MS" w:cs="TimesNewRomanPS-BoldMT"/>
          <w:b/>
          <w:bCs/>
          <w:lang w:val="en-US"/>
        </w:rPr>
      </w:pPr>
    </w:p>
    <w:p w:rsidR="00F67281" w:rsidRPr="009E323D" w:rsidRDefault="005E580C" w:rsidP="00F67281">
      <w:pPr>
        <w:autoSpaceDE w:val="0"/>
        <w:autoSpaceDN w:val="0"/>
        <w:adjustRightInd w:val="0"/>
        <w:jc w:val="center"/>
        <w:rPr>
          <w:rFonts w:ascii="Trebuchet MS" w:eastAsiaTheme="minorHAnsi" w:hAnsi="Trebuchet MS" w:cs="TimesNewRomanPS-BoldMT"/>
          <w:bCs/>
          <w:sz w:val="18"/>
        </w:rPr>
      </w:pPr>
      <w:r w:rsidRPr="009E323D">
        <w:rPr>
          <w:rFonts w:ascii="Trebuchet MS" w:eastAsiaTheme="minorHAnsi" w:hAnsi="Trebuchet MS" w:cs="TimesNewRomanPS-BoldMT"/>
          <w:bCs/>
          <w:sz w:val="18"/>
        </w:rPr>
        <w:t>Fig.3.1</w:t>
      </w:r>
      <w:r w:rsidR="007121F8">
        <w:rPr>
          <w:rFonts w:ascii="Trebuchet MS" w:eastAsiaTheme="minorHAnsi" w:hAnsi="Trebuchet MS" w:cs="TimesNewRomanPS-BoldMT"/>
          <w:bCs/>
          <w:sz w:val="18"/>
        </w:rPr>
        <w:t>5</w:t>
      </w:r>
      <w:r w:rsidRPr="009E323D">
        <w:rPr>
          <w:rFonts w:ascii="Trebuchet MS" w:eastAsiaTheme="minorHAnsi" w:hAnsi="Trebuchet MS" w:cs="TimesNewRomanPS-BoldMT"/>
          <w:bCs/>
          <w:sz w:val="18"/>
        </w:rPr>
        <w:t>.</w:t>
      </w:r>
      <w:r w:rsidR="00F67281" w:rsidRPr="009E323D">
        <w:rPr>
          <w:rFonts w:ascii="Trebuchet MS" w:eastAsiaTheme="minorHAnsi" w:hAnsi="Trebuchet MS" w:cs="TimesNewRomanPS-BoldMT"/>
          <w:bCs/>
          <w:sz w:val="18"/>
        </w:rPr>
        <w:t xml:space="preserve"> Reacção de conversão do piruvato a lactato, catalisada pela LDH. </w:t>
      </w:r>
    </w:p>
    <w:p w:rsidR="00F67281" w:rsidRPr="00751D14" w:rsidRDefault="00F67281" w:rsidP="00396595">
      <w:pPr>
        <w:autoSpaceDE w:val="0"/>
        <w:autoSpaceDN w:val="0"/>
        <w:adjustRightInd w:val="0"/>
        <w:spacing w:line="360" w:lineRule="auto"/>
        <w:rPr>
          <w:rFonts w:ascii="Trebuchet MS" w:eastAsiaTheme="minorHAnsi" w:hAnsi="Trebuchet MS" w:cs="TimesNewRomanPS-BoldMT"/>
          <w:b/>
          <w:bCs/>
        </w:rPr>
      </w:pPr>
    </w:p>
    <w:p w:rsidR="00F67281" w:rsidRPr="009E323D" w:rsidRDefault="00F67281" w:rsidP="00F67281">
      <w:pPr>
        <w:autoSpaceDE w:val="0"/>
        <w:autoSpaceDN w:val="0"/>
        <w:adjustRightInd w:val="0"/>
        <w:spacing w:line="360" w:lineRule="auto"/>
        <w:ind w:firstLine="708"/>
        <w:jc w:val="both"/>
        <w:rPr>
          <w:rFonts w:ascii="Trebuchet MS" w:eastAsiaTheme="minorHAnsi" w:hAnsi="Trebuchet MS" w:cs="TimesNewRomanPS-BoldMT"/>
          <w:bCs/>
          <w:sz w:val="20"/>
        </w:rPr>
      </w:pPr>
      <w:r w:rsidRPr="009E323D">
        <w:rPr>
          <w:rFonts w:ascii="Trebuchet MS" w:eastAsiaTheme="minorHAnsi" w:hAnsi="Trebuchet MS" w:cs="TimesNewRomanPS-BoldMT"/>
          <w:bCs/>
          <w:sz w:val="20"/>
        </w:rPr>
        <w:t xml:space="preserve">A quantidade de LDH libertada </w:t>
      </w:r>
      <w:r w:rsidR="00224208">
        <w:rPr>
          <w:rFonts w:ascii="Trebuchet MS" w:eastAsiaTheme="minorHAnsi" w:hAnsi="Trebuchet MS" w:cs="TimesNewRomanPS-BoldMT"/>
          <w:bCs/>
          <w:sz w:val="20"/>
        </w:rPr>
        <w:t xml:space="preserve">pelas </w:t>
      </w:r>
      <w:r w:rsidRPr="009E323D">
        <w:rPr>
          <w:rFonts w:ascii="Trebuchet MS" w:eastAsiaTheme="minorHAnsi" w:hAnsi="Trebuchet MS" w:cs="TimesNewRomanPS-BoldMT"/>
          <w:bCs/>
          <w:sz w:val="20"/>
        </w:rPr>
        <w:t xml:space="preserve">células foi expressa </w:t>
      </w:r>
      <w:r w:rsidR="00224208">
        <w:rPr>
          <w:rFonts w:ascii="Trebuchet MS" w:eastAsiaTheme="minorHAnsi" w:hAnsi="Trebuchet MS" w:cs="TimesNewRomanPS-BoldMT"/>
          <w:bCs/>
          <w:sz w:val="20"/>
        </w:rPr>
        <w:t>em termos de actividade total</w:t>
      </w:r>
      <w:r w:rsidRPr="009E323D">
        <w:rPr>
          <w:rFonts w:ascii="Trebuchet MS" w:eastAsiaTheme="minorHAnsi" w:hAnsi="Trebuchet MS" w:cs="TimesNewRomanPS-BoldMT"/>
          <w:bCs/>
          <w:sz w:val="20"/>
        </w:rPr>
        <w:t xml:space="preserve"> de LDH </w:t>
      </w:r>
      <w:r w:rsidRPr="009E323D">
        <w:rPr>
          <w:rFonts w:ascii="Trebuchet MS" w:eastAsiaTheme="minorHAnsi" w:hAnsi="Trebuchet MS" w:cs="TimesNewRomanPSMT"/>
          <w:sz w:val="20"/>
        </w:rPr>
        <w:t xml:space="preserve">(Takuma </w:t>
      </w:r>
      <w:r w:rsidR="00F96813" w:rsidRPr="009E323D">
        <w:rPr>
          <w:rFonts w:ascii="Trebuchet MS" w:eastAsiaTheme="minorHAnsi" w:hAnsi="Trebuchet MS" w:cs="TimesNewRomanPSMT"/>
          <w:i/>
          <w:sz w:val="20"/>
        </w:rPr>
        <w:t>et al.</w:t>
      </w:r>
      <w:r w:rsidRPr="009E323D">
        <w:rPr>
          <w:rFonts w:ascii="Trebuchet MS" w:eastAsiaTheme="minorHAnsi" w:hAnsi="Trebuchet MS" w:cs="TimesNewRomanPSMT"/>
          <w:sz w:val="20"/>
        </w:rPr>
        <w:t>, 2005)</w:t>
      </w:r>
      <w:r w:rsidRPr="009E323D">
        <w:rPr>
          <w:rFonts w:ascii="Trebuchet MS" w:eastAsiaTheme="minorHAnsi" w:hAnsi="Trebuchet MS" w:cs="TimesNewRomanPS-BoldMT"/>
          <w:bCs/>
          <w:sz w:val="20"/>
        </w:rPr>
        <w:t xml:space="preserve">. </w:t>
      </w:r>
    </w:p>
    <w:p w:rsidR="006D1613" w:rsidRPr="00B76828" w:rsidRDefault="006D1613" w:rsidP="00B76828">
      <w:pPr>
        <w:autoSpaceDE w:val="0"/>
        <w:autoSpaceDN w:val="0"/>
        <w:adjustRightInd w:val="0"/>
        <w:spacing w:line="360" w:lineRule="auto"/>
        <w:ind w:firstLine="708"/>
        <w:jc w:val="both"/>
        <w:rPr>
          <w:rFonts w:ascii="Trebuchet MS" w:eastAsiaTheme="minorHAnsi" w:hAnsi="Trebuchet MS" w:cstheme="minorBidi"/>
          <w:sz w:val="20"/>
        </w:rPr>
      </w:pPr>
    </w:p>
    <w:p w:rsidR="001B5DEE" w:rsidRPr="002861BA" w:rsidRDefault="001B5DEE" w:rsidP="008E42B0">
      <w:pPr>
        <w:rPr>
          <w:rFonts w:ascii="Trebuchet MS" w:hAnsi="Trebuchet MS"/>
          <w:b/>
          <w:smallCaps/>
          <w:shadow/>
          <w:color w:val="333399"/>
          <w:sz w:val="28"/>
        </w:rPr>
      </w:pPr>
      <w:r w:rsidRPr="002861BA">
        <w:rPr>
          <w:rFonts w:ascii="Trebuchet MS" w:hAnsi="Trebuchet MS"/>
          <w:b/>
          <w:smallCaps/>
          <w:shadow/>
          <w:color w:val="333399"/>
          <w:sz w:val="28"/>
        </w:rPr>
        <w:t>3.</w:t>
      </w:r>
      <w:r w:rsidR="000B0FFB">
        <w:rPr>
          <w:rFonts w:ascii="Trebuchet MS" w:hAnsi="Trebuchet MS"/>
          <w:b/>
          <w:smallCaps/>
          <w:shadow/>
          <w:color w:val="333399"/>
          <w:sz w:val="28"/>
        </w:rPr>
        <w:t>4</w:t>
      </w:r>
      <w:r w:rsidRPr="002861BA">
        <w:rPr>
          <w:rFonts w:ascii="Trebuchet MS" w:hAnsi="Trebuchet MS"/>
          <w:b/>
          <w:smallCaps/>
          <w:shadow/>
          <w:color w:val="333399"/>
          <w:sz w:val="28"/>
        </w:rPr>
        <w:t xml:space="preserve">. Análise estatística </w:t>
      </w:r>
    </w:p>
    <w:p w:rsidR="008E42B0" w:rsidRDefault="001B5DEE" w:rsidP="00396595">
      <w:pPr>
        <w:jc w:val="both"/>
        <w:rPr>
          <w:rFonts w:ascii="Trebuchet MS" w:hAnsi="Trebuchet MS"/>
          <w:lang w:eastAsia="pt-PT"/>
        </w:rPr>
      </w:pPr>
      <w:r w:rsidRPr="00751D14">
        <w:rPr>
          <w:rFonts w:ascii="Trebuchet MS" w:hAnsi="Trebuchet MS"/>
          <w:lang w:eastAsia="pt-PT"/>
        </w:rPr>
        <w:tab/>
      </w:r>
    </w:p>
    <w:p w:rsidR="001B5DEE" w:rsidRPr="009E323D" w:rsidRDefault="008E42B0" w:rsidP="001B5DEE">
      <w:pPr>
        <w:spacing w:line="360" w:lineRule="auto"/>
        <w:jc w:val="both"/>
        <w:rPr>
          <w:rFonts w:ascii="Trebuchet MS" w:hAnsi="Trebuchet MS"/>
          <w:sz w:val="20"/>
          <w:lang w:eastAsia="pt-PT"/>
        </w:rPr>
      </w:pPr>
      <w:r>
        <w:rPr>
          <w:rFonts w:ascii="Trebuchet MS" w:hAnsi="Trebuchet MS"/>
          <w:lang w:eastAsia="pt-PT"/>
        </w:rPr>
        <w:tab/>
      </w:r>
      <w:r w:rsidR="001B5DEE" w:rsidRPr="009E323D">
        <w:rPr>
          <w:rFonts w:ascii="Trebuchet MS" w:hAnsi="Trebuchet MS"/>
          <w:bCs/>
          <w:sz w:val="20"/>
          <w:lang w:eastAsia="pt-PT"/>
        </w:rPr>
        <w:t>Os resultados são apresentados como média ± desvio padrão</w:t>
      </w:r>
      <w:r w:rsidR="005B1E49">
        <w:rPr>
          <w:rFonts w:ascii="Trebuchet MS" w:hAnsi="Trebuchet MS"/>
          <w:bCs/>
          <w:sz w:val="20"/>
          <w:lang w:eastAsia="pt-PT"/>
        </w:rPr>
        <w:t xml:space="preserve"> ou como mediana</w:t>
      </w:r>
      <w:r w:rsidR="001B5DEE" w:rsidRPr="009E323D">
        <w:rPr>
          <w:rFonts w:ascii="Trebuchet MS" w:hAnsi="Trebuchet MS"/>
          <w:bCs/>
          <w:sz w:val="20"/>
          <w:lang w:eastAsia="pt-PT"/>
        </w:rPr>
        <w:t xml:space="preserve">. </w:t>
      </w:r>
      <w:r w:rsidR="001B5DEE" w:rsidRPr="009E323D">
        <w:rPr>
          <w:rFonts w:ascii="Trebuchet MS" w:hAnsi="Trebuchet MS"/>
          <w:sz w:val="20"/>
          <w:lang w:eastAsia="pt-PT"/>
        </w:rPr>
        <w:t>A an</w:t>
      </w:r>
      <w:r w:rsidR="001B5DEE" w:rsidRPr="009E323D">
        <w:rPr>
          <w:rFonts w:ascii="Trebuchet MS" w:hAnsi="Trebuchet MS"/>
          <w:sz w:val="20"/>
          <w:lang w:eastAsia="pt-PT"/>
        </w:rPr>
        <w:t>á</w:t>
      </w:r>
      <w:r w:rsidR="001B5DEE" w:rsidRPr="009E323D">
        <w:rPr>
          <w:rFonts w:ascii="Trebuchet MS" w:hAnsi="Trebuchet MS"/>
          <w:sz w:val="20"/>
          <w:lang w:eastAsia="pt-PT"/>
        </w:rPr>
        <w:t xml:space="preserve">lise estatística dos dados das proteínas totais e LDH foi realizada através do Microsoft Office Excel 2007 para Windows. </w:t>
      </w:r>
    </w:p>
    <w:p w:rsidR="001B5DEE" w:rsidRPr="009E323D" w:rsidRDefault="001B5DEE" w:rsidP="001B5DEE">
      <w:pPr>
        <w:spacing w:line="360" w:lineRule="auto"/>
        <w:ind w:firstLine="708"/>
        <w:jc w:val="both"/>
        <w:rPr>
          <w:rFonts w:ascii="Trebuchet MS" w:hAnsi="Trebuchet MS"/>
          <w:sz w:val="20"/>
          <w:lang w:eastAsia="pt-PT"/>
        </w:rPr>
      </w:pPr>
      <w:r w:rsidRPr="009E323D">
        <w:rPr>
          <w:rFonts w:ascii="Trebuchet MS" w:hAnsi="Trebuchet MS"/>
          <w:sz w:val="20"/>
          <w:lang w:eastAsia="pt-PT"/>
        </w:rPr>
        <w:t>Cada condição experimental foi repetida pelo menos 2-3 vezes, com fatias de cérebro de ratos diferentes.</w:t>
      </w:r>
    </w:p>
    <w:p w:rsidR="006F5F65" w:rsidRPr="009E323D" w:rsidRDefault="00D95BA8" w:rsidP="00BA0DE2">
      <w:pPr>
        <w:spacing w:line="360" w:lineRule="auto"/>
        <w:ind w:firstLine="708"/>
        <w:jc w:val="both"/>
        <w:rPr>
          <w:rFonts w:ascii="Trebuchet MS" w:eastAsiaTheme="minorHAnsi" w:hAnsi="Trebuchet MS" w:cstheme="minorBidi"/>
          <w:sz w:val="20"/>
        </w:rPr>
      </w:pPr>
      <w:r w:rsidRPr="009E323D">
        <w:rPr>
          <w:rFonts w:ascii="Trebuchet MS" w:hAnsi="Trebuchet MS"/>
          <w:bCs/>
          <w:sz w:val="20"/>
          <w:lang w:eastAsia="pt-PT"/>
        </w:rPr>
        <w:lastRenderedPageBreak/>
        <w:t xml:space="preserve">A análise estatística foi realizada com o programa SPSS (PASW Statistics 18). </w:t>
      </w:r>
      <w:r w:rsidR="005B1E49">
        <w:rPr>
          <w:rFonts w:ascii="Trebuchet MS" w:hAnsi="Trebuchet MS"/>
          <w:bCs/>
          <w:sz w:val="20"/>
          <w:lang w:eastAsia="pt-PT"/>
        </w:rPr>
        <w:t>A dif</w:t>
      </w:r>
      <w:r w:rsidR="005B1E49">
        <w:rPr>
          <w:rFonts w:ascii="Trebuchet MS" w:hAnsi="Trebuchet MS"/>
          <w:bCs/>
          <w:sz w:val="20"/>
          <w:lang w:eastAsia="pt-PT"/>
        </w:rPr>
        <w:t>e</w:t>
      </w:r>
      <w:r w:rsidR="005B1E49">
        <w:rPr>
          <w:rFonts w:ascii="Trebuchet MS" w:hAnsi="Trebuchet MS"/>
          <w:bCs/>
          <w:sz w:val="20"/>
          <w:lang w:eastAsia="pt-PT"/>
        </w:rPr>
        <w:t>rença entre a média foi analisada através do teste T de Student emparelhado ou desempar</w:t>
      </w:r>
      <w:r w:rsidR="005B1E49">
        <w:rPr>
          <w:rFonts w:ascii="Trebuchet MS" w:hAnsi="Trebuchet MS"/>
          <w:bCs/>
          <w:sz w:val="20"/>
          <w:lang w:eastAsia="pt-PT"/>
        </w:rPr>
        <w:t>e</w:t>
      </w:r>
      <w:r w:rsidR="005B1E49">
        <w:rPr>
          <w:rFonts w:ascii="Trebuchet MS" w:hAnsi="Trebuchet MS"/>
          <w:bCs/>
          <w:sz w:val="20"/>
          <w:lang w:eastAsia="pt-PT"/>
        </w:rPr>
        <w:t xml:space="preserve">lhado ou através da </w:t>
      </w:r>
      <w:r w:rsidR="003457EF">
        <w:rPr>
          <w:rFonts w:ascii="Trebuchet MS" w:hAnsi="Trebuchet MS"/>
          <w:bCs/>
          <w:sz w:val="20"/>
          <w:lang w:eastAsia="pt-PT"/>
        </w:rPr>
        <w:t>A</w:t>
      </w:r>
      <w:r w:rsidR="005B1E49">
        <w:rPr>
          <w:rFonts w:ascii="Trebuchet MS" w:hAnsi="Trebuchet MS"/>
          <w:bCs/>
          <w:sz w:val="20"/>
          <w:lang w:eastAsia="pt-PT"/>
        </w:rPr>
        <w:t>nálise d</w:t>
      </w:r>
      <w:r w:rsidR="003457EF">
        <w:rPr>
          <w:rFonts w:ascii="Trebuchet MS" w:hAnsi="Trebuchet MS"/>
          <w:bCs/>
          <w:sz w:val="20"/>
          <w:lang w:eastAsia="pt-PT"/>
        </w:rPr>
        <w:t>e</w:t>
      </w:r>
      <w:r w:rsidR="005B1E49">
        <w:rPr>
          <w:rFonts w:ascii="Trebuchet MS" w:hAnsi="Trebuchet MS"/>
          <w:bCs/>
          <w:sz w:val="20"/>
          <w:lang w:eastAsia="pt-PT"/>
        </w:rPr>
        <w:t xml:space="preserve"> variância (ANOVA)</w:t>
      </w:r>
      <w:r w:rsidR="002C790F">
        <w:rPr>
          <w:rFonts w:ascii="Trebuchet MS" w:hAnsi="Trebuchet MS"/>
          <w:bCs/>
          <w:sz w:val="20"/>
          <w:lang w:eastAsia="pt-PT"/>
        </w:rPr>
        <w:t>. A diferença entre mediana foi analisada através do teste Wilcoxon (amostras emparelhadas) ou de Mann-Whitney (amostras desemp</w:t>
      </w:r>
      <w:r w:rsidR="002C790F">
        <w:rPr>
          <w:rFonts w:ascii="Trebuchet MS" w:hAnsi="Trebuchet MS"/>
          <w:bCs/>
          <w:sz w:val="20"/>
          <w:lang w:eastAsia="pt-PT"/>
        </w:rPr>
        <w:t>a</w:t>
      </w:r>
      <w:r w:rsidR="002C790F">
        <w:rPr>
          <w:rFonts w:ascii="Trebuchet MS" w:hAnsi="Trebuchet MS"/>
          <w:bCs/>
          <w:sz w:val="20"/>
          <w:lang w:eastAsia="pt-PT"/>
        </w:rPr>
        <w:t>relhadas).</w:t>
      </w:r>
      <w:r w:rsidR="005B1E49">
        <w:rPr>
          <w:rFonts w:ascii="Trebuchet MS" w:hAnsi="Trebuchet MS"/>
          <w:bCs/>
          <w:sz w:val="20"/>
          <w:lang w:eastAsia="pt-PT"/>
        </w:rPr>
        <w:t xml:space="preserve"> </w:t>
      </w:r>
      <w:r w:rsidR="001B5DEE" w:rsidRPr="009E323D">
        <w:rPr>
          <w:rFonts w:ascii="Trebuchet MS" w:hAnsi="Trebuchet MS"/>
          <w:bCs/>
          <w:sz w:val="20"/>
          <w:lang w:eastAsia="pt-PT"/>
        </w:rPr>
        <w:t xml:space="preserve">As diferenças foram consideradas estatisticamente significativas quando </w:t>
      </w:r>
      <w:proofErr w:type="gramStart"/>
      <w:r w:rsidR="001B5DEE" w:rsidRPr="009E323D">
        <w:rPr>
          <w:rFonts w:ascii="Trebuchet MS" w:hAnsi="Trebuchet MS"/>
          <w:bCs/>
          <w:sz w:val="20"/>
          <w:lang w:eastAsia="pt-PT"/>
        </w:rPr>
        <w:t>p&lt;0</w:t>
      </w:r>
      <w:proofErr w:type="gramEnd"/>
      <w:r w:rsidR="001B5DEE" w:rsidRPr="009E323D">
        <w:rPr>
          <w:rFonts w:ascii="Trebuchet MS" w:hAnsi="Trebuchet MS"/>
          <w:bCs/>
          <w:sz w:val="20"/>
          <w:lang w:eastAsia="pt-PT"/>
        </w:rPr>
        <w:t>,05.</w:t>
      </w:r>
      <w:r w:rsidR="001B5DEE" w:rsidRPr="009E323D">
        <w:rPr>
          <w:rFonts w:ascii="Trebuchet MS" w:hAnsi="Trebuchet MS"/>
          <w:sz w:val="20"/>
          <w:lang w:eastAsia="pt-PT"/>
        </w:rPr>
        <w:t xml:space="preserve"> </w:t>
      </w:r>
    </w:p>
    <w:p w:rsidR="006F5F65" w:rsidRPr="00751D14" w:rsidRDefault="006F5F65" w:rsidP="00727764">
      <w:pPr>
        <w:spacing w:line="360" w:lineRule="auto"/>
        <w:contextualSpacing/>
        <w:jc w:val="both"/>
        <w:rPr>
          <w:rFonts w:ascii="Trebuchet MS" w:eastAsiaTheme="minorHAnsi" w:hAnsi="Trebuchet MS" w:cstheme="minorBidi"/>
        </w:rPr>
      </w:pPr>
    </w:p>
    <w:p w:rsidR="006F5F65" w:rsidRPr="00751D14" w:rsidRDefault="006F5F65" w:rsidP="00727764">
      <w:pPr>
        <w:spacing w:line="360" w:lineRule="auto"/>
        <w:contextualSpacing/>
        <w:jc w:val="both"/>
        <w:rPr>
          <w:rFonts w:ascii="Trebuchet MS" w:eastAsiaTheme="minorHAnsi" w:hAnsi="Trebuchet MS" w:cstheme="minorBidi"/>
        </w:rPr>
      </w:pPr>
    </w:p>
    <w:p w:rsidR="006F5F65" w:rsidRPr="00751D14" w:rsidRDefault="006F5F65" w:rsidP="00727764">
      <w:pPr>
        <w:spacing w:line="360" w:lineRule="auto"/>
        <w:contextualSpacing/>
        <w:jc w:val="both"/>
        <w:rPr>
          <w:rFonts w:ascii="Trebuchet MS" w:eastAsiaTheme="minorHAnsi" w:hAnsi="Trebuchet MS" w:cstheme="minorBidi"/>
        </w:rPr>
      </w:pPr>
    </w:p>
    <w:p w:rsidR="00971506" w:rsidRDefault="00971506" w:rsidP="00727764">
      <w:pPr>
        <w:spacing w:line="360" w:lineRule="auto"/>
        <w:contextualSpacing/>
        <w:jc w:val="both"/>
        <w:rPr>
          <w:rFonts w:ascii="Trebuchet MS" w:eastAsiaTheme="minorHAnsi" w:hAnsi="Trebuchet MS" w:cstheme="minorBidi"/>
        </w:rPr>
      </w:pPr>
    </w:p>
    <w:p w:rsidR="00971506" w:rsidRDefault="00971506"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4B0FE4" w:rsidRDefault="004B0FE4"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1F4CD1" w:rsidRDefault="001F4CD1" w:rsidP="00727764">
      <w:pPr>
        <w:spacing w:line="360" w:lineRule="auto"/>
        <w:contextualSpacing/>
        <w:jc w:val="both"/>
        <w:rPr>
          <w:rFonts w:ascii="Trebuchet MS" w:eastAsiaTheme="minorHAnsi" w:hAnsi="Trebuchet MS" w:cstheme="minorBidi"/>
        </w:rPr>
      </w:pPr>
    </w:p>
    <w:p w:rsidR="002B010B" w:rsidRDefault="002B010B" w:rsidP="00CB2FAF">
      <w:pPr>
        <w:spacing w:line="360" w:lineRule="auto"/>
        <w:jc w:val="both"/>
        <w:rPr>
          <w:rFonts w:ascii="Trebuchet MS" w:hAnsi="Trebuchet MS"/>
          <w:lang w:eastAsia="pt-PT"/>
        </w:rPr>
      </w:pPr>
    </w:p>
    <w:p w:rsidR="00CB2FAF" w:rsidRPr="00751D14" w:rsidRDefault="0035151F" w:rsidP="00CB2FAF">
      <w:pPr>
        <w:spacing w:line="360" w:lineRule="auto"/>
        <w:jc w:val="both"/>
        <w:rPr>
          <w:rFonts w:ascii="Trebuchet MS" w:hAnsi="Trebuchet MS"/>
          <w:lang w:eastAsia="pt-PT"/>
        </w:rPr>
      </w:pPr>
      <w:r>
        <w:rPr>
          <w:rFonts w:ascii="Trebuchet MS" w:hAnsi="Trebuchet MS"/>
          <w:noProof/>
          <w:lang w:eastAsia="pt-PT"/>
        </w:rPr>
        <w:lastRenderedPageBreak/>
        <w:pict>
          <v:group id="_x0000_s3184" style="position:absolute;left:0;text-align:left;margin-left:-1.15pt;margin-top:2.45pt;width:426.9pt;height:33.35pt;z-index:251686400" coordorigin="1678,3480" coordsize="8538,472">
            <v:shape id="_x0000_s3185" type="#_x0000_t202" style="position:absolute;left:1678;top:3480;width:8538;height:454" fillcolor="#669" stroked="f" strokecolor="#669" strokeweight="1pt">
              <v:fill opacity="46531f" color2="#ccdaec" o:opacity2="54395f" rotate="t" focusposition=".5,.5" focussize="" focus="100%" type="gradient"/>
              <v:textbox style="mso-next-textbox:#_x0000_s3185" inset=",0,,0">
                <w:txbxContent>
                  <w:p w:rsidR="00046EA7" w:rsidRPr="002861BA" w:rsidRDefault="00046EA7" w:rsidP="00CB2FAF">
                    <w:pPr>
                      <w:autoSpaceDE w:val="0"/>
                      <w:autoSpaceDN w:val="0"/>
                      <w:adjustRightInd w:val="0"/>
                      <w:spacing w:before="60"/>
                      <w:jc w:val="both"/>
                      <w:rPr>
                        <w:rFonts w:ascii="Candara" w:hAnsi="Candara" w:cs="Bookman Old Style"/>
                        <w:b/>
                        <w:shadow/>
                        <w:color w:val="333399"/>
                        <w:sz w:val="44"/>
                        <w:szCs w:val="28"/>
                        <w:lang w:val="pt-BR"/>
                      </w:rPr>
                    </w:pPr>
                    <w:r w:rsidRPr="002861BA">
                      <w:rPr>
                        <w:rFonts w:ascii="Candara" w:hAnsi="Candara"/>
                        <w:b/>
                        <w:shadow/>
                        <w:color w:val="333399"/>
                        <w:sz w:val="44"/>
                        <w:szCs w:val="28"/>
                        <w:lang w:val="pt-BR"/>
                      </w:rPr>
                      <w:t xml:space="preserve"> </w:t>
                    </w:r>
                    <w:r w:rsidRPr="002861BA">
                      <w:rPr>
                        <w:rFonts w:ascii="Candara" w:hAnsi="Candara"/>
                        <w:b/>
                        <w:shadow/>
                        <w:color w:val="333399"/>
                        <w:sz w:val="44"/>
                        <w:szCs w:val="28"/>
                        <w:lang w:val="pt-BR"/>
                      </w:rPr>
                      <w:t>4. Resultados e Discussão</w:t>
                    </w:r>
                  </w:p>
                  <w:p w:rsidR="00046EA7" w:rsidRPr="00C52C26" w:rsidRDefault="00046EA7" w:rsidP="00CB2FAF">
                    <w:pPr>
                      <w:rPr>
                        <w:rFonts w:ascii="Candara" w:hAnsi="Candara"/>
                      </w:rPr>
                    </w:pPr>
                  </w:p>
                </w:txbxContent>
              </v:textbox>
            </v:shape>
            <v:shape id="_x0000_s3186" type="#_x0000_t32" style="position:absolute;left:1678;top:3952;width:8538;height:0" o:connectortype="straight" strokecolor="#339" strokeweight="1.5pt"/>
          </v:group>
        </w:pict>
      </w:r>
    </w:p>
    <w:p w:rsidR="00CB2FAF" w:rsidRPr="00751D14" w:rsidRDefault="00CB2FAF" w:rsidP="00CB2FAF">
      <w:pPr>
        <w:ind w:firstLine="180"/>
        <w:jc w:val="both"/>
        <w:rPr>
          <w:rFonts w:ascii="Trebuchet MS" w:hAnsi="Trebuchet MS"/>
          <w:b/>
          <w:smallCaps/>
          <w:shadow/>
          <w:color w:val="333399"/>
          <w:sz w:val="26"/>
          <w:szCs w:val="26"/>
        </w:rPr>
      </w:pPr>
    </w:p>
    <w:p w:rsidR="002861BA" w:rsidRDefault="00CC7326" w:rsidP="00B266FF">
      <w:pPr>
        <w:spacing w:line="360" w:lineRule="auto"/>
        <w:jc w:val="both"/>
        <w:rPr>
          <w:rFonts w:ascii="Trebuchet MS" w:eastAsiaTheme="minorHAnsi" w:hAnsi="Trebuchet MS" w:cs="AdvTimes"/>
          <w:sz w:val="22"/>
          <w:szCs w:val="22"/>
        </w:rPr>
      </w:pPr>
      <w:r w:rsidRPr="00751D14">
        <w:rPr>
          <w:rFonts w:ascii="Trebuchet MS" w:eastAsiaTheme="minorHAnsi" w:hAnsi="Trebuchet MS" w:cs="AdvTimes"/>
          <w:sz w:val="22"/>
          <w:szCs w:val="22"/>
        </w:rPr>
        <w:tab/>
      </w:r>
    </w:p>
    <w:p w:rsidR="00B266FF" w:rsidRPr="00C65DA3" w:rsidRDefault="002861BA" w:rsidP="00B266FF">
      <w:pPr>
        <w:spacing w:line="360" w:lineRule="auto"/>
        <w:jc w:val="both"/>
        <w:rPr>
          <w:rFonts w:ascii="Trebuchet MS" w:eastAsiaTheme="minorHAnsi" w:hAnsi="Trebuchet MS" w:cs="Arial"/>
          <w:sz w:val="20"/>
        </w:rPr>
      </w:pPr>
      <w:r>
        <w:rPr>
          <w:rFonts w:ascii="Trebuchet MS" w:eastAsiaTheme="minorHAnsi" w:hAnsi="Trebuchet MS" w:cs="AdvTimes"/>
          <w:sz w:val="22"/>
          <w:szCs w:val="22"/>
        </w:rPr>
        <w:tab/>
      </w:r>
      <w:r w:rsidR="002B010B">
        <w:rPr>
          <w:rFonts w:ascii="Trebuchet MS" w:eastAsiaTheme="minorHAnsi" w:hAnsi="Trebuchet MS" w:cs="AdvTimes"/>
          <w:sz w:val="20"/>
          <w:szCs w:val="22"/>
        </w:rPr>
        <w:t>U</w:t>
      </w:r>
      <w:r w:rsidR="00CC7326" w:rsidRPr="00C65DA3">
        <w:rPr>
          <w:rFonts w:ascii="Trebuchet MS" w:eastAsiaTheme="minorHAnsi" w:hAnsi="Trebuchet MS" w:cs="AdvTimes"/>
          <w:sz w:val="20"/>
          <w:szCs w:val="22"/>
        </w:rPr>
        <w:t>m dos objectivos deste trabalho de investigação foi estudar o fenómeno do pré-condicionamento isquémico a insultos neurotóxicos, determinando se aplicação prévia de um insulto subletal ligeiro (não neurotóxico) previne o dano causado por um insulto maior aplic</w:t>
      </w:r>
      <w:r w:rsidR="00CC7326" w:rsidRPr="00C65DA3">
        <w:rPr>
          <w:rFonts w:ascii="Trebuchet MS" w:eastAsiaTheme="minorHAnsi" w:hAnsi="Trebuchet MS" w:cs="AdvTimes"/>
          <w:sz w:val="20"/>
          <w:szCs w:val="22"/>
        </w:rPr>
        <w:t>a</w:t>
      </w:r>
      <w:r w:rsidR="00CC7326" w:rsidRPr="00C65DA3">
        <w:rPr>
          <w:rFonts w:ascii="Trebuchet MS" w:eastAsiaTheme="minorHAnsi" w:hAnsi="Trebuchet MS" w:cs="AdvTimes"/>
          <w:sz w:val="20"/>
          <w:szCs w:val="22"/>
        </w:rPr>
        <w:t xml:space="preserve">do posteriormente. </w:t>
      </w:r>
      <w:r w:rsidR="00B266FF" w:rsidRPr="00C65DA3">
        <w:rPr>
          <w:rFonts w:ascii="Trebuchet MS" w:eastAsiaTheme="minorHAnsi" w:hAnsi="Trebuchet MS" w:cs="Arial"/>
          <w:sz w:val="20"/>
        </w:rPr>
        <w:t>No entanto, o efeito do IPC, em animais adultos não está esclarecido, apesar da resistência à isquémia ser menor em animais adultos.</w:t>
      </w:r>
    </w:p>
    <w:p w:rsidR="003A3A73" w:rsidRPr="00C65DA3" w:rsidRDefault="003A3A73" w:rsidP="003A3A73">
      <w:pPr>
        <w:overflowPunct w:val="0"/>
        <w:autoSpaceDE w:val="0"/>
        <w:autoSpaceDN w:val="0"/>
        <w:adjustRightInd w:val="0"/>
        <w:spacing w:line="360" w:lineRule="auto"/>
        <w:ind w:firstLine="708"/>
        <w:jc w:val="both"/>
        <w:textAlignment w:val="baseline"/>
        <w:rPr>
          <w:rFonts w:ascii="Trebuchet MS" w:hAnsi="Trebuchet MS" w:cs="Arial"/>
          <w:sz w:val="20"/>
          <w:szCs w:val="20"/>
        </w:rPr>
      </w:pPr>
      <w:r w:rsidRPr="00C65DA3">
        <w:rPr>
          <w:rFonts w:ascii="Trebuchet MS" w:hAnsi="Trebuchet MS" w:cs="Arial"/>
          <w:sz w:val="20"/>
          <w:szCs w:val="20"/>
        </w:rPr>
        <w:t>O efeito do pré-condicionamento a insultos isquémicos neurotóxicos, por aplicação de insultos isquémicos ligeiros será comparado com o efeito do pré-condicionamento por aplic</w:t>
      </w:r>
      <w:r w:rsidRPr="00C65DA3">
        <w:rPr>
          <w:rFonts w:ascii="Trebuchet MS" w:hAnsi="Trebuchet MS" w:cs="Arial"/>
          <w:sz w:val="20"/>
          <w:szCs w:val="20"/>
        </w:rPr>
        <w:t>a</w:t>
      </w:r>
      <w:r w:rsidRPr="00C65DA3">
        <w:rPr>
          <w:rFonts w:ascii="Trebuchet MS" w:hAnsi="Trebuchet MS" w:cs="Arial"/>
          <w:sz w:val="20"/>
          <w:szCs w:val="20"/>
        </w:rPr>
        <w:t xml:space="preserve">ção de agonistas do </w:t>
      </w:r>
      <w:r w:rsidRPr="00C65DA3">
        <w:rPr>
          <w:rFonts w:ascii="Trebuchet MS" w:hAnsi="Trebuchet MS" w:cs="Arial"/>
          <w:sz w:val="20"/>
        </w:rPr>
        <w:t>A</w:t>
      </w:r>
      <w:r w:rsidRPr="00C65DA3">
        <w:rPr>
          <w:rFonts w:ascii="Trebuchet MS" w:hAnsi="Trebuchet MS" w:cs="Arial"/>
          <w:sz w:val="20"/>
          <w:vertAlign w:val="subscript"/>
        </w:rPr>
        <w:t>1</w:t>
      </w:r>
      <w:r w:rsidRPr="00C65DA3">
        <w:rPr>
          <w:rFonts w:ascii="Trebuchet MS" w:hAnsi="Trebuchet MS" w:cs="Arial"/>
          <w:sz w:val="20"/>
        </w:rPr>
        <w:t>R</w:t>
      </w:r>
      <w:r w:rsidRPr="00C65DA3">
        <w:rPr>
          <w:rFonts w:ascii="Trebuchet MS" w:hAnsi="Trebuchet MS" w:cs="Arial"/>
          <w:sz w:val="20"/>
          <w:szCs w:val="20"/>
        </w:rPr>
        <w:t>, em fatias recém preparadas de hipocampo de ratos adultos. O efeito neuroprotector será avaliado por quantificação da sobrevivência celular</w:t>
      </w:r>
      <w:r w:rsidR="00D8616C">
        <w:rPr>
          <w:rFonts w:ascii="Trebuchet MS" w:hAnsi="Trebuchet MS" w:cs="Arial"/>
          <w:sz w:val="20"/>
          <w:szCs w:val="20"/>
        </w:rPr>
        <w:t xml:space="preserve"> e da </w:t>
      </w:r>
      <w:r w:rsidRPr="00C65DA3">
        <w:rPr>
          <w:rFonts w:ascii="Trebuchet MS" w:hAnsi="Trebuchet MS" w:cs="Arial"/>
          <w:sz w:val="20"/>
          <w:szCs w:val="20"/>
        </w:rPr>
        <w:t>morte celular (apoptose/necrose).</w:t>
      </w:r>
    </w:p>
    <w:p w:rsidR="00B266FF" w:rsidRDefault="00B266FF" w:rsidP="00B266FF">
      <w:pPr>
        <w:jc w:val="both"/>
        <w:rPr>
          <w:rFonts w:ascii="Trebuchet MS" w:eastAsiaTheme="minorHAnsi" w:hAnsi="Trebuchet MS" w:cstheme="minorBidi"/>
        </w:rPr>
      </w:pPr>
    </w:p>
    <w:p w:rsidR="007C58FB" w:rsidRPr="00751D14" w:rsidRDefault="00CB2FAF" w:rsidP="00DE42F5">
      <w:pPr>
        <w:ind w:firstLine="180"/>
        <w:jc w:val="both"/>
        <w:rPr>
          <w:rFonts w:ascii="Trebuchet MS" w:eastAsiaTheme="minorHAnsi" w:hAnsi="Trebuchet MS" w:cstheme="minorBidi"/>
          <w:szCs w:val="20"/>
        </w:rPr>
      </w:pPr>
      <w:r w:rsidRPr="002861BA">
        <w:rPr>
          <w:rFonts w:ascii="Trebuchet MS" w:hAnsi="Trebuchet MS"/>
          <w:b/>
          <w:smallCaps/>
          <w:shadow/>
          <w:color w:val="333399"/>
          <w:sz w:val="28"/>
          <w:szCs w:val="26"/>
        </w:rPr>
        <w:t xml:space="preserve">4.1. </w:t>
      </w:r>
      <w:r w:rsidR="0035463E" w:rsidRPr="002861BA">
        <w:rPr>
          <w:rFonts w:ascii="Trebuchet MS" w:hAnsi="Trebuchet MS"/>
          <w:b/>
          <w:smallCaps/>
          <w:shadow/>
          <w:color w:val="333399"/>
          <w:sz w:val="28"/>
          <w:szCs w:val="26"/>
        </w:rPr>
        <w:t xml:space="preserve">Efeito neuroprotector do </w:t>
      </w:r>
      <w:r w:rsidR="00E81358" w:rsidRPr="002861BA">
        <w:rPr>
          <w:rFonts w:ascii="Trebuchet MS" w:hAnsi="Trebuchet MS"/>
          <w:b/>
          <w:smallCaps/>
          <w:shadow/>
          <w:color w:val="333399"/>
          <w:sz w:val="28"/>
          <w:szCs w:val="26"/>
        </w:rPr>
        <w:t>Pré-condicionamento</w:t>
      </w:r>
      <w:r w:rsidR="0035463E" w:rsidRPr="002861BA">
        <w:rPr>
          <w:rFonts w:ascii="Trebuchet MS" w:hAnsi="Trebuchet MS"/>
          <w:b/>
          <w:smallCaps/>
          <w:shadow/>
          <w:color w:val="333399"/>
          <w:sz w:val="28"/>
          <w:szCs w:val="26"/>
        </w:rPr>
        <w:t xml:space="preserve"> isquémico</w:t>
      </w:r>
      <w:r w:rsidR="00D8616C">
        <w:rPr>
          <w:rFonts w:ascii="Trebuchet MS" w:hAnsi="Trebuchet MS"/>
          <w:b/>
          <w:smallCaps/>
          <w:shadow/>
          <w:color w:val="333399"/>
          <w:sz w:val="28"/>
          <w:szCs w:val="26"/>
        </w:rPr>
        <w:t xml:space="preserve"> (IPC)</w:t>
      </w:r>
    </w:p>
    <w:p w:rsidR="00DE42F5" w:rsidRDefault="00DE42F5" w:rsidP="002F6DC6">
      <w:pPr>
        <w:spacing w:line="360" w:lineRule="auto"/>
        <w:ind w:firstLine="720"/>
        <w:jc w:val="both"/>
        <w:rPr>
          <w:rFonts w:ascii="Trebuchet MS" w:eastAsiaTheme="minorHAnsi" w:hAnsi="Trebuchet MS" w:cstheme="minorBidi"/>
          <w:szCs w:val="20"/>
        </w:rPr>
      </w:pPr>
    </w:p>
    <w:p w:rsidR="008B252F" w:rsidRDefault="00D8616C" w:rsidP="006F5C08">
      <w:pPr>
        <w:spacing w:after="200" w:line="360" w:lineRule="auto"/>
        <w:ind w:firstLine="720"/>
        <w:jc w:val="both"/>
        <w:rPr>
          <w:rFonts w:ascii="Trebuchet MS" w:eastAsiaTheme="minorHAnsi" w:hAnsi="Trebuchet MS" w:cstheme="minorBidi"/>
          <w:sz w:val="20"/>
          <w:szCs w:val="20"/>
        </w:rPr>
      </w:pPr>
      <w:r>
        <w:rPr>
          <w:rFonts w:ascii="Trebuchet MS" w:eastAsiaTheme="minorHAnsi" w:hAnsi="Trebuchet MS" w:cstheme="minorBidi"/>
          <w:sz w:val="20"/>
          <w:szCs w:val="20"/>
        </w:rPr>
        <w:t>Começou-se por avaliar o efeito do</w:t>
      </w:r>
      <w:r w:rsidR="00D95A0C" w:rsidRPr="00066EF6">
        <w:rPr>
          <w:rFonts w:ascii="Trebuchet MS" w:eastAsiaTheme="minorHAnsi" w:hAnsi="Trebuchet MS" w:cstheme="minorBidi"/>
          <w:sz w:val="20"/>
          <w:szCs w:val="20"/>
        </w:rPr>
        <w:t xml:space="preserve"> </w:t>
      </w:r>
      <w:r w:rsidR="00D95A0C" w:rsidRPr="00066EF6">
        <w:rPr>
          <w:rFonts w:ascii="Trebuchet MS" w:eastAsiaTheme="minorHAnsi" w:hAnsi="Trebuchet MS" w:cstheme="minorBidi"/>
          <w:b/>
          <w:sz w:val="20"/>
          <w:szCs w:val="20"/>
        </w:rPr>
        <w:t>número de insultos n</w:t>
      </w:r>
      <w:r w:rsidR="00A07556" w:rsidRPr="00066EF6">
        <w:rPr>
          <w:rFonts w:ascii="Trebuchet MS" w:eastAsiaTheme="minorHAnsi" w:hAnsi="Trebuchet MS" w:cstheme="minorBidi"/>
          <w:b/>
          <w:sz w:val="20"/>
          <w:szCs w:val="20"/>
        </w:rPr>
        <w:t>ão neurotóxicos</w:t>
      </w:r>
      <w:r w:rsidR="00D95A0C" w:rsidRPr="00066EF6">
        <w:rPr>
          <w:rFonts w:ascii="Trebuchet MS" w:eastAsiaTheme="minorHAnsi" w:hAnsi="Trebuchet MS" w:cstheme="minorBidi"/>
          <w:b/>
          <w:sz w:val="20"/>
          <w:szCs w:val="20"/>
        </w:rPr>
        <w:t xml:space="preserve"> </w:t>
      </w:r>
      <w:r w:rsidR="00682385" w:rsidRPr="00066EF6">
        <w:rPr>
          <w:rFonts w:ascii="Trebuchet MS" w:eastAsiaTheme="minorHAnsi" w:hAnsi="Trebuchet MS" w:cstheme="minorBidi"/>
          <w:b/>
          <w:sz w:val="20"/>
          <w:szCs w:val="20"/>
        </w:rPr>
        <w:t>no IPC</w:t>
      </w:r>
      <w:r>
        <w:rPr>
          <w:rFonts w:ascii="Trebuchet MS" w:eastAsiaTheme="minorHAnsi" w:hAnsi="Trebuchet MS" w:cstheme="minorBidi"/>
          <w:sz w:val="20"/>
          <w:szCs w:val="20"/>
        </w:rPr>
        <w:t xml:space="preserve">. Para tal </w:t>
      </w:r>
      <w:r w:rsidR="00682385" w:rsidRPr="00066EF6">
        <w:rPr>
          <w:rFonts w:ascii="Trebuchet MS" w:eastAsiaTheme="minorHAnsi" w:hAnsi="Trebuchet MS" w:cstheme="minorBidi"/>
          <w:sz w:val="20"/>
          <w:szCs w:val="20"/>
        </w:rPr>
        <w:t>procedeu-se ao estudo do IPC na presença de um insulto de 3 minutos</w:t>
      </w:r>
      <w:r w:rsidR="00002226" w:rsidRPr="00066EF6">
        <w:rPr>
          <w:rFonts w:ascii="Trebuchet MS" w:eastAsiaTheme="minorHAnsi" w:hAnsi="Trebuchet MS" w:cstheme="minorBidi"/>
          <w:sz w:val="20"/>
          <w:szCs w:val="20"/>
        </w:rPr>
        <w:t xml:space="preserve"> de POG</w:t>
      </w:r>
      <w:r w:rsidR="00682385" w:rsidRPr="00066EF6">
        <w:rPr>
          <w:rFonts w:ascii="Trebuchet MS" w:eastAsiaTheme="minorHAnsi" w:hAnsi="Trebuchet MS" w:cstheme="minorBidi"/>
          <w:sz w:val="20"/>
          <w:szCs w:val="20"/>
        </w:rPr>
        <w:t xml:space="preserve"> </w:t>
      </w:r>
      <w:r w:rsidR="00002226" w:rsidRPr="00066EF6">
        <w:rPr>
          <w:rFonts w:ascii="Trebuchet MS" w:eastAsiaTheme="minorHAnsi" w:hAnsi="Trebuchet MS" w:cstheme="minorBidi"/>
          <w:sz w:val="20"/>
          <w:szCs w:val="20"/>
        </w:rPr>
        <w:t>e na presença de dois insultos repetidos (3 minutos de POG, com intervalo de tempo de 17 minutos entre o primeiro e o segundo insulto subletal)</w:t>
      </w:r>
      <w:r w:rsidR="006F5C08" w:rsidRPr="00066EF6">
        <w:rPr>
          <w:rFonts w:ascii="Trebuchet MS" w:eastAsiaTheme="minorHAnsi" w:hAnsi="Trebuchet MS" w:cstheme="minorBidi"/>
          <w:sz w:val="20"/>
          <w:szCs w:val="20"/>
        </w:rPr>
        <w:t xml:space="preserve">. </w:t>
      </w:r>
      <w:r>
        <w:rPr>
          <w:rFonts w:ascii="Trebuchet MS" w:eastAsiaTheme="minorHAnsi" w:hAnsi="Trebuchet MS" w:cstheme="minorBidi"/>
          <w:sz w:val="20"/>
          <w:szCs w:val="20"/>
        </w:rPr>
        <w:t>O</w:t>
      </w:r>
      <w:r w:rsidR="00DA0BF2">
        <w:rPr>
          <w:rFonts w:ascii="Trebuchet MS" w:eastAsiaTheme="minorHAnsi" w:hAnsi="Trebuchet MS" w:cstheme="minorBidi"/>
          <w:sz w:val="20"/>
          <w:szCs w:val="20"/>
        </w:rPr>
        <w:t xml:space="preserve"> intervalo de tempo de recuperação entre o IPC e a aplicação d</w:t>
      </w:r>
      <w:r>
        <w:rPr>
          <w:rFonts w:ascii="Trebuchet MS" w:eastAsiaTheme="minorHAnsi" w:hAnsi="Trebuchet MS" w:cstheme="minorBidi"/>
          <w:sz w:val="20"/>
          <w:szCs w:val="20"/>
        </w:rPr>
        <w:t>o insulto neurotóxico (</w:t>
      </w:r>
      <w:r w:rsidR="00DA0BF2">
        <w:rPr>
          <w:rFonts w:ascii="Trebuchet MS" w:eastAsiaTheme="minorHAnsi" w:hAnsi="Trebuchet MS" w:cstheme="minorBidi"/>
          <w:sz w:val="20"/>
          <w:szCs w:val="20"/>
        </w:rPr>
        <w:t>POG</w:t>
      </w:r>
      <w:r>
        <w:rPr>
          <w:rFonts w:ascii="Trebuchet MS" w:eastAsiaTheme="minorHAnsi" w:hAnsi="Trebuchet MS" w:cstheme="minorBidi"/>
          <w:sz w:val="20"/>
          <w:szCs w:val="20"/>
        </w:rPr>
        <w:t>) foi de 3 horas.</w:t>
      </w:r>
      <w:r w:rsidR="000B07B8">
        <w:rPr>
          <w:rFonts w:ascii="Trebuchet MS" w:eastAsiaTheme="minorHAnsi" w:hAnsi="Trebuchet MS" w:cstheme="minorBidi"/>
          <w:sz w:val="20"/>
          <w:szCs w:val="20"/>
        </w:rPr>
        <w:t xml:space="preserve"> A duração do insulto neurotóx</w:t>
      </w:r>
      <w:r w:rsidR="000B07B8">
        <w:rPr>
          <w:rFonts w:ascii="Trebuchet MS" w:eastAsiaTheme="minorHAnsi" w:hAnsi="Trebuchet MS" w:cstheme="minorBidi"/>
          <w:sz w:val="20"/>
          <w:szCs w:val="20"/>
        </w:rPr>
        <w:t>i</w:t>
      </w:r>
      <w:r w:rsidR="000B07B8">
        <w:rPr>
          <w:rFonts w:ascii="Trebuchet MS" w:eastAsiaTheme="minorHAnsi" w:hAnsi="Trebuchet MS" w:cstheme="minorBidi"/>
          <w:sz w:val="20"/>
          <w:szCs w:val="20"/>
        </w:rPr>
        <w:t xml:space="preserve">co foi de 20 minutos, com </w:t>
      </w:r>
      <w:r w:rsidR="00BC5B76">
        <w:rPr>
          <w:rFonts w:ascii="Trebuchet MS" w:eastAsiaTheme="minorHAnsi" w:hAnsi="Trebuchet MS" w:cstheme="minorBidi"/>
          <w:sz w:val="20"/>
          <w:szCs w:val="20"/>
        </w:rPr>
        <w:t>uma hora</w:t>
      </w:r>
      <w:r w:rsidR="000B07B8">
        <w:rPr>
          <w:rFonts w:ascii="Trebuchet MS" w:eastAsiaTheme="minorHAnsi" w:hAnsi="Trebuchet MS" w:cstheme="minorBidi"/>
          <w:sz w:val="20"/>
          <w:szCs w:val="20"/>
        </w:rPr>
        <w:t xml:space="preserve"> de recuperação após POG.</w:t>
      </w:r>
      <w:r w:rsidR="009819C0">
        <w:rPr>
          <w:rFonts w:ascii="Trebuchet MS" w:eastAsiaTheme="minorHAnsi" w:hAnsi="Trebuchet MS" w:cstheme="minorBidi"/>
          <w:sz w:val="20"/>
          <w:szCs w:val="20"/>
        </w:rPr>
        <w:t xml:space="preserve"> </w:t>
      </w:r>
    </w:p>
    <w:p w:rsidR="003A5FDE" w:rsidRPr="00176DEF" w:rsidRDefault="003A5FDE" w:rsidP="003A5FDE">
      <w:pPr>
        <w:spacing w:after="200" w:line="360" w:lineRule="auto"/>
        <w:ind w:firstLine="720"/>
        <w:jc w:val="both"/>
        <w:rPr>
          <w:rFonts w:ascii="Trebuchet MS" w:eastAsiaTheme="minorHAnsi" w:hAnsi="Trebuchet MS" w:cstheme="minorBidi"/>
          <w:sz w:val="20"/>
          <w:szCs w:val="20"/>
        </w:rPr>
      </w:pPr>
      <w:r>
        <w:rPr>
          <w:rFonts w:ascii="Trebuchet MS" w:eastAsiaTheme="minorHAnsi" w:hAnsi="Trebuchet MS" w:cstheme="minorBidi"/>
          <w:sz w:val="20"/>
          <w:szCs w:val="20"/>
        </w:rPr>
        <w:t>Como se pode observar pela figura 4.1., os resultados sugerem que no pré-condicionamento isquémico, a aplicação de dois insultos subletais repetidos confere maior sobrevivência neuronal face a aplicação de um insulto isolado (aumentou 25% a taxa sobrev</w:t>
      </w:r>
      <w:r>
        <w:rPr>
          <w:rFonts w:ascii="Trebuchet MS" w:eastAsiaTheme="minorHAnsi" w:hAnsi="Trebuchet MS" w:cstheme="minorBidi"/>
          <w:sz w:val="20"/>
          <w:szCs w:val="20"/>
        </w:rPr>
        <w:t>i</w:t>
      </w:r>
      <w:r>
        <w:rPr>
          <w:rFonts w:ascii="Trebuchet MS" w:eastAsiaTheme="minorHAnsi" w:hAnsi="Trebuchet MS" w:cstheme="minorBidi"/>
          <w:sz w:val="20"/>
          <w:szCs w:val="20"/>
        </w:rPr>
        <w:t>vência neuronal). A percentagem de viabilidade do controlo (20 minutos POG, sem IPC) obtida para 1xIPC foi de 116% ± 12% (n=3) e para 2xIPC foi de 145% ± 18% (n=3), embora a diferença não seja estatisticamente significativa. Como os resultados sugerem que a neuroprotecção conferida pelo IPC seja superior quando se aplica dois estímulos de pré-condicionamento isquémico passou-se a util</w:t>
      </w:r>
      <w:r>
        <w:rPr>
          <w:rFonts w:ascii="Trebuchet MS" w:eastAsiaTheme="minorHAnsi" w:hAnsi="Trebuchet MS" w:cstheme="minorBidi"/>
          <w:sz w:val="20"/>
          <w:szCs w:val="20"/>
        </w:rPr>
        <w:t>i</w:t>
      </w:r>
      <w:r>
        <w:rPr>
          <w:rFonts w:ascii="Trebuchet MS" w:eastAsiaTheme="minorHAnsi" w:hAnsi="Trebuchet MS" w:cstheme="minorBidi"/>
          <w:sz w:val="20"/>
          <w:szCs w:val="20"/>
        </w:rPr>
        <w:t>zar este protocolo de IPC nas experiências posteriores.</w:t>
      </w:r>
    </w:p>
    <w:p w:rsidR="000152D0" w:rsidRPr="00066EF6" w:rsidRDefault="000152D0" w:rsidP="000152D0">
      <w:pPr>
        <w:autoSpaceDE w:val="0"/>
        <w:autoSpaceDN w:val="0"/>
        <w:adjustRightInd w:val="0"/>
        <w:spacing w:line="360" w:lineRule="auto"/>
        <w:ind w:firstLine="720"/>
        <w:jc w:val="both"/>
        <w:rPr>
          <w:rFonts w:ascii="Trebuchet MS" w:hAnsi="Trebuchet MS"/>
          <w:sz w:val="20"/>
        </w:rPr>
      </w:pPr>
      <w:r w:rsidRPr="00066EF6">
        <w:rPr>
          <w:rFonts w:ascii="Trebuchet MS" w:eastAsiaTheme="minorHAnsi" w:hAnsi="Trebuchet MS" w:cstheme="minorBidi"/>
          <w:sz w:val="20"/>
        </w:rPr>
        <w:t xml:space="preserve">Os efeitos da isquémia são dependentes do tempo (Toner </w:t>
      </w:r>
      <w:r w:rsidRPr="00066EF6">
        <w:rPr>
          <w:rFonts w:ascii="Trebuchet MS" w:eastAsiaTheme="minorHAnsi" w:hAnsi="Trebuchet MS" w:cstheme="minorBidi"/>
          <w:i/>
          <w:sz w:val="20"/>
        </w:rPr>
        <w:t>et al.</w:t>
      </w:r>
      <w:r w:rsidRPr="00066EF6">
        <w:rPr>
          <w:rFonts w:ascii="Trebuchet MS" w:eastAsiaTheme="minorHAnsi" w:hAnsi="Trebuchet MS" w:cstheme="minorBidi"/>
          <w:sz w:val="20"/>
        </w:rPr>
        <w:t>, 2002).</w:t>
      </w:r>
      <w:r w:rsidRPr="00066EF6">
        <w:rPr>
          <w:rFonts w:ascii="Trebuchet MS" w:hAnsi="Trebuchet MS"/>
          <w:sz w:val="20"/>
        </w:rPr>
        <w:t xml:space="preserve"> Toner </w:t>
      </w:r>
      <w:r w:rsidRPr="00066EF6">
        <w:rPr>
          <w:rFonts w:ascii="Trebuchet MS" w:hAnsi="Trebuchet MS"/>
          <w:i/>
          <w:sz w:val="20"/>
        </w:rPr>
        <w:t xml:space="preserve">et al. </w:t>
      </w:r>
      <w:r w:rsidRPr="00066EF6">
        <w:rPr>
          <w:rFonts w:ascii="Trebuchet MS" w:hAnsi="Trebuchet MS"/>
          <w:sz w:val="20"/>
        </w:rPr>
        <w:t xml:space="preserve">(2002) </w:t>
      </w:r>
      <w:r>
        <w:rPr>
          <w:rFonts w:ascii="Trebuchet MS" w:hAnsi="Trebuchet MS"/>
          <w:sz w:val="20"/>
        </w:rPr>
        <w:t>observou</w:t>
      </w:r>
      <w:r w:rsidRPr="00066EF6">
        <w:rPr>
          <w:rFonts w:ascii="Trebuchet MS" w:hAnsi="Trebuchet MS"/>
          <w:sz w:val="20"/>
        </w:rPr>
        <w:t xml:space="preserve"> que à medida que a duração de POG aumentava (10-30 minutos), as fatias de cérebro ficavam menos coradas porque estavam mais lesadas, ou seja, comprovou uma dim</w:t>
      </w:r>
      <w:r w:rsidRPr="00066EF6">
        <w:rPr>
          <w:rFonts w:ascii="Trebuchet MS" w:hAnsi="Trebuchet MS"/>
          <w:sz w:val="20"/>
        </w:rPr>
        <w:t>i</w:t>
      </w:r>
      <w:r w:rsidRPr="00066EF6">
        <w:rPr>
          <w:rFonts w:ascii="Trebuchet MS" w:hAnsi="Trebuchet MS"/>
          <w:sz w:val="20"/>
        </w:rPr>
        <w:t>nuição acentuada da coloração do TTC com o aumento da duração de POG.</w:t>
      </w:r>
    </w:p>
    <w:p w:rsidR="000152D0" w:rsidRDefault="000152D0" w:rsidP="000152D0">
      <w:pPr>
        <w:spacing w:after="200" w:line="360" w:lineRule="auto"/>
        <w:ind w:firstLine="720"/>
        <w:jc w:val="both"/>
        <w:rPr>
          <w:rFonts w:ascii="Trebuchet MS" w:eastAsiaTheme="minorHAnsi" w:hAnsi="Trebuchet MS" w:cstheme="minorBidi"/>
          <w:sz w:val="20"/>
          <w:szCs w:val="20"/>
        </w:rPr>
      </w:pPr>
      <w:r w:rsidRPr="00066EF6">
        <w:rPr>
          <w:rFonts w:ascii="Trebuchet MS" w:eastAsiaTheme="minorHAnsi" w:hAnsi="Trebuchet MS" w:cstheme="minorBidi"/>
          <w:sz w:val="20"/>
          <w:szCs w:val="20"/>
        </w:rPr>
        <w:t>Inicialmente, realizava-se no final de cada experiência, após aplicação do TTC, a co</w:t>
      </w:r>
      <w:r w:rsidRPr="00066EF6">
        <w:rPr>
          <w:rFonts w:ascii="Trebuchet MS" w:eastAsiaTheme="minorHAnsi" w:hAnsi="Trebuchet MS" w:cstheme="minorBidi"/>
          <w:sz w:val="20"/>
          <w:szCs w:val="20"/>
        </w:rPr>
        <w:t>n</w:t>
      </w:r>
      <w:r w:rsidRPr="00066EF6">
        <w:rPr>
          <w:rFonts w:ascii="Trebuchet MS" w:eastAsiaTheme="minorHAnsi" w:hAnsi="Trebuchet MS" w:cstheme="minorBidi"/>
          <w:sz w:val="20"/>
          <w:szCs w:val="20"/>
        </w:rPr>
        <w:t xml:space="preserve">tagem do número de fatias, bem como, a pesagem das massas. Dado que a pesagem das fatias revelou-se um procedimento difícil de concretizar devido ao estado de deterioração das fatias, com a evolução do trabalho experimental optou-se por realizar apenas as contagens do </w:t>
      </w:r>
      <w:r w:rsidRPr="00066EF6">
        <w:rPr>
          <w:rFonts w:ascii="Trebuchet MS" w:eastAsiaTheme="minorHAnsi" w:hAnsi="Trebuchet MS" w:cstheme="minorBidi"/>
          <w:sz w:val="20"/>
          <w:szCs w:val="20"/>
        </w:rPr>
        <w:lastRenderedPageBreak/>
        <w:t>número de fatias por experiência para normalizar a absorvência, pelo que, todos os valores de absorvência tratados são valores corrigidos.</w:t>
      </w:r>
    </w:p>
    <w:p w:rsidR="003A5FDE" w:rsidRDefault="000152D0" w:rsidP="001E40F2">
      <w:pPr>
        <w:spacing w:after="120" w:line="360" w:lineRule="auto"/>
        <w:ind w:firstLine="720"/>
        <w:jc w:val="both"/>
        <w:rPr>
          <w:rFonts w:ascii="Trebuchet MS" w:eastAsiaTheme="minorHAnsi" w:hAnsi="Trebuchet MS" w:cstheme="minorBidi"/>
          <w:sz w:val="20"/>
          <w:szCs w:val="20"/>
        </w:rPr>
      </w:pPr>
      <w:r w:rsidRPr="000152D0">
        <w:rPr>
          <w:rFonts w:ascii="Trebuchet MS" w:eastAsiaTheme="minorHAnsi" w:hAnsi="Trebuchet MS" w:cstheme="minorBidi"/>
          <w:sz w:val="20"/>
          <w:szCs w:val="20"/>
        </w:rPr>
        <w:drawing>
          <wp:inline distT="0" distB="0" distL="0" distR="0">
            <wp:extent cx="4584700" cy="2743200"/>
            <wp:effectExtent l="19050" t="0" r="25400" b="0"/>
            <wp:docPr id="28"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83141A" w:rsidRDefault="001E40F2" w:rsidP="00B87279">
      <w:pPr>
        <w:spacing w:after="200"/>
        <w:ind w:left="709" w:right="567"/>
        <w:jc w:val="both"/>
        <w:rPr>
          <w:rFonts w:ascii="Trebuchet MS" w:eastAsiaTheme="minorHAnsi" w:hAnsi="Trebuchet MS" w:cstheme="minorBidi"/>
          <w:sz w:val="18"/>
          <w:szCs w:val="20"/>
        </w:rPr>
      </w:pPr>
      <w:r>
        <w:rPr>
          <w:rFonts w:ascii="Trebuchet MS" w:eastAsiaTheme="minorHAnsi" w:hAnsi="Trebuchet MS" w:cstheme="minorBidi"/>
          <w:sz w:val="20"/>
          <w:szCs w:val="20"/>
        </w:rPr>
        <w:t>Fig</w:t>
      </w:r>
      <w:r w:rsidR="00DA0BF2" w:rsidRPr="00DA0BF2">
        <w:rPr>
          <w:rFonts w:ascii="Trebuchet MS" w:eastAsiaTheme="minorHAnsi" w:hAnsi="Trebuchet MS" w:cstheme="minorBidi"/>
          <w:b/>
          <w:sz w:val="18"/>
          <w:szCs w:val="20"/>
        </w:rPr>
        <w:t>. 4.1</w:t>
      </w:r>
      <w:r w:rsidR="00DA0BF2" w:rsidRPr="00DA0BF2">
        <w:rPr>
          <w:rFonts w:ascii="Trebuchet MS" w:eastAsiaTheme="minorHAnsi" w:hAnsi="Trebuchet MS" w:cstheme="minorBidi"/>
          <w:sz w:val="18"/>
          <w:szCs w:val="20"/>
        </w:rPr>
        <w:t>. Comparação entre a aplicação de um insulto não tóxico (1xIPC) versus aplic</w:t>
      </w:r>
      <w:r w:rsidR="00DA0BF2" w:rsidRPr="00DA0BF2">
        <w:rPr>
          <w:rFonts w:ascii="Trebuchet MS" w:eastAsiaTheme="minorHAnsi" w:hAnsi="Trebuchet MS" w:cstheme="minorBidi"/>
          <w:sz w:val="18"/>
          <w:szCs w:val="20"/>
        </w:rPr>
        <w:t>a</w:t>
      </w:r>
      <w:r w:rsidR="00DA0BF2" w:rsidRPr="00DA0BF2">
        <w:rPr>
          <w:rFonts w:ascii="Trebuchet MS" w:eastAsiaTheme="minorHAnsi" w:hAnsi="Trebuchet MS" w:cstheme="minorBidi"/>
          <w:sz w:val="18"/>
          <w:szCs w:val="20"/>
        </w:rPr>
        <w:t>ção de dois insultos não neurotóxicos (2xIPC)</w:t>
      </w:r>
      <w:r w:rsidR="00DA0BF2">
        <w:rPr>
          <w:rFonts w:ascii="Trebuchet MS" w:eastAsiaTheme="minorHAnsi" w:hAnsi="Trebuchet MS" w:cstheme="minorBidi"/>
          <w:sz w:val="18"/>
          <w:szCs w:val="20"/>
        </w:rPr>
        <w:t xml:space="preserve"> no pré-condicionamento isquémico</w:t>
      </w:r>
      <w:r w:rsidR="0083141A">
        <w:rPr>
          <w:rFonts w:ascii="Trebuchet MS" w:eastAsiaTheme="minorHAnsi" w:hAnsi="Trebuchet MS" w:cstheme="minorBidi"/>
          <w:sz w:val="18"/>
          <w:szCs w:val="20"/>
        </w:rPr>
        <w:t>. As fatias foram submetidas a zero (controlo), um e dois insultos não tóxicos, 3 horas antes da aplicação de um insulto neurotóxico (20 minutos de POG). A viabilidade celular foi analisada 1 hora depois através da incubação com TTC (0,05%). Os resul</w:t>
      </w:r>
      <w:r w:rsidR="000152D0">
        <w:rPr>
          <w:rFonts w:ascii="Trebuchet MS" w:eastAsiaTheme="minorHAnsi" w:hAnsi="Trebuchet MS" w:cstheme="minorBidi"/>
          <w:sz w:val="18"/>
          <w:szCs w:val="20"/>
        </w:rPr>
        <w:t>tados represe</w:t>
      </w:r>
      <w:r w:rsidR="000152D0">
        <w:rPr>
          <w:rFonts w:ascii="Trebuchet MS" w:eastAsiaTheme="minorHAnsi" w:hAnsi="Trebuchet MS" w:cstheme="minorBidi"/>
          <w:sz w:val="18"/>
          <w:szCs w:val="20"/>
        </w:rPr>
        <w:t>n</w:t>
      </w:r>
      <w:r w:rsidR="000152D0">
        <w:rPr>
          <w:rFonts w:ascii="Trebuchet MS" w:eastAsiaTheme="minorHAnsi" w:hAnsi="Trebuchet MS" w:cstheme="minorBidi"/>
          <w:sz w:val="18"/>
          <w:szCs w:val="20"/>
        </w:rPr>
        <w:t>tam a percentagem (%)</w:t>
      </w:r>
      <w:r w:rsidR="0083141A">
        <w:rPr>
          <w:rFonts w:ascii="Trebuchet MS" w:eastAsiaTheme="minorHAnsi" w:hAnsi="Trebuchet MS" w:cstheme="minorBidi"/>
          <w:sz w:val="18"/>
          <w:szCs w:val="20"/>
        </w:rPr>
        <w:t xml:space="preserve"> de sobrevivência do ensaio controlo, no qual não foi aplicado IPC. Os resultados apresentados são a média ± epm</w:t>
      </w:r>
      <w:r w:rsidR="00A12671">
        <w:rPr>
          <w:rFonts w:ascii="Trebuchet MS" w:eastAsiaTheme="minorHAnsi" w:hAnsi="Trebuchet MS" w:cstheme="minorBidi"/>
          <w:sz w:val="18"/>
          <w:szCs w:val="20"/>
        </w:rPr>
        <w:t xml:space="preserve"> (erro padrão da média)</w:t>
      </w:r>
      <w:r w:rsidR="0083141A">
        <w:rPr>
          <w:rFonts w:ascii="Trebuchet MS" w:eastAsiaTheme="minorHAnsi" w:hAnsi="Trebuchet MS" w:cstheme="minorBidi"/>
          <w:sz w:val="18"/>
          <w:szCs w:val="20"/>
        </w:rPr>
        <w:t xml:space="preserve"> correspo</w:t>
      </w:r>
      <w:r w:rsidR="0083141A">
        <w:rPr>
          <w:rFonts w:ascii="Trebuchet MS" w:eastAsiaTheme="minorHAnsi" w:hAnsi="Trebuchet MS" w:cstheme="minorBidi"/>
          <w:sz w:val="18"/>
          <w:szCs w:val="20"/>
        </w:rPr>
        <w:t>n</w:t>
      </w:r>
      <w:r w:rsidR="0083141A">
        <w:rPr>
          <w:rFonts w:ascii="Trebuchet MS" w:eastAsiaTheme="minorHAnsi" w:hAnsi="Trebuchet MS" w:cstheme="minorBidi"/>
          <w:sz w:val="18"/>
          <w:szCs w:val="20"/>
        </w:rPr>
        <w:t>dentes a 3 experiências independentes, realizadas em dupl</w:t>
      </w:r>
      <w:r w:rsidR="0083141A">
        <w:rPr>
          <w:rFonts w:ascii="Trebuchet MS" w:eastAsiaTheme="minorHAnsi" w:hAnsi="Trebuchet MS" w:cstheme="minorBidi"/>
          <w:sz w:val="18"/>
          <w:szCs w:val="20"/>
        </w:rPr>
        <w:t>i</w:t>
      </w:r>
      <w:r w:rsidR="0083141A">
        <w:rPr>
          <w:rFonts w:ascii="Trebuchet MS" w:eastAsiaTheme="minorHAnsi" w:hAnsi="Trebuchet MS" w:cstheme="minorBidi"/>
          <w:sz w:val="18"/>
          <w:szCs w:val="20"/>
        </w:rPr>
        <w:t>cado.</w:t>
      </w:r>
    </w:p>
    <w:p w:rsidR="00B87279" w:rsidRDefault="00B87279" w:rsidP="00B87279">
      <w:pPr>
        <w:spacing w:after="200"/>
        <w:ind w:left="284" w:right="283"/>
        <w:jc w:val="both"/>
        <w:rPr>
          <w:rFonts w:ascii="Trebuchet MS" w:eastAsiaTheme="minorHAnsi" w:hAnsi="Trebuchet MS" w:cstheme="minorBidi"/>
          <w:sz w:val="18"/>
          <w:szCs w:val="20"/>
        </w:rPr>
      </w:pPr>
    </w:p>
    <w:p w:rsidR="000152D0" w:rsidRPr="00B87279" w:rsidRDefault="00B87279" w:rsidP="00B87279">
      <w:pPr>
        <w:spacing w:after="200" w:line="360" w:lineRule="auto"/>
        <w:ind w:left="426" w:right="283"/>
        <w:jc w:val="center"/>
        <w:rPr>
          <w:rFonts w:ascii="Trebuchet MS" w:eastAsiaTheme="minorHAnsi" w:hAnsi="Trebuchet MS" w:cstheme="minorBidi"/>
          <w:sz w:val="18"/>
          <w:szCs w:val="20"/>
        </w:rPr>
      </w:pPr>
      <w:r w:rsidRPr="00B87279">
        <w:rPr>
          <w:rFonts w:ascii="Trebuchet MS" w:eastAsiaTheme="minorHAnsi" w:hAnsi="Trebuchet MS" w:cstheme="minorBidi"/>
          <w:sz w:val="18"/>
          <w:szCs w:val="20"/>
        </w:rPr>
        <w:drawing>
          <wp:inline distT="0" distB="0" distL="0" distR="0">
            <wp:extent cx="4584700" cy="2733675"/>
            <wp:effectExtent l="19050" t="0" r="25400" b="0"/>
            <wp:docPr id="32"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4F373F" w:rsidRDefault="004F373F" w:rsidP="00B87279">
      <w:pPr>
        <w:spacing w:after="200"/>
        <w:ind w:left="709" w:right="567"/>
        <w:jc w:val="both"/>
        <w:rPr>
          <w:rFonts w:ascii="Trebuchet MS" w:eastAsiaTheme="minorHAnsi" w:hAnsi="Trebuchet MS" w:cstheme="minorBidi"/>
          <w:sz w:val="18"/>
          <w:szCs w:val="20"/>
        </w:rPr>
      </w:pPr>
      <w:r>
        <w:rPr>
          <w:rFonts w:ascii="Trebuchet MS" w:eastAsiaTheme="minorHAnsi" w:hAnsi="Trebuchet MS" w:cstheme="minorBidi"/>
          <w:sz w:val="18"/>
          <w:szCs w:val="20"/>
        </w:rPr>
        <w:t>Fig</w:t>
      </w:r>
      <w:r w:rsidR="0045510E" w:rsidRPr="00AF586E">
        <w:rPr>
          <w:rFonts w:ascii="Trebuchet MS" w:eastAsiaTheme="minorHAnsi" w:hAnsi="Trebuchet MS" w:cstheme="minorBidi"/>
          <w:sz w:val="18"/>
          <w:szCs w:val="20"/>
        </w:rPr>
        <w:t>. 4.</w:t>
      </w:r>
      <w:r w:rsidR="0045510E">
        <w:rPr>
          <w:rFonts w:ascii="Trebuchet MS" w:eastAsiaTheme="minorHAnsi" w:hAnsi="Trebuchet MS" w:cstheme="minorBidi"/>
          <w:sz w:val="18"/>
          <w:szCs w:val="20"/>
        </w:rPr>
        <w:t>2</w:t>
      </w:r>
      <w:r w:rsidR="0045510E" w:rsidRPr="00AF586E">
        <w:rPr>
          <w:rFonts w:ascii="Trebuchet MS" w:eastAsiaTheme="minorHAnsi" w:hAnsi="Trebuchet MS" w:cstheme="minorBidi"/>
          <w:sz w:val="18"/>
          <w:szCs w:val="20"/>
        </w:rPr>
        <w:t xml:space="preserve">. </w:t>
      </w:r>
      <w:r>
        <w:rPr>
          <w:rFonts w:ascii="Trebuchet MS" w:eastAsiaTheme="minorHAnsi" w:hAnsi="Trebuchet MS" w:cstheme="minorBidi"/>
          <w:sz w:val="18"/>
          <w:szCs w:val="20"/>
        </w:rPr>
        <w:t xml:space="preserve">Efeito do IPC no decréscimo da viabilidade celular induzida por um insulto isquémico. As fatias foram </w:t>
      </w:r>
      <w:r w:rsidR="00DD5552">
        <w:rPr>
          <w:rFonts w:ascii="Trebuchet MS" w:eastAsiaTheme="minorHAnsi" w:hAnsi="Trebuchet MS" w:cstheme="minorBidi"/>
          <w:sz w:val="18"/>
          <w:szCs w:val="20"/>
        </w:rPr>
        <w:t xml:space="preserve">submetidas (IPC) ou não (Controlo, POG) a dois insultos não tóxicos de </w:t>
      </w:r>
      <w:r w:rsidR="000F1933">
        <w:rPr>
          <w:rFonts w:ascii="Trebuchet MS" w:eastAsiaTheme="minorHAnsi" w:hAnsi="Trebuchet MS" w:cstheme="minorBidi"/>
          <w:sz w:val="18"/>
          <w:szCs w:val="20"/>
        </w:rPr>
        <w:t>3</w:t>
      </w:r>
      <w:r w:rsidR="00DD5552">
        <w:rPr>
          <w:rFonts w:ascii="Trebuchet MS" w:eastAsiaTheme="minorHAnsi" w:hAnsi="Trebuchet MS" w:cstheme="minorBidi"/>
          <w:sz w:val="18"/>
          <w:szCs w:val="20"/>
        </w:rPr>
        <w:t xml:space="preserve"> minutos e 3 horas depois foi aplicado (IPC, POG) ou não (controlo) um insu</w:t>
      </w:r>
      <w:r w:rsidR="00DD5552">
        <w:rPr>
          <w:rFonts w:ascii="Trebuchet MS" w:eastAsiaTheme="minorHAnsi" w:hAnsi="Trebuchet MS" w:cstheme="minorBidi"/>
          <w:sz w:val="18"/>
          <w:szCs w:val="20"/>
        </w:rPr>
        <w:t>l</w:t>
      </w:r>
      <w:r w:rsidR="00DD5552">
        <w:rPr>
          <w:rFonts w:ascii="Trebuchet MS" w:eastAsiaTheme="minorHAnsi" w:hAnsi="Trebuchet MS" w:cstheme="minorBidi"/>
          <w:sz w:val="18"/>
          <w:szCs w:val="20"/>
        </w:rPr>
        <w:t xml:space="preserve">to neurotóxico (20 minutos de POG). A viabilidade celular foi analisada 1hora depois, através da incubação com TTC </w:t>
      </w:r>
      <w:r w:rsidR="000F1933">
        <w:rPr>
          <w:rFonts w:ascii="Trebuchet MS" w:eastAsiaTheme="minorHAnsi" w:hAnsi="Trebuchet MS" w:cstheme="minorBidi"/>
          <w:sz w:val="18"/>
          <w:szCs w:val="20"/>
        </w:rPr>
        <w:t>(</w:t>
      </w:r>
      <w:r w:rsidR="00DD5552">
        <w:rPr>
          <w:rFonts w:ascii="Trebuchet MS" w:eastAsiaTheme="minorHAnsi" w:hAnsi="Trebuchet MS" w:cstheme="minorBidi"/>
          <w:sz w:val="18"/>
          <w:szCs w:val="20"/>
        </w:rPr>
        <w:t>0,05%</w:t>
      </w:r>
      <w:r w:rsidR="000F1933">
        <w:rPr>
          <w:rFonts w:ascii="Trebuchet MS" w:eastAsiaTheme="minorHAnsi" w:hAnsi="Trebuchet MS" w:cstheme="minorBidi"/>
          <w:sz w:val="18"/>
          <w:szCs w:val="20"/>
        </w:rPr>
        <w:t>)</w:t>
      </w:r>
      <w:r w:rsidR="00DD5552">
        <w:rPr>
          <w:rFonts w:ascii="Trebuchet MS" w:eastAsiaTheme="minorHAnsi" w:hAnsi="Trebuchet MS" w:cstheme="minorBidi"/>
          <w:sz w:val="18"/>
          <w:szCs w:val="20"/>
        </w:rPr>
        <w:t>. Os resultados representam a mediana das abso</w:t>
      </w:r>
      <w:r w:rsidR="00DD5552">
        <w:rPr>
          <w:rFonts w:ascii="Trebuchet MS" w:eastAsiaTheme="minorHAnsi" w:hAnsi="Trebuchet MS" w:cstheme="minorBidi"/>
          <w:sz w:val="18"/>
          <w:szCs w:val="20"/>
        </w:rPr>
        <w:t>r</w:t>
      </w:r>
      <w:r w:rsidR="00DD5552">
        <w:rPr>
          <w:rFonts w:ascii="Trebuchet MS" w:eastAsiaTheme="minorHAnsi" w:hAnsi="Trebuchet MS" w:cstheme="minorBidi"/>
          <w:sz w:val="18"/>
          <w:szCs w:val="20"/>
        </w:rPr>
        <w:t>vências (</w:t>
      </w:r>
      <w:r w:rsidR="00DD5552">
        <w:rPr>
          <w:rFonts w:ascii="Trebuchet MS" w:eastAsiaTheme="minorHAnsi" w:hAnsi="Trebuchet MS" w:cstheme="minorBidi"/>
          <w:sz w:val="18"/>
          <w:szCs w:val="20"/>
        </w:rPr>
        <w:sym w:font="Symbol" w:char="F06C"/>
      </w:r>
      <w:r w:rsidR="00DD5552">
        <w:rPr>
          <w:rFonts w:ascii="Trebuchet MS" w:eastAsiaTheme="minorHAnsi" w:hAnsi="Trebuchet MS" w:cstheme="minorBidi"/>
          <w:sz w:val="18"/>
          <w:szCs w:val="20"/>
        </w:rPr>
        <w:t>=485 nm) correspondentes a 6 experiências estatisticamente diferentes (Mann-Whitney).</w:t>
      </w:r>
    </w:p>
    <w:p w:rsidR="004F373F" w:rsidRDefault="004F373F" w:rsidP="005B2CEC">
      <w:pPr>
        <w:spacing w:after="200" w:line="360" w:lineRule="auto"/>
        <w:jc w:val="both"/>
        <w:rPr>
          <w:rFonts w:ascii="Trebuchet MS" w:eastAsiaTheme="minorHAnsi" w:hAnsi="Trebuchet MS" w:cstheme="minorBidi"/>
          <w:sz w:val="20"/>
          <w:szCs w:val="20"/>
        </w:rPr>
      </w:pPr>
      <w:r>
        <w:rPr>
          <w:rFonts w:ascii="Trebuchet MS" w:eastAsiaTheme="minorHAnsi" w:hAnsi="Trebuchet MS" w:cstheme="minorBidi"/>
          <w:sz w:val="18"/>
          <w:szCs w:val="20"/>
        </w:rPr>
        <w:lastRenderedPageBreak/>
        <w:t xml:space="preserve"> </w:t>
      </w:r>
      <w:r w:rsidR="00E34ED5">
        <w:rPr>
          <w:rFonts w:ascii="Trebuchet MS" w:eastAsiaTheme="minorHAnsi" w:hAnsi="Trebuchet MS" w:cstheme="minorBidi"/>
          <w:sz w:val="20"/>
          <w:szCs w:val="20"/>
        </w:rPr>
        <w:tab/>
      </w:r>
      <w:r>
        <w:rPr>
          <w:rFonts w:ascii="Trebuchet MS" w:eastAsiaTheme="minorHAnsi" w:hAnsi="Trebuchet MS" w:cstheme="minorBidi"/>
          <w:sz w:val="20"/>
          <w:szCs w:val="20"/>
        </w:rPr>
        <w:t>Como podemos observar na Fig. 4.2., a aplicação de um insulto isquémico de 20 min</w:t>
      </w:r>
      <w:r>
        <w:rPr>
          <w:rFonts w:ascii="Trebuchet MS" w:eastAsiaTheme="minorHAnsi" w:hAnsi="Trebuchet MS" w:cstheme="minorBidi"/>
          <w:sz w:val="20"/>
          <w:szCs w:val="20"/>
        </w:rPr>
        <w:t>u</w:t>
      </w:r>
      <w:r>
        <w:rPr>
          <w:rFonts w:ascii="Trebuchet MS" w:eastAsiaTheme="minorHAnsi" w:hAnsi="Trebuchet MS" w:cstheme="minorBidi"/>
          <w:sz w:val="20"/>
          <w:szCs w:val="20"/>
        </w:rPr>
        <w:t>tos de POG produziu uma redução significativa da viabilidade celular, obtendo-se uma medi</w:t>
      </w:r>
      <w:r>
        <w:rPr>
          <w:rFonts w:ascii="Trebuchet MS" w:eastAsiaTheme="minorHAnsi" w:hAnsi="Trebuchet MS" w:cstheme="minorBidi"/>
          <w:sz w:val="20"/>
          <w:szCs w:val="20"/>
        </w:rPr>
        <w:t>a</w:t>
      </w:r>
      <w:r>
        <w:rPr>
          <w:rFonts w:ascii="Trebuchet MS" w:eastAsiaTheme="minorHAnsi" w:hAnsi="Trebuchet MS" w:cstheme="minorBidi"/>
          <w:sz w:val="20"/>
          <w:szCs w:val="20"/>
        </w:rPr>
        <w:t>na das absorvências igual a 0,0475</w:t>
      </w:r>
      <w:r w:rsidR="000F1933">
        <w:rPr>
          <w:rFonts w:ascii="Trebuchet MS" w:eastAsiaTheme="minorHAnsi" w:hAnsi="Trebuchet MS" w:cstheme="minorBidi"/>
          <w:sz w:val="20"/>
          <w:szCs w:val="20"/>
        </w:rPr>
        <w:t>, em relação ao grupo controlo que apresentou a mediana de absorvência igual a 0,1558. No entanto, a aplicação de IPC antes do insulto isquémico pr</w:t>
      </w:r>
      <w:r w:rsidR="000F1933">
        <w:rPr>
          <w:rFonts w:ascii="Trebuchet MS" w:eastAsiaTheme="minorHAnsi" w:hAnsi="Trebuchet MS" w:cstheme="minorBidi"/>
          <w:sz w:val="20"/>
          <w:szCs w:val="20"/>
        </w:rPr>
        <w:t>o</w:t>
      </w:r>
      <w:r w:rsidR="000F1933">
        <w:rPr>
          <w:rFonts w:ascii="Trebuchet MS" w:eastAsiaTheme="minorHAnsi" w:hAnsi="Trebuchet MS" w:cstheme="minorBidi"/>
          <w:sz w:val="20"/>
          <w:szCs w:val="20"/>
        </w:rPr>
        <w:t xml:space="preserve">duziu aumento na viabilidade celular em relação </w:t>
      </w:r>
      <w:r w:rsidR="005C0849">
        <w:rPr>
          <w:rFonts w:ascii="Trebuchet MS" w:eastAsiaTheme="minorHAnsi" w:hAnsi="Trebuchet MS" w:cstheme="minorBidi"/>
          <w:sz w:val="20"/>
          <w:szCs w:val="20"/>
        </w:rPr>
        <w:t>ao ensaio com POG mas sem IPC, tendo-se obtido uma mediana da absorvência igual a 0,099 para o IPC.</w:t>
      </w:r>
    </w:p>
    <w:p w:rsidR="000F1933" w:rsidRDefault="000F1933" w:rsidP="000F1933">
      <w:pPr>
        <w:spacing w:after="200" w:line="360" w:lineRule="auto"/>
        <w:jc w:val="both"/>
        <w:rPr>
          <w:rFonts w:ascii="Trebuchet MS" w:eastAsiaTheme="minorHAnsi" w:hAnsi="Trebuchet MS" w:cstheme="minorBidi"/>
          <w:sz w:val="20"/>
          <w:szCs w:val="20"/>
        </w:rPr>
      </w:pPr>
      <w:r>
        <w:rPr>
          <w:rFonts w:ascii="Trebuchet MS" w:eastAsiaTheme="minorHAnsi" w:hAnsi="Trebuchet MS" w:cstheme="minorBidi"/>
          <w:sz w:val="20"/>
          <w:szCs w:val="20"/>
        </w:rPr>
        <w:tab/>
        <w:t>Como podemos observar na Fig. 4.3, a neuroprotecção conferida pelo IPC na isquémia cerebral foi de 22,8% (n=6) em relação ao ensaio com insulto isquémico mas sem IPC.</w:t>
      </w:r>
    </w:p>
    <w:p w:rsidR="000F1933" w:rsidRDefault="000F1933" w:rsidP="005C0849">
      <w:pPr>
        <w:spacing w:after="200" w:line="360" w:lineRule="auto"/>
        <w:jc w:val="center"/>
        <w:rPr>
          <w:rFonts w:ascii="Trebuchet MS" w:eastAsiaTheme="minorHAnsi" w:hAnsi="Trebuchet MS" w:cstheme="minorBidi"/>
          <w:sz w:val="20"/>
          <w:szCs w:val="20"/>
        </w:rPr>
      </w:pPr>
      <w:r w:rsidRPr="000F1933">
        <w:rPr>
          <w:rFonts w:ascii="Trebuchet MS" w:eastAsiaTheme="minorHAnsi" w:hAnsi="Trebuchet MS" w:cstheme="minorBidi"/>
          <w:sz w:val="20"/>
          <w:szCs w:val="20"/>
        </w:rPr>
        <w:drawing>
          <wp:inline distT="0" distB="0" distL="0" distR="0">
            <wp:extent cx="4856162" cy="3235325"/>
            <wp:effectExtent l="19050" t="0" r="20638" b="3175"/>
            <wp:docPr id="33"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4F373F" w:rsidRDefault="00B87279" w:rsidP="00AF586E">
      <w:pPr>
        <w:spacing w:after="200"/>
        <w:jc w:val="center"/>
        <w:rPr>
          <w:rFonts w:ascii="Trebuchet MS" w:eastAsiaTheme="minorHAnsi" w:hAnsi="Trebuchet MS" w:cstheme="minorBidi"/>
          <w:sz w:val="18"/>
          <w:szCs w:val="20"/>
        </w:rPr>
      </w:pPr>
      <w:r>
        <w:rPr>
          <w:rFonts w:ascii="Trebuchet MS" w:eastAsiaTheme="minorHAnsi" w:hAnsi="Trebuchet MS" w:cstheme="minorBidi"/>
          <w:sz w:val="18"/>
          <w:szCs w:val="20"/>
        </w:rPr>
        <w:t>Fig</w:t>
      </w:r>
      <w:r w:rsidR="00230117" w:rsidRPr="00AF586E">
        <w:rPr>
          <w:rFonts w:ascii="Trebuchet MS" w:eastAsiaTheme="minorHAnsi" w:hAnsi="Trebuchet MS" w:cstheme="minorBidi"/>
          <w:sz w:val="18"/>
          <w:szCs w:val="20"/>
        </w:rPr>
        <w:t xml:space="preserve">. </w:t>
      </w:r>
      <w:r w:rsidR="00AF586E" w:rsidRPr="00AF586E">
        <w:rPr>
          <w:rFonts w:ascii="Trebuchet MS" w:eastAsiaTheme="minorHAnsi" w:hAnsi="Trebuchet MS" w:cstheme="minorBidi"/>
          <w:sz w:val="18"/>
          <w:szCs w:val="20"/>
        </w:rPr>
        <w:t xml:space="preserve">4.3. </w:t>
      </w:r>
      <w:r w:rsidR="000F1933">
        <w:rPr>
          <w:rFonts w:ascii="Trebuchet MS" w:eastAsiaTheme="minorHAnsi" w:hAnsi="Trebuchet MS" w:cstheme="minorBidi"/>
          <w:sz w:val="18"/>
          <w:szCs w:val="20"/>
        </w:rPr>
        <w:t>Efeito neuroprotector conferido pelo IPC na isquémia cerebral.</w:t>
      </w:r>
      <w:r w:rsidR="005C0849">
        <w:rPr>
          <w:rFonts w:ascii="Trebuchet MS" w:eastAsiaTheme="minorHAnsi" w:hAnsi="Trebuchet MS" w:cstheme="minorBidi"/>
          <w:sz w:val="18"/>
          <w:szCs w:val="20"/>
        </w:rPr>
        <w:t xml:space="preserve"> As fatias foram submetidas</w:t>
      </w:r>
      <w:r w:rsidR="00207CCA">
        <w:rPr>
          <w:rFonts w:ascii="Trebuchet MS" w:eastAsiaTheme="minorHAnsi" w:hAnsi="Trebuchet MS" w:cstheme="minorBidi"/>
          <w:sz w:val="18"/>
          <w:szCs w:val="20"/>
        </w:rPr>
        <w:t xml:space="preserve"> (IPC) ou não (POG) a dois insultos isquémicos não tóxicos de 3 minutos e 3 horas depois foi aplicado um insulto neurotóxico (20 minutos de POG). A viabilidade celular foi analisada 1hora depois através da incubação com TTC (0,05%). Os resultados representam a percentagem de absorvência do ensaio sem IPC (POG). Os resultados são a mediana das absorvências (</w:t>
      </w:r>
      <w:r w:rsidR="00207CCA">
        <w:rPr>
          <w:rFonts w:ascii="Trebuchet MS" w:eastAsiaTheme="minorHAnsi" w:hAnsi="Trebuchet MS" w:cstheme="minorBidi"/>
          <w:sz w:val="18"/>
          <w:szCs w:val="20"/>
        </w:rPr>
        <w:sym w:font="Symbol" w:char="F06C"/>
      </w:r>
      <w:r w:rsidR="00207CCA">
        <w:rPr>
          <w:rFonts w:ascii="Trebuchet MS" w:eastAsiaTheme="minorHAnsi" w:hAnsi="Trebuchet MS" w:cstheme="minorBidi"/>
          <w:sz w:val="18"/>
          <w:szCs w:val="20"/>
        </w:rPr>
        <w:t xml:space="preserve">=485 nm) correspondentes a 6 </w:t>
      </w:r>
      <w:r w:rsidR="00983AFA">
        <w:rPr>
          <w:rFonts w:ascii="Trebuchet MS" w:eastAsiaTheme="minorHAnsi" w:hAnsi="Trebuchet MS" w:cstheme="minorBidi"/>
          <w:sz w:val="18"/>
          <w:szCs w:val="20"/>
        </w:rPr>
        <w:t>experiências</w:t>
      </w:r>
      <w:r w:rsidR="00207CCA">
        <w:rPr>
          <w:rFonts w:ascii="Trebuchet MS" w:eastAsiaTheme="minorHAnsi" w:hAnsi="Trebuchet MS" w:cstheme="minorBidi"/>
          <w:sz w:val="18"/>
          <w:szCs w:val="20"/>
        </w:rPr>
        <w:t xml:space="preserve"> independentes, * </w:t>
      </w:r>
      <w:r w:rsidR="00983AFA">
        <w:rPr>
          <w:rFonts w:ascii="Trebuchet MS" w:eastAsiaTheme="minorHAnsi" w:hAnsi="Trebuchet MS" w:cstheme="minorBidi"/>
          <w:sz w:val="18"/>
          <w:szCs w:val="20"/>
        </w:rPr>
        <w:t>E</w:t>
      </w:r>
      <w:r w:rsidR="00207CCA">
        <w:rPr>
          <w:rFonts w:ascii="Trebuchet MS" w:eastAsiaTheme="minorHAnsi" w:hAnsi="Trebuchet MS" w:cstheme="minorBidi"/>
          <w:sz w:val="18"/>
          <w:szCs w:val="20"/>
        </w:rPr>
        <w:t>statisticamente diferente de 100</w:t>
      </w:r>
      <w:r w:rsidR="00760F03">
        <w:rPr>
          <w:rFonts w:ascii="Trebuchet MS" w:eastAsiaTheme="minorHAnsi" w:hAnsi="Trebuchet MS" w:cstheme="minorBidi"/>
          <w:sz w:val="18"/>
          <w:szCs w:val="20"/>
        </w:rPr>
        <w:t>%</w:t>
      </w:r>
      <w:r w:rsidR="00207CCA">
        <w:rPr>
          <w:rFonts w:ascii="Trebuchet MS" w:eastAsiaTheme="minorHAnsi" w:hAnsi="Trebuchet MS" w:cstheme="minorBidi"/>
          <w:sz w:val="18"/>
          <w:szCs w:val="20"/>
        </w:rPr>
        <w:t xml:space="preserve"> (p = </w:t>
      </w:r>
      <w:r w:rsidR="00983AFA">
        <w:rPr>
          <w:rFonts w:ascii="Trebuchet MS" w:eastAsiaTheme="minorHAnsi" w:hAnsi="Trebuchet MS" w:cstheme="minorBidi"/>
          <w:sz w:val="18"/>
          <w:szCs w:val="20"/>
        </w:rPr>
        <w:t>0,047</w:t>
      </w:r>
      <w:r w:rsidR="00207CCA">
        <w:rPr>
          <w:rFonts w:ascii="Trebuchet MS" w:eastAsiaTheme="minorHAnsi" w:hAnsi="Trebuchet MS" w:cstheme="minorBidi"/>
          <w:sz w:val="18"/>
          <w:szCs w:val="20"/>
        </w:rPr>
        <w:t>), Test</w:t>
      </w:r>
      <w:r w:rsidR="00983AFA">
        <w:rPr>
          <w:rFonts w:ascii="Trebuchet MS" w:eastAsiaTheme="minorHAnsi" w:hAnsi="Trebuchet MS" w:cstheme="minorBidi"/>
          <w:sz w:val="18"/>
          <w:szCs w:val="20"/>
        </w:rPr>
        <w:t>e de Wilcoxon.</w:t>
      </w:r>
    </w:p>
    <w:p w:rsidR="009D12E4" w:rsidRDefault="009D12E4" w:rsidP="002861BA">
      <w:pPr>
        <w:spacing w:line="276" w:lineRule="auto"/>
        <w:ind w:firstLine="180"/>
        <w:jc w:val="both"/>
        <w:rPr>
          <w:rFonts w:ascii="Trebuchet MS" w:hAnsi="Trebuchet MS"/>
          <w:b/>
          <w:smallCaps/>
          <w:shadow/>
          <w:color w:val="333399"/>
          <w:sz w:val="28"/>
          <w:szCs w:val="28"/>
        </w:rPr>
      </w:pPr>
    </w:p>
    <w:p w:rsidR="0035463E" w:rsidRPr="002861BA" w:rsidRDefault="0035463E" w:rsidP="002861BA">
      <w:pPr>
        <w:spacing w:line="276" w:lineRule="auto"/>
        <w:ind w:firstLine="180"/>
        <w:jc w:val="both"/>
        <w:rPr>
          <w:rFonts w:ascii="Trebuchet MS" w:hAnsi="Trebuchet MS"/>
          <w:b/>
          <w:smallCaps/>
          <w:shadow/>
          <w:color w:val="333399"/>
          <w:sz w:val="28"/>
          <w:szCs w:val="28"/>
        </w:rPr>
      </w:pPr>
      <w:r w:rsidRPr="002861BA">
        <w:rPr>
          <w:rFonts w:ascii="Trebuchet MS" w:hAnsi="Trebuchet MS"/>
          <w:b/>
          <w:smallCaps/>
          <w:shadow/>
          <w:color w:val="333399"/>
          <w:sz w:val="28"/>
          <w:szCs w:val="28"/>
        </w:rPr>
        <w:t xml:space="preserve">4.2. Efeito neuroprotector do </w:t>
      </w:r>
      <w:r w:rsidR="009A033A" w:rsidRPr="002861BA">
        <w:rPr>
          <w:rFonts w:ascii="Trebuchet MS" w:hAnsi="Trebuchet MS"/>
          <w:b/>
          <w:smallCaps/>
          <w:shadow/>
          <w:color w:val="333399"/>
          <w:sz w:val="28"/>
          <w:szCs w:val="28"/>
        </w:rPr>
        <w:t>Pré-condicionamento</w:t>
      </w:r>
      <w:r w:rsidRPr="002861BA">
        <w:rPr>
          <w:rFonts w:ascii="Trebuchet MS" w:hAnsi="Trebuchet MS"/>
          <w:b/>
          <w:smallCaps/>
          <w:shadow/>
          <w:color w:val="333399"/>
          <w:sz w:val="28"/>
          <w:szCs w:val="28"/>
        </w:rPr>
        <w:t xml:space="preserve"> Químico: CPA e Adenosina</w:t>
      </w:r>
    </w:p>
    <w:p w:rsidR="002861BA" w:rsidRDefault="006328E9" w:rsidP="006328E9">
      <w:pPr>
        <w:spacing w:line="360" w:lineRule="auto"/>
        <w:jc w:val="both"/>
        <w:rPr>
          <w:rFonts w:ascii="Trebuchet MS" w:eastAsiaTheme="minorHAnsi" w:hAnsi="Trebuchet MS" w:cs="Arial"/>
          <w:sz w:val="20"/>
        </w:rPr>
      </w:pPr>
      <w:r w:rsidRPr="00C65DA3">
        <w:rPr>
          <w:rFonts w:ascii="Trebuchet MS" w:eastAsiaTheme="minorHAnsi" w:hAnsi="Trebuchet MS" w:cs="Arial"/>
          <w:sz w:val="20"/>
        </w:rPr>
        <w:tab/>
      </w:r>
    </w:p>
    <w:p w:rsidR="006328E9" w:rsidRPr="00C65DA3" w:rsidRDefault="00971506" w:rsidP="006328E9">
      <w:pPr>
        <w:spacing w:line="360" w:lineRule="auto"/>
        <w:jc w:val="both"/>
        <w:rPr>
          <w:rFonts w:ascii="Trebuchet MS" w:eastAsiaTheme="minorHAnsi" w:hAnsi="Trebuchet MS" w:cs="Arial"/>
          <w:sz w:val="20"/>
        </w:rPr>
      </w:pPr>
      <w:r>
        <w:rPr>
          <w:rFonts w:ascii="Trebuchet MS" w:eastAsiaTheme="minorHAnsi" w:hAnsi="Trebuchet MS" w:cs="Arial"/>
          <w:sz w:val="20"/>
        </w:rPr>
        <w:tab/>
      </w:r>
      <w:r w:rsidR="006328E9" w:rsidRPr="00C65DA3">
        <w:rPr>
          <w:rFonts w:ascii="Trebuchet MS" w:eastAsiaTheme="minorHAnsi" w:hAnsi="Trebuchet MS" w:cs="Arial"/>
          <w:sz w:val="20"/>
        </w:rPr>
        <w:t>Estudos anteriores indicam que em culturas de fatias de cérebro, obtidas a partir de ratos recém</w:t>
      </w:r>
      <w:r w:rsidR="00467A12">
        <w:rPr>
          <w:rFonts w:ascii="Trebuchet MS" w:eastAsiaTheme="minorHAnsi" w:hAnsi="Trebuchet MS" w:cs="Arial"/>
          <w:sz w:val="20"/>
        </w:rPr>
        <w:t>-</w:t>
      </w:r>
      <w:r w:rsidR="006328E9" w:rsidRPr="00C65DA3">
        <w:rPr>
          <w:rFonts w:ascii="Trebuchet MS" w:eastAsiaTheme="minorHAnsi" w:hAnsi="Trebuchet MS" w:cs="Arial"/>
          <w:sz w:val="20"/>
        </w:rPr>
        <w:t>nascidos, o efeito protector obtido através do pré-condicionamento com um insulto isquémico ligeiro (IPC), é dependente da activação dos A</w:t>
      </w:r>
      <w:r w:rsidR="006328E9" w:rsidRPr="00C65DA3">
        <w:rPr>
          <w:rFonts w:ascii="Trebuchet MS" w:eastAsiaTheme="minorHAnsi" w:hAnsi="Trebuchet MS" w:cs="Arial"/>
          <w:sz w:val="20"/>
          <w:vertAlign w:val="subscript"/>
        </w:rPr>
        <w:t>1</w:t>
      </w:r>
      <w:r w:rsidR="006328E9" w:rsidRPr="00C65DA3">
        <w:rPr>
          <w:rFonts w:ascii="Trebuchet MS" w:eastAsiaTheme="minorHAnsi" w:hAnsi="Trebuchet MS" w:cs="Arial"/>
          <w:sz w:val="20"/>
        </w:rPr>
        <w:t>R. Além disso, a aplicação de agonistas dos A</w:t>
      </w:r>
      <w:r w:rsidR="006328E9" w:rsidRPr="00C65DA3">
        <w:rPr>
          <w:rFonts w:ascii="Trebuchet MS" w:eastAsiaTheme="minorHAnsi" w:hAnsi="Trebuchet MS" w:cs="Arial"/>
          <w:sz w:val="20"/>
          <w:vertAlign w:val="subscript"/>
        </w:rPr>
        <w:t>1</w:t>
      </w:r>
      <w:r w:rsidR="006328E9" w:rsidRPr="00C65DA3">
        <w:rPr>
          <w:rFonts w:ascii="Trebuchet MS" w:eastAsiaTheme="minorHAnsi" w:hAnsi="Trebuchet MS" w:cs="Arial"/>
          <w:sz w:val="20"/>
        </w:rPr>
        <w:t>R antes do insulto neurotóxico (pré-condicionamento químico), diminuem o dano celular provocado por este. No entanto, o efeito quer do IPC quer do pré-condicionamento químico, com agonistas do A</w:t>
      </w:r>
      <w:r w:rsidR="006328E9" w:rsidRPr="00C65DA3">
        <w:rPr>
          <w:rFonts w:ascii="Trebuchet MS" w:eastAsiaTheme="minorHAnsi" w:hAnsi="Trebuchet MS" w:cs="Arial"/>
          <w:sz w:val="20"/>
          <w:vertAlign w:val="subscript"/>
        </w:rPr>
        <w:t>1</w:t>
      </w:r>
      <w:r w:rsidR="006328E9" w:rsidRPr="00C65DA3">
        <w:rPr>
          <w:rFonts w:ascii="Trebuchet MS" w:eastAsiaTheme="minorHAnsi" w:hAnsi="Trebuchet MS" w:cs="Arial"/>
          <w:sz w:val="20"/>
        </w:rPr>
        <w:t>R, em animais adultos não está esclarecido, apesar da resistência à isquémia ser menor em animais adultos.</w:t>
      </w:r>
    </w:p>
    <w:p w:rsidR="00EA6842" w:rsidRDefault="006328E9" w:rsidP="006328E9">
      <w:pPr>
        <w:spacing w:line="360" w:lineRule="auto"/>
        <w:jc w:val="both"/>
        <w:rPr>
          <w:rFonts w:ascii="Trebuchet MS" w:eastAsiaTheme="minorHAnsi" w:hAnsi="Trebuchet MS" w:cs="Arial"/>
          <w:sz w:val="20"/>
        </w:rPr>
      </w:pPr>
      <w:r w:rsidRPr="00C65DA3">
        <w:rPr>
          <w:rFonts w:ascii="Trebuchet MS" w:eastAsiaTheme="minorHAnsi" w:hAnsi="Trebuchet MS" w:cs="Arial"/>
          <w:sz w:val="20"/>
        </w:rPr>
        <w:lastRenderedPageBreak/>
        <w:tab/>
        <w:t>Para o estudo do pré-condicionamento químico com agonistas dos A</w:t>
      </w:r>
      <w:r w:rsidRPr="0002502B">
        <w:rPr>
          <w:rFonts w:ascii="Trebuchet MS" w:eastAsiaTheme="minorHAnsi" w:hAnsi="Trebuchet MS" w:cs="Arial"/>
          <w:sz w:val="20"/>
          <w:vertAlign w:val="subscript"/>
        </w:rPr>
        <w:t>1</w:t>
      </w:r>
      <w:r w:rsidRPr="00C65DA3">
        <w:rPr>
          <w:rFonts w:ascii="Trebuchet MS" w:eastAsiaTheme="minorHAnsi" w:hAnsi="Trebuchet MS" w:cs="Arial"/>
          <w:sz w:val="20"/>
        </w:rPr>
        <w:t>R</w:t>
      </w:r>
      <w:r w:rsidR="0002502B">
        <w:rPr>
          <w:rFonts w:ascii="Trebuchet MS" w:eastAsiaTheme="minorHAnsi" w:hAnsi="Trebuchet MS" w:cs="Arial"/>
          <w:sz w:val="20"/>
        </w:rPr>
        <w:t>s</w:t>
      </w:r>
      <w:r w:rsidRPr="00C65DA3">
        <w:rPr>
          <w:rFonts w:ascii="Trebuchet MS" w:eastAsiaTheme="minorHAnsi" w:hAnsi="Trebuchet MS" w:cs="Arial"/>
          <w:sz w:val="20"/>
        </w:rPr>
        <w:t xml:space="preserve"> (CPA) </w:t>
      </w:r>
      <w:r w:rsidR="0071184F">
        <w:rPr>
          <w:rFonts w:ascii="Trebuchet MS" w:eastAsiaTheme="minorHAnsi" w:hAnsi="Trebuchet MS" w:cs="Arial"/>
          <w:sz w:val="20"/>
        </w:rPr>
        <w:t>com</w:t>
      </w:r>
      <w:r w:rsidR="0071184F">
        <w:rPr>
          <w:rFonts w:ascii="Trebuchet MS" w:eastAsiaTheme="minorHAnsi" w:hAnsi="Trebuchet MS" w:cs="Arial"/>
          <w:sz w:val="20"/>
        </w:rPr>
        <w:t>e</w:t>
      </w:r>
      <w:r w:rsidR="0071184F">
        <w:rPr>
          <w:rFonts w:ascii="Trebuchet MS" w:eastAsiaTheme="minorHAnsi" w:hAnsi="Trebuchet MS" w:cs="Arial"/>
          <w:sz w:val="20"/>
        </w:rPr>
        <w:t>çou-se por estudar o pré-condicionamento com diferentes concentrações de CPA (1-30</w:t>
      </w:r>
      <w:r w:rsidR="0071184F">
        <w:rPr>
          <w:rFonts w:ascii="Trebuchet MS" w:eastAsiaTheme="minorHAnsi" w:hAnsi="Trebuchet MS" w:cs="Arial"/>
          <w:sz w:val="20"/>
        </w:rPr>
        <w:sym w:font="Symbol" w:char="F06D"/>
      </w:r>
      <w:r w:rsidR="0071184F">
        <w:rPr>
          <w:rFonts w:ascii="Trebuchet MS" w:eastAsiaTheme="minorHAnsi" w:hAnsi="Trebuchet MS" w:cs="Arial"/>
          <w:sz w:val="20"/>
        </w:rPr>
        <w:t>M) (ver Fig. 4.4)</w:t>
      </w:r>
      <w:r w:rsidR="00733BB0">
        <w:rPr>
          <w:rFonts w:ascii="Trebuchet MS" w:eastAsiaTheme="minorHAnsi" w:hAnsi="Trebuchet MS" w:cs="Arial"/>
          <w:sz w:val="20"/>
        </w:rPr>
        <w:t>.</w:t>
      </w:r>
    </w:p>
    <w:p w:rsidR="005153D9" w:rsidRDefault="00EA6842" w:rsidP="006328E9">
      <w:pPr>
        <w:spacing w:line="360" w:lineRule="auto"/>
        <w:jc w:val="both"/>
        <w:rPr>
          <w:rFonts w:ascii="Trebuchet MS" w:eastAsiaTheme="minorHAnsi" w:hAnsi="Trebuchet MS" w:cs="Arial"/>
          <w:sz w:val="20"/>
        </w:rPr>
      </w:pPr>
      <w:r>
        <w:rPr>
          <w:rFonts w:ascii="Trebuchet MS" w:eastAsiaTheme="minorHAnsi" w:hAnsi="Trebuchet MS" w:cs="Arial"/>
          <w:sz w:val="20"/>
        </w:rPr>
        <w:tab/>
      </w:r>
    </w:p>
    <w:p w:rsidR="005153D9" w:rsidRPr="00751D14" w:rsidRDefault="005153D9" w:rsidP="005153D9">
      <w:pPr>
        <w:spacing w:line="480" w:lineRule="auto"/>
        <w:jc w:val="center"/>
        <w:rPr>
          <w:rFonts w:ascii="Trebuchet MS" w:eastAsiaTheme="minorHAnsi" w:hAnsi="Trebuchet MS" w:cs="Arial"/>
        </w:rPr>
      </w:pPr>
      <w:r>
        <w:rPr>
          <w:rFonts w:ascii="Trebuchet MS" w:eastAsiaTheme="minorHAnsi" w:hAnsi="Trebuchet MS" w:cs="Arial"/>
          <w:noProof/>
          <w:lang w:eastAsia="pt-PT"/>
        </w:rPr>
        <w:drawing>
          <wp:anchor distT="0" distB="0" distL="114300" distR="114300" simplePos="0" relativeHeight="251701760" behindDoc="0" locked="0" layoutInCell="1" allowOverlap="1">
            <wp:simplePos x="0" y="0"/>
            <wp:positionH relativeFrom="column">
              <wp:posOffset>1043305</wp:posOffset>
            </wp:positionH>
            <wp:positionV relativeFrom="paragraph">
              <wp:posOffset>810260</wp:posOffset>
            </wp:positionV>
            <wp:extent cx="3968750" cy="6350"/>
            <wp:effectExtent l="19050" t="0" r="0" b="0"/>
            <wp:wrapNone/>
            <wp:docPr id="35" name="Objecto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968750" cy="7940"/>
                      <a:chOff x="0" y="0"/>
                      <a:chExt cx="3968750" cy="7940"/>
                    </a:xfrm>
                  </a:grpSpPr>
                  <a:cxnSp>
                    <a:nvCxnSpPr>
                      <a:cNvPr id="6" name="Conexão recta 5"/>
                      <a:cNvCxnSpPr/>
                    </a:nvCxnSpPr>
                    <a:spPr>
                      <a:xfrm>
                        <a:off x="0" y="0"/>
                        <a:ext cx="3968750" cy="7940"/>
                      </a:xfrm>
                      <a:prstGeom prst="line">
                        <a:avLst/>
                      </a:prstGeom>
                      <a:ln w="19050">
                        <a:prstDash val="dash"/>
                      </a:ln>
                    </a:spPr>
                    <a:style>
                      <a:lnRef idx="1">
                        <a:schemeClr val="accent1"/>
                      </a:lnRef>
                      <a:fillRef idx="0">
                        <a:schemeClr val="accent1"/>
                      </a:fillRef>
                      <a:effectRef idx="0">
                        <a:schemeClr val="accent1"/>
                      </a:effectRef>
                      <a:fontRef idx="minor">
                        <a:schemeClr val="tx1"/>
                      </a:fontRef>
                    </a:style>
                  </a:cxnSp>
                </lc:lockedCanvas>
              </a:graphicData>
            </a:graphic>
          </wp:anchor>
        </w:drawing>
      </w:r>
      <w:r w:rsidRPr="000B7644">
        <w:rPr>
          <w:rFonts w:ascii="Trebuchet MS" w:eastAsiaTheme="minorHAnsi" w:hAnsi="Trebuchet MS" w:cs="Arial"/>
          <w:noProof/>
          <w:lang w:eastAsia="pt-PT"/>
        </w:rPr>
        <w:drawing>
          <wp:inline distT="0" distB="0" distL="0" distR="0">
            <wp:extent cx="4627563" cy="2905126"/>
            <wp:effectExtent l="19050" t="0" r="20637" b="9524"/>
            <wp:docPr id="37"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5153D9" w:rsidRDefault="005153D9" w:rsidP="005153D9">
      <w:pPr>
        <w:ind w:left="284" w:right="283"/>
        <w:jc w:val="both"/>
        <w:rPr>
          <w:rFonts w:ascii="Trebuchet MS" w:eastAsiaTheme="minorHAnsi" w:hAnsi="Trebuchet MS" w:cs="Arial"/>
          <w:sz w:val="18"/>
          <w:szCs w:val="18"/>
        </w:rPr>
      </w:pPr>
      <w:r>
        <w:rPr>
          <w:rFonts w:ascii="Trebuchet MS" w:eastAsiaTheme="minorHAnsi" w:hAnsi="Trebuchet MS" w:cs="Arial"/>
          <w:sz w:val="18"/>
          <w:szCs w:val="18"/>
        </w:rPr>
        <w:t>Fig</w:t>
      </w:r>
      <w:r w:rsidRPr="00077CDE">
        <w:rPr>
          <w:rFonts w:ascii="Trebuchet MS" w:eastAsiaTheme="minorHAnsi" w:hAnsi="Trebuchet MS" w:cs="Arial"/>
          <w:sz w:val="18"/>
          <w:szCs w:val="18"/>
        </w:rPr>
        <w:t xml:space="preserve">. 4.4. </w:t>
      </w:r>
      <w:r>
        <w:rPr>
          <w:rFonts w:ascii="Trebuchet MS" w:eastAsiaTheme="minorHAnsi" w:hAnsi="Trebuchet MS" w:cs="Arial"/>
          <w:sz w:val="18"/>
          <w:szCs w:val="18"/>
        </w:rPr>
        <w:t>Efeito do pré-condicionamento com CPA (1-30 µM) no decréscimo da viabilidade cel</w:t>
      </w:r>
      <w:r>
        <w:rPr>
          <w:rFonts w:ascii="Trebuchet MS" w:eastAsiaTheme="minorHAnsi" w:hAnsi="Trebuchet MS" w:cs="Arial"/>
          <w:sz w:val="18"/>
          <w:szCs w:val="18"/>
        </w:rPr>
        <w:t>u</w:t>
      </w:r>
      <w:r>
        <w:rPr>
          <w:rFonts w:ascii="Trebuchet MS" w:eastAsiaTheme="minorHAnsi" w:hAnsi="Trebuchet MS" w:cs="Arial"/>
          <w:sz w:val="18"/>
          <w:szCs w:val="18"/>
        </w:rPr>
        <w:t>lar induzida por um insulto isquémico. As fatias foram perfundidas na ausência (controlo) ou na pr</w:t>
      </w:r>
      <w:r>
        <w:rPr>
          <w:rFonts w:ascii="Trebuchet MS" w:eastAsiaTheme="minorHAnsi" w:hAnsi="Trebuchet MS" w:cs="Arial"/>
          <w:sz w:val="18"/>
          <w:szCs w:val="18"/>
        </w:rPr>
        <w:t>e</w:t>
      </w:r>
      <w:r>
        <w:rPr>
          <w:rFonts w:ascii="Trebuchet MS" w:eastAsiaTheme="minorHAnsi" w:hAnsi="Trebuchet MS" w:cs="Arial"/>
          <w:sz w:val="18"/>
          <w:szCs w:val="18"/>
        </w:rPr>
        <w:t>sença de CPA (1-30</w:t>
      </w:r>
      <w:r w:rsidRPr="00F90DC4">
        <w:rPr>
          <w:rFonts w:ascii="Trebuchet MS" w:eastAsiaTheme="minorHAnsi" w:hAnsi="Trebuchet MS" w:cs="Arial"/>
          <w:sz w:val="18"/>
          <w:szCs w:val="18"/>
        </w:rPr>
        <w:t xml:space="preserve"> </w:t>
      </w:r>
      <w:r>
        <w:rPr>
          <w:rFonts w:ascii="Trebuchet MS" w:eastAsiaTheme="minorHAnsi" w:hAnsi="Trebuchet MS" w:cs="Arial"/>
          <w:sz w:val="18"/>
          <w:szCs w:val="18"/>
        </w:rPr>
        <w:t>µM) durante 20 minutos e 3 horas depois foi aplicado um insulto neurotóxico (20 minutos de POG). A viabilidade celular foi analisada através da incubação com TTC (0,05%), durante</w:t>
      </w:r>
      <w:r w:rsidRPr="00285D9F">
        <w:rPr>
          <w:rFonts w:ascii="Trebuchet MS" w:eastAsiaTheme="minorHAnsi" w:hAnsi="Trebuchet MS" w:cs="Arial"/>
          <w:sz w:val="18"/>
          <w:szCs w:val="18"/>
        </w:rPr>
        <w:t xml:space="preserve"> </w:t>
      </w:r>
      <w:r>
        <w:rPr>
          <w:rFonts w:ascii="Trebuchet MS" w:eastAsiaTheme="minorHAnsi" w:hAnsi="Trebuchet MS" w:cs="Arial"/>
          <w:sz w:val="18"/>
          <w:szCs w:val="18"/>
        </w:rPr>
        <w:t>1hora e 30 minutos. Os resultados representam a percentagem da absorvência do ensaio sem CPA (controlo). Os resultados são a mediana das absorvências (</w:t>
      </w:r>
      <w:r>
        <w:rPr>
          <w:rFonts w:ascii="Trebuchet MS" w:eastAsiaTheme="minorHAnsi" w:hAnsi="Trebuchet MS" w:cs="Arial"/>
          <w:sz w:val="18"/>
          <w:szCs w:val="18"/>
        </w:rPr>
        <w:sym w:font="Symbol" w:char="F06C"/>
      </w:r>
      <w:r>
        <w:rPr>
          <w:rFonts w:ascii="Trebuchet MS" w:eastAsiaTheme="minorHAnsi" w:hAnsi="Trebuchet MS" w:cs="Arial"/>
          <w:sz w:val="18"/>
          <w:szCs w:val="18"/>
        </w:rPr>
        <w:t>=485 nm) corre</w:t>
      </w:r>
      <w:r>
        <w:rPr>
          <w:rFonts w:ascii="Trebuchet MS" w:eastAsiaTheme="minorHAnsi" w:hAnsi="Trebuchet MS" w:cs="Arial"/>
          <w:sz w:val="18"/>
          <w:szCs w:val="18"/>
        </w:rPr>
        <w:t>s</w:t>
      </w:r>
      <w:r>
        <w:rPr>
          <w:rFonts w:ascii="Trebuchet MS" w:eastAsiaTheme="minorHAnsi" w:hAnsi="Trebuchet MS" w:cs="Arial"/>
          <w:sz w:val="18"/>
          <w:szCs w:val="18"/>
        </w:rPr>
        <w:t xml:space="preserve">pondentes a 2-8 experiências independentes realizadas em quadruplicado. </w:t>
      </w:r>
      <w:r w:rsidRPr="00285D9F">
        <w:rPr>
          <w:rFonts w:ascii="Trebuchet MS" w:eastAsiaTheme="minorHAnsi" w:hAnsi="Trebuchet MS" w:cs="Arial"/>
          <w:b/>
          <w:sz w:val="18"/>
          <w:szCs w:val="18"/>
          <w:vertAlign w:val="superscript"/>
        </w:rPr>
        <w:t>†</w:t>
      </w:r>
      <w:r>
        <w:rPr>
          <w:rFonts w:ascii="Trebuchet MS" w:eastAsiaTheme="minorHAnsi" w:hAnsi="Trebuchet MS" w:cs="Arial"/>
          <w:sz w:val="18"/>
          <w:szCs w:val="18"/>
          <w:vertAlign w:val="superscript"/>
        </w:rPr>
        <w:t xml:space="preserve"> </w:t>
      </w:r>
      <w:proofErr w:type="gramStart"/>
      <w:r w:rsidRPr="00285D9F">
        <w:rPr>
          <w:rFonts w:ascii="Trebuchet MS" w:eastAsiaTheme="minorHAnsi" w:hAnsi="Trebuchet MS" w:cs="Arial"/>
          <w:sz w:val="18"/>
          <w:szCs w:val="18"/>
        </w:rPr>
        <w:t>p</w:t>
      </w:r>
      <w:proofErr w:type="gramEnd"/>
      <w:r w:rsidRPr="00285D9F">
        <w:rPr>
          <w:rFonts w:ascii="Trebuchet MS" w:eastAsiaTheme="minorHAnsi" w:hAnsi="Trebuchet MS" w:cs="Arial"/>
          <w:sz w:val="18"/>
          <w:szCs w:val="18"/>
          <w:vertAlign w:val="superscript"/>
        </w:rPr>
        <w:t xml:space="preserve"> </w:t>
      </w:r>
      <w:r w:rsidRPr="00077CDE">
        <w:rPr>
          <w:rFonts w:ascii="Trebuchet MS" w:eastAsiaTheme="minorHAnsi" w:hAnsi="Trebuchet MS" w:cs="Arial"/>
          <w:sz w:val="18"/>
          <w:szCs w:val="18"/>
        </w:rPr>
        <w:t>= 0,068</w:t>
      </w:r>
      <w:r>
        <w:rPr>
          <w:rFonts w:ascii="Trebuchet MS" w:eastAsiaTheme="minorHAnsi" w:hAnsi="Trebuchet MS" w:cs="Arial"/>
          <w:sz w:val="18"/>
          <w:szCs w:val="18"/>
        </w:rPr>
        <w:t xml:space="preserve"> (Teste de Wilcoxon)</w:t>
      </w:r>
      <w:r w:rsidRPr="00077CDE">
        <w:rPr>
          <w:rFonts w:ascii="Trebuchet MS" w:eastAsiaTheme="minorHAnsi" w:hAnsi="Trebuchet MS" w:cs="Arial"/>
          <w:sz w:val="18"/>
          <w:szCs w:val="18"/>
        </w:rPr>
        <w:t>.</w:t>
      </w:r>
    </w:p>
    <w:p w:rsidR="005153D9" w:rsidRDefault="005153D9" w:rsidP="005153D9">
      <w:pPr>
        <w:spacing w:line="480" w:lineRule="auto"/>
        <w:jc w:val="both"/>
        <w:rPr>
          <w:rFonts w:ascii="Trebuchet MS" w:eastAsiaTheme="minorHAnsi" w:hAnsi="Trebuchet MS" w:cs="Arial"/>
          <w:sz w:val="20"/>
        </w:rPr>
      </w:pPr>
    </w:p>
    <w:p w:rsidR="0048113B" w:rsidRDefault="005153D9" w:rsidP="006328E9">
      <w:pPr>
        <w:spacing w:line="360" w:lineRule="auto"/>
        <w:jc w:val="both"/>
        <w:rPr>
          <w:rFonts w:ascii="Trebuchet MS" w:eastAsiaTheme="minorHAnsi" w:hAnsi="Trebuchet MS" w:cs="Arial"/>
          <w:sz w:val="20"/>
        </w:rPr>
      </w:pPr>
      <w:r>
        <w:rPr>
          <w:rFonts w:ascii="Trebuchet MS" w:eastAsiaTheme="minorHAnsi" w:hAnsi="Trebuchet MS" w:cs="Arial"/>
          <w:sz w:val="20"/>
        </w:rPr>
        <w:tab/>
      </w:r>
      <w:r w:rsidR="006A43F5" w:rsidRPr="00C65DA3">
        <w:rPr>
          <w:rFonts w:ascii="Trebuchet MS" w:eastAsiaTheme="minorHAnsi" w:hAnsi="Trebuchet MS" w:cs="Arial"/>
          <w:sz w:val="20"/>
        </w:rPr>
        <w:t xml:space="preserve">Inicialmente, </w:t>
      </w:r>
      <w:r w:rsidR="0080426A">
        <w:rPr>
          <w:rFonts w:ascii="Trebuchet MS" w:eastAsiaTheme="minorHAnsi" w:hAnsi="Trebuchet MS" w:cs="Arial"/>
          <w:sz w:val="20"/>
        </w:rPr>
        <w:t xml:space="preserve">estudou-se o </w:t>
      </w:r>
      <w:r w:rsidR="00733BB0">
        <w:rPr>
          <w:rFonts w:ascii="Trebuchet MS" w:eastAsiaTheme="minorHAnsi" w:hAnsi="Trebuchet MS" w:cs="Arial"/>
          <w:sz w:val="20"/>
        </w:rPr>
        <w:t>efeito do pré-condicionamento</w:t>
      </w:r>
      <w:r w:rsidR="0080426A">
        <w:rPr>
          <w:rFonts w:ascii="Trebuchet MS" w:eastAsiaTheme="minorHAnsi" w:hAnsi="Trebuchet MS" w:cs="Arial"/>
          <w:sz w:val="20"/>
        </w:rPr>
        <w:t xml:space="preserve"> com CPA 1</w:t>
      </w:r>
      <w:r w:rsidR="0080426A">
        <w:rPr>
          <w:rFonts w:ascii="Trebuchet MS" w:eastAsiaTheme="minorHAnsi" w:hAnsi="Trebuchet MS" w:cs="Arial"/>
          <w:sz w:val="20"/>
        </w:rPr>
        <w:sym w:font="Symbol" w:char="F06D"/>
      </w:r>
      <w:r w:rsidR="0080426A">
        <w:rPr>
          <w:rFonts w:ascii="Trebuchet MS" w:eastAsiaTheme="minorHAnsi" w:hAnsi="Trebuchet MS" w:cs="Arial"/>
          <w:sz w:val="20"/>
        </w:rPr>
        <w:t xml:space="preserve">M (n=2) durante 20 minutos, </w:t>
      </w:r>
      <w:r w:rsidR="00733BB0">
        <w:rPr>
          <w:rFonts w:ascii="Trebuchet MS" w:eastAsiaTheme="minorHAnsi" w:hAnsi="Trebuchet MS" w:cs="Arial"/>
          <w:sz w:val="20"/>
        </w:rPr>
        <w:t xml:space="preserve">no efeito neurotóxico produzido por um </w:t>
      </w:r>
      <w:r w:rsidR="0080426A">
        <w:rPr>
          <w:rFonts w:ascii="Trebuchet MS" w:eastAsiaTheme="minorHAnsi" w:hAnsi="Trebuchet MS" w:cs="Arial"/>
          <w:sz w:val="20"/>
        </w:rPr>
        <w:t>insulto isquémico de 20 minu</w:t>
      </w:r>
      <w:r w:rsidR="00C96EF7">
        <w:rPr>
          <w:rFonts w:ascii="Trebuchet MS" w:eastAsiaTheme="minorHAnsi" w:hAnsi="Trebuchet MS" w:cs="Arial"/>
          <w:sz w:val="20"/>
        </w:rPr>
        <w:t>tos, tendo-se observado que esta concentração de CPA não apresentava qualquer efeito neuroprote</w:t>
      </w:r>
      <w:r w:rsidR="00C96EF7">
        <w:rPr>
          <w:rFonts w:ascii="Trebuchet MS" w:eastAsiaTheme="minorHAnsi" w:hAnsi="Trebuchet MS" w:cs="Arial"/>
          <w:sz w:val="20"/>
        </w:rPr>
        <w:t>c</w:t>
      </w:r>
      <w:r w:rsidR="00C96EF7">
        <w:rPr>
          <w:rFonts w:ascii="Trebuchet MS" w:eastAsiaTheme="minorHAnsi" w:hAnsi="Trebuchet MS" w:cs="Arial"/>
          <w:sz w:val="20"/>
        </w:rPr>
        <w:t xml:space="preserve">tor. </w:t>
      </w:r>
      <w:r w:rsidR="0080426A">
        <w:rPr>
          <w:rFonts w:ascii="Trebuchet MS" w:eastAsiaTheme="minorHAnsi" w:hAnsi="Trebuchet MS" w:cs="Arial"/>
          <w:sz w:val="20"/>
        </w:rPr>
        <w:t>Dado que o</w:t>
      </w:r>
      <w:r w:rsidR="00C96EF7">
        <w:rPr>
          <w:rFonts w:ascii="Trebuchet MS" w:eastAsiaTheme="minorHAnsi" w:hAnsi="Trebuchet MS" w:cs="Arial"/>
          <w:sz w:val="20"/>
        </w:rPr>
        <w:t xml:space="preserve"> tratamento</w:t>
      </w:r>
      <w:r w:rsidR="0080426A">
        <w:rPr>
          <w:rFonts w:ascii="Trebuchet MS" w:eastAsiaTheme="minorHAnsi" w:hAnsi="Trebuchet MS" w:cs="Arial"/>
          <w:sz w:val="20"/>
        </w:rPr>
        <w:t xml:space="preserve"> com CPA 1</w:t>
      </w:r>
      <w:r w:rsidR="0080426A">
        <w:rPr>
          <w:rFonts w:ascii="Trebuchet MS" w:eastAsiaTheme="minorHAnsi" w:hAnsi="Trebuchet MS" w:cs="Arial"/>
          <w:sz w:val="20"/>
        </w:rPr>
        <w:sym w:font="Symbol" w:char="F06D"/>
      </w:r>
      <w:r w:rsidR="0080426A">
        <w:rPr>
          <w:rFonts w:ascii="Trebuchet MS" w:eastAsiaTheme="minorHAnsi" w:hAnsi="Trebuchet MS" w:cs="Arial"/>
          <w:sz w:val="20"/>
        </w:rPr>
        <w:t>M não induziu tolerância isquémica, procedeu-se ao</w:t>
      </w:r>
      <w:r w:rsidR="00C96EF7">
        <w:rPr>
          <w:rFonts w:ascii="Trebuchet MS" w:eastAsiaTheme="minorHAnsi" w:hAnsi="Trebuchet MS" w:cs="Arial"/>
          <w:sz w:val="20"/>
        </w:rPr>
        <w:t xml:space="preserve"> pré-condicionamento com</w:t>
      </w:r>
      <w:r w:rsidR="0080426A">
        <w:rPr>
          <w:rFonts w:ascii="Trebuchet MS" w:eastAsiaTheme="minorHAnsi" w:hAnsi="Trebuchet MS" w:cs="Arial"/>
          <w:sz w:val="20"/>
        </w:rPr>
        <w:t xml:space="preserve"> CPA 10</w:t>
      </w:r>
      <w:r w:rsidR="0080426A">
        <w:rPr>
          <w:rFonts w:ascii="Trebuchet MS" w:eastAsiaTheme="minorHAnsi" w:hAnsi="Trebuchet MS" w:cs="Arial"/>
          <w:sz w:val="20"/>
        </w:rPr>
        <w:sym w:font="Symbol" w:char="F06D"/>
      </w:r>
      <w:r w:rsidR="0080426A">
        <w:rPr>
          <w:rFonts w:ascii="Trebuchet MS" w:eastAsiaTheme="minorHAnsi" w:hAnsi="Trebuchet MS" w:cs="Arial"/>
          <w:sz w:val="20"/>
        </w:rPr>
        <w:t xml:space="preserve">M. </w:t>
      </w:r>
      <w:r w:rsidR="00C96EF7">
        <w:rPr>
          <w:rFonts w:ascii="Trebuchet MS" w:eastAsiaTheme="minorHAnsi" w:hAnsi="Trebuchet MS" w:cs="Arial"/>
          <w:sz w:val="20"/>
        </w:rPr>
        <w:t xml:space="preserve">Os resultados obtidos com </w:t>
      </w:r>
      <w:r w:rsidR="0080426A">
        <w:rPr>
          <w:rFonts w:ascii="Trebuchet MS" w:eastAsiaTheme="minorHAnsi" w:hAnsi="Trebuchet MS" w:cs="Arial"/>
          <w:sz w:val="20"/>
        </w:rPr>
        <w:t>concentração</w:t>
      </w:r>
      <w:r w:rsidR="00C96EF7">
        <w:rPr>
          <w:rFonts w:ascii="Trebuchet MS" w:eastAsiaTheme="minorHAnsi" w:hAnsi="Trebuchet MS" w:cs="Arial"/>
          <w:sz w:val="20"/>
        </w:rPr>
        <w:t xml:space="preserve"> de CPA sugerem uma tendência para um aumento da viabilidade celular produzido pelo pré-condicionamento com CPA, face ao insulto isquémico </w:t>
      </w:r>
      <w:r w:rsidR="00653DF7">
        <w:rPr>
          <w:rFonts w:ascii="Trebuchet MS" w:eastAsiaTheme="minorHAnsi" w:hAnsi="Trebuchet MS" w:cs="Arial"/>
          <w:sz w:val="20"/>
        </w:rPr>
        <w:t>(</w:t>
      </w:r>
      <w:r w:rsidR="00653DF7">
        <w:rPr>
          <w:rFonts w:ascii="Perpetua" w:eastAsiaTheme="minorHAnsi" w:hAnsi="Perpetua" w:cs="Arial"/>
          <w:sz w:val="20"/>
        </w:rPr>
        <w:t>†</w:t>
      </w:r>
      <w:r w:rsidR="00653DF7">
        <w:rPr>
          <w:rFonts w:ascii="Trebuchet MS" w:eastAsiaTheme="minorHAnsi" w:hAnsi="Trebuchet MS" w:cs="Arial"/>
          <w:sz w:val="20"/>
        </w:rPr>
        <w:t>=0,068)</w:t>
      </w:r>
      <w:r w:rsidR="00C96EF7">
        <w:rPr>
          <w:rFonts w:ascii="Trebuchet MS" w:eastAsiaTheme="minorHAnsi" w:hAnsi="Trebuchet MS" w:cs="Arial"/>
          <w:sz w:val="20"/>
        </w:rPr>
        <w:t xml:space="preserve"> (ver Fig. 4.4)</w:t>
      </w:r>
      <w:r w:rsidR="00DF53DF">
        <w:rPr>
          <w:rFonts w:ascii="Trebuchet MS" w:eastAsiaTheme="minorHAnsi" w:hAnsi="Trebuchet MS" w:cs="Arial"/>
          <w:sz w:val="20"/>
        </w:rPr>
        <w:t>.</w:t>
      </w:r>
      <w:r w:rsidR="00653DF7">
        <w:rPr>
          <w:rFonts w:ascii="Trebuchet MS" w:eastAsiaTheme="minorHAnsi" w:hAnsi="Trebuchet MS" w:cs="Arial"/>
          <w:sz w:val="20"/>
        </w:rPr>
        <w:t xml:space="preserve"> Embora, </w:t>
      </w:r>
      <w:r w:rsidR="00C96EF7">
        <w:rPr>
          <w:rFonts w:ascii="Trebuchet MS" w:eastAsiaTheme="minorHAnsi" w:hAnsi="Trebuchet MS" w:cs="Arial"/>
          <w:sz w:val="20"/>
        </w:rPr>
        <w:t>este aumento estatist</w:t>
      </w:r>
      <w:r w:rsidR="00C96EF7">
        <w:rPr>
          <w:rFonts w:ascii="Trebuchet MS" w:eastAsiaTheme="minorHAnsi" w:hAnsi="Trebuchet MS" w:cs="Arial"/>
          <w:sz w:val="20"/>
        </w:rPr>
        <w:t>i</w:t>
      </w:r>
      <w:r w:rsidR="00C96EF7">
        <w:rPr>
          <w:rFonts w:ascii="Trebuchet MS" w:eastAsiaTheme="minorHAnsi" w:hAnsi="Trebuchet MS" w:cs="Arial"/>
          <w:sz w:val="20"/>
        </w:rPr>
        <w:t>camente</w:t>
      </w:r>
      <w:r w:rsidR="00653DF7">
        <w:rPr>
          <w:rFonts w:ascii="Trebuchet MS" w:eastAsiaTheme="minorHAnsi" w:hAnsi="Trebuchet MS" w:cs="Arial"/>
          <w:sz w:val="20"/>
        </w:rPr>
        <w:t xml:space="preserve"> significativ</w:t>
      </w:r>
      <w:r w:rsidR="00C96EF7">
        <w:rPr>
          <w:rFonts w:ascii="Trebuchet MS" w:eastAsiaTheme="minorHAnsi" w:hAnsi="Trebuchet MS" w:cs="Arial"/>
          <w:sz w:val="20"/>
        </w:rPr>
        <w:t>o</w:t>
      </w:r>
      <w:r w:rsidR="00DF53DF">
        <w:rPr>
          <w:rFonts w:ascii="Trebuchet MS" w:eastAsiaTheme="minorHAnsi" w:hAnsi="Trebuchet MS" w:cs="Arial"/>
          <w:sz w:val="20"/>
        </w:rPr>
        <w:t xml:space="preserve"> não seja o aumento da viabilidade celular (7%) comparado com o aumento obtido com o IPC (22,8%). Para tentar aumentar a neuroprotecção conferida pela CPA 10 </w:t>
      </w:r>
      <w:r w:rsidR="00DF53DF">
        <w:rPr>
          <w:rFonts w:ascii="Trebuchet MS" w:eastAsiaTheme="minorHAnsi" w:hAnsi="Trebuchet MS" w:cs="Arial"/>
          <w:sz w:val="20"/>
        </w:rPr>
        <w:sym w:font="Symbol" w:char="F06D"/>
      </w:r>
      <w:r w:rsidR="00DF53DF">
        <w:rPr>
          <w:rFonts w:ascii="Trebuchet MS" w:eastAsiaTheme="minorHAnsi" w:hAnsi="Trebuchet MS" w:cs="Arial"/>
          <w:sz w:val="20"/>
        </w:rPr>
        <w:t>M, prolongou-se o período de pré-condicionamento com CPA para 1 hora</w:t>
      </w:r>
      <w:r w:rsidR="00E61D0E">
        <w:rPr>
          <w:rFonts w:ascii="Trebuchet MS" w:eastAsiaTheme="minorHAnsi" w:hAnsi="Trebuchet MS" w:cs="Arial"/>
          <w:sz w:val="20"/>
        </w:rPr>
        <w:t xml:space="preserve">, em vez de, 20 minutos como nas experiências anteriores. No entanto, não se observou neuroprotecção produzida pela CPA 10 </w:t>
      </w:r>
      <w:r w:rsidR="00E61D0E">
        <w:rPr>
          <w:rFonts w:ascii="Trebuchet MS" w:eastAsiaTheme="minorHAnsi" w:hAnsi="Trebuchet MS" w:cs="Arial"/>
          <w:sz w:val="20"/>
        </w:rPr>
        <w:sym w:font="Symbol" w:char="F06D"/>
      </w:r>
      <w:r w:rsidR="00E61D0E">
        <w:rPr>
          <w:rFonts w:ascii="Trebuchet MS" w:eastAsiaTheme="minorHAnsi" w:hAnsi="Trebuchet MS" w:cs="Arial"/>
          <w:sz w:val="20"/>
        </w:rPr>
        <w:t xml:space="preserve">M. </w:t>
      </w:r>
      <w:r w:rsidR="00CF3993">
        <w:rPr>
          <w:rFonts w:ascii="Trebuchet MS" w:eastAsiaTheme="minorHAnsi" w:hAnsi="Trebuchet MS" w:cs="Arial"/>
          <w:sz w:val="20"/>
        </w:rPr>
        <w:t>O valor da mediana da absorvência foi igual a 0,046 no ensaio co</w:t>
      </w:r>
      <w:r w:rsidR="00CF3993">
        <w:rPr>
          <w:rFonts w:ascii="Trebuchet MS" w:eastAsiaTheme="minorHAnsi" w:hAnsi="Trebuchet MS" w:cs="Arial"/>
          <w:sz w:val="20"/>
        </w:rPr>
        <w:t>n</w:t>
      </w:r>
      <w:r w:rsidR="00CF3993">
        <w:rPr>
          <w:rFonts w:ascii="Trebuchet MS" w:eastAsiaTheme="minorHAnsi" w:hAnsi="Trebuchet MS" w:cs="Arial"/>
          <w:sz w:val="20"/>
        </w:rPr>
        <w:t>trolo (POG) e o valor da mediana no ensaio em que se apl</w:t>
      </w:r>
      <w:r w:rsidR="00CF3993">
        <w:rPr>
          <w:rFonts w:ascii="Trebuchet MS" w:eastAsiaTheme="minorHAnsi" w:hAnsi="Trebuchet MS" w:cs="Arial"/>
          <w:sz w:val="20"/>
        </w:rPr>
        <w:t>i</w:t>
      </w:r>
      <w:r w:rsidR="00CF3993">
        <w:rPr>
          <w:rFonts w:ascii="Trebuchet MS" w:eastAsiaTheme="minorHAnsi" w:hAnsi="Trebuchet MS" w:cs="Arial"/>
          <w:sz w:val="20"/>
        </w:rPr>
        <w:t xml:space="preserve">cou pré-condicionamento foi </w:t>
      </w:r>
      <w:r w:rsidR="00E61D0E">
        <w:rPr>
          <w:rFonts w:ascii="Trebuchet MS" w:eastAsiaTheme="minorHAnsi" w:hAnsi="Trebuchet MS" w:cs="Arial"/>
          <w:sz w:val="20"/>
        </w:rPr>
        <w:t xml:space="preserve">de </w:t>
      </w:r>
      <w:r w:rsidR="00CF3993">
        <w:rPr>
          <w:rFonts w:ascii="Trebuchet MS" w:eastAsiaTheme="minorHAnsi" w:hAnsi="Trebuchet MS" w:cs="Arial"/>
          <w:sz w:val="20"/>
        </w:rPr>
        <w:t>0,0445</w:t>
      </w:r>
      <w:r w:rsidR="00E61D0E">
        <w:rPr>
          <w:rFonts w:ascii="Trebuchet MS" w:eastAsiaTheme="minorHAnsi" w:hAnsi="Trebuchet MS" w:cs="Arial"/>
          <w:sz w:val="20"/>
        </w:rPr>
        <w:t xml:space="preserve"> (n=2). A aparente ausência de efeito do pré-condicionamento com CPA 10 </w:t>
      </w:r>
      <w:r w:rsidR="00E61D0E">
        <w:rPr>
          <w:rFonts w:ascii="Trebuchet MS" w:eastAsiaTheme="minorHAnsi" w:hAnsi="Trebuchet MS" w:cs="Arial"/>
          <w:sz w:val="20"/>
        </w:rPr>
        <w:sym w:font="Symbol" w:char="F06D"/>
      </w:r>
      <w:r w:rsidR="00E61D0E">
        <w:rPr>
          <w:rFonts w:ascii="Trebuchet MS" w:eastAsiaTheme="minorHAnsi" w:hAnsi="Trebuchet MS" w:cs="Arial"/>
          <w:sz w:val="20"/>
        </w:rPr>
        <w:t>M durante uma hora poderá reflec</w:t>
      </w:r>
      <w:r w:rsidR="00E61D0E">
        <w:rPr>
          <w:rFonts w:ascii="Trebuchet MS" w:eastAsiaTheme="minorHAnsi" w:hAnsi="Trebuchet MS" w:cs="Arial"/>
          <w:sz w:val="20"/>
        </w:rPr>
        <w:t>t</w:t>
      </w:r>
      <w:r w:rsidR="00E61D0E">
        <w:rPr>
          <w:rFonts w:ascii="Trebuchet MS" w:eastAsiaTheme="minorHAnsi" w:hAnsi="Trebuchet MS" w:cs="Arial"/>
          <w:sz w:val="20"/>
        </w:rPr>
        <w:t>ir dessensibilização do receptor ao se utilizar tempo de incubação prolongado com CPA.</w:t>
      </w:r>
      <w:r w:rsidR="00CF3993">
        <w:rPr>
          <w:rFonts w:ascii="Trebuchet MS" w:eastAsiaTheme="minorHAnsi" w:hAnsi="Trebuchet MS" w:cs="Arial"/>
          <w:sz w:val="20"/>
        </w:rPr>
        <w:t xml:space="preserve"> </w:t>
      </w:r>
      <w:r w:rsidR="00EA6842">
        <w:rPr>
          <w:rFonts w:ascii="Trebuchet MS" w:eastAsiaTheme="minorHAnsi" w:hAnsi="Trebuchet MS" w:cs="Arial"/>
          <w:sz w:val="20"/>
        </w:rPr>
        <w:t xml:space="preserve">Para estudar se </w:t>
      </w:r>
      <w:r w:rsidR="00E61D0E">
        <w:rPr>
          <w:rFonts w:ascii="Trebuchet MS" w:eastAsiaTheme="minorHAnsi" w:hAnsi="Trebuchet MS" w:cs="Arial"/>
          <w:sz w:val="20"/>
        </w:rPr>
        <w:t>o efeito da</w:t>
      </w:r>
      <w:r w:rsidR="00EA6842">
        <w:rPr>
          <w:rFonts w:ascii="Trebuchet MS" w:eastAsiaTheme="minorHAnsi" w:hAnsi="Trebuchet MS" w:cs="Arial"/>
          <w:sz w:val="20"/>
        </w:rPr>
        <w:t xml:space="preserve"> activação dos A</w:t>
      </w:r>
      <w:r w:rsidR="00EA6842" w:rsidRPr="00EA6842">
        <w:rPr>
          <w:rFonts w:ascii="Trebuchet MS" w:eastAsiaTheme="minorHAnsi" w:hAnsi="Trebuchet MS" w:cs="Arial"/>
          <w:sz w:val="20"/>
          <w:vertAlign w:val="subscript"/>
        </w:rPr>
        <w:t>1</w:t>
      </w:r>
      <w:r w:rsidR="00E61D0E">
        <w:rPr>
          <w:rFonts w:ascii="Trebuchet MS" w:eastAsiaTheme="minorHAnsi" w:hAnsi="Trebuchet MS" w:cs="Arial"/>
          <w:sz w:val="20"/>
        </w:rPr>
        <w:t>Rs</w:t>
      </w:r>
      <w:r w:rsidR="00EA6842">
        <w:rPr>
          <w:rFonts w:ascii="Trebuchet MS" w:eastAsiaTheme="minorHAnsi" w:hAnsi="Trebuchet MS" w:cs="Arial"/>
          <w:sz w:val="20"/>
        </w:rPr>
        <w:t xml:space="preserve"> depende da concentração </w:t>
      </w:r>
      <w:r w:rsidR="00EA6842">
        <w:rPr>
          <w:rFonts w:ascii="Trebuchet MS" w:eastAsiaTheme="minorHAnsi" w:hAnsi="Trebuchet MS" w:cs="Arial"/>
          <w:sz w:val="20"/>
        </w:rPr>
        <w:lastRenderedPageBreak/>
        <w:t xml:space="preserve">de agonista aplicado, </w:t>
      </w:r>
      <w:r w:rsidR="00E61D0E">
        <w:rPr>
          <w:rFonts w:ascii="Trebuchet MS" w:eastAsiaTheme="minorHAnsi" w:hAnsi="Trebuchet MS" w:cs="Arial"/>
          <w:sz w:val="20"/>
        </w:rPr>
        <w:t>te</w:t>
      </w:r>
      <w:r w:rsidR="00E61D0E">
        <w:rPr>
          <w:rFonts w:ascii="Trebuchet MS" w:eastAsiaTheme="minorHAnsi" w:hAnsi="Trebuchet MS" w:cs="Arial"/>
          <w:sz w:val="20"/>
        </w:rPr>
        <w:t>s</w:t>
      </w:r>
      <w:r w:rsidR="00E61D0E">
        <w:rPr>
          <w:rFonts w:ascii="Trebuchet MS" w:eastAsiaTheme="minorHAnsi" w:hAnsi="Trebuchet MS" w:cs="Arial"/>
          <w:sz w:val="20"/>
        </w:rPr>
        <w:t xml:space="preserve">tou-se </w:t>
      </w:r>
      <w:r w:rsidR="00EA6842">
        <w:rPr>
          <w:rFonts w:ascii="Trebuchet MS" w:eastAsiaTheme="minorHAnsi" w:hAnsi="Trebuchet MS" w:cs="Arial"/>
          <w:sz w:val="20"/>
        </w:rPr>
        <w:t xml:space="preserve">a concentração de CPA </w:t>
      </w:r>
      <w:r w:rsidR="00E61D0E">
        <w:rPr>
          <w:rFonts w:ascii="Trebuchet MS" w:eastAsiaTheme="minorHAnsi" w:hAnsi="Trebuchet MS" w:cs="Arial"/>
          <w:sz w:val="20"/>
        </w:rPr>
        <w:t>de</w:t>
      </w:r>
      <w:r w:rsidR="00EA6842">
        <w:rPr>
          <w:rFonts w:ascii="Trebuchet MS" w:eastAsiaTheme="minorHAnsi" w:hAnsi="Trebuchet MS" w:cs="Arial"/>
          <w:sz w:val="20"/>
        </w:rPr>
        <w:t xml:space="preserve"> 30 </w:t>
      </w:r>
      <w:r w:rsidR="00EA6842">
        <w:rPr>
          <w:rFonts w:ascii="Trebuchet MS" w:eastAsiaTheme="minorHAnsi" w:hAnsi="Trebuchet MS" w:cs="Arial"/>
          <w:sz w:val="20"/>
        </w:rPr>
        <w:sym w:font="Symbol" w:char="F06D"/>
      </w:r>
      <w:r w:rsidR="00EA6842">
        <w:rPr>
          <w:rFonts w:ascii="Trebuchet MS" w:eastAsiaTheme="minorHAnsi" w:hAnsi="Trebuchet MS" w:cs="Arial"/>
          <w:sz w:val="20"/>
        </w:rPr>
        <w:t>M</w:t>
      </w:r>
      <w:r w:rsidR="00CD67B3">
        <w:rPr>
          <w:rFonts w:ascii="Trebuchet MS" w:eastAsiaTheme="minorHAnsi" w:hAnsi="Trebuchet MS" w:cs="Arial"/>
          <w:sz w:val="20"/>
        </w:rPr>
        <w:t xml:space="preserve"> (n=2)</w:t>
      </w:r>
      <w:r w:rsidR="00EA6842">
        <w:rPr>
          <w:rFonts w:ascii="Trebuchet MS" w:eastAsiaTheme="minorHAnsi" w:hAnsi="Trebuchet MS" w:cs="Arial"/>
          <w:sz w:val="20"/>
        </w:rPr>
        <w:t>. De facto, constata-se que o aumento da co</w:t>
      </w:r>
      <w:r w:rsidR="00EA6842">
        <w:rPr>
          <w:rFonts w:ascii="Trebuchet MS" w:eastAsiaTheme="minorHAnsi" w:hAnsi="Trebuchet MS" w:cs="Arial"/>
          <w:sz w:val="20"/>
        </w:rPr>
        <w:t>n</w:t>
      </w:r>
      <w:r w:rsidR="00EA6842">
        <w:rPr>
          <w:rFonts w:ascii="Trebuchet MS" w:eastAsiaTheme="minorHAnsi" w:hAnsi="Trebuchet MS" w:cs="Arial"/>
          <w:sz w:val="20"/>
        </w:rPr>
        <w:t>centração de CPA não induziu tolerância isquémica face ao controlo (POG)</w:t>
      </w:r>
      <w:r w:rsidR="00E61D0E">
        <w:rPr>
          <w:rFonts w:ascii="Trebuchet MS" w:eastAsiaTheme="minorHAnsi" w:hAnsi="Trebuchet MS" w:cs="Arial"/>
          <w:sz w:val="20"/>
        </w:rPr>
        <w:t xml:space="preserve"> </w:t>
      </w:r>
      <w:proofErr w:type="gramStart"/>
      <w:r w:rsidR="00E61D0E">
        <w:rPr>
          <w:rFonts w:ascii="Trebuchet MS" w:eastAsiaTheme="minorHAnsi" w:hAnsi="Trebuchet MS" w:cs="Arial"/>
          <w:sz w:val="20"/>
        </w:rPr>
        <w:t xml:space="preserve">Fig. </w:t>
      </w:r>
      <w:proofErr w:type="gramEnd"/>
      <w:r w:rsidR="00E61D0E">
        <w:rPr>
          <w:rFonts w:ascii="Trebuchet MS" w:eastAsiaTheme="minorHAnsi" w:hAnsi="Trebuchet MS" w:cs="Arial"/>
          <w:sz w:val="20"/>
        </w:rPr>
        <w:t>4.4</w:t>
      </w:r>
      <w:r w:rsidR="00EA6842">
        <w:rPr>
          <w:rFonts w:ascii="Trebuchet MS" w:eastAsiaTheme="minorHAnsi" w:hAnsi="Trebuchet MS" w:cs="Arial"/>
          <w:sz w:val="20"/>
        </w:rPr>
        <w:t>. Depreende-se que possivelmente ocorre uma dessensibilização dos recept</w:t>
      </w:r>
      <w:r w:rsidR="00EA6842">
        <w:rPr>
          <w:rFonts w:ascii="Trebuchet MS" w:eastAsiaTheme="minorHAnsi" w:hAnsi="Trebuchet MS" w:cs="Arial"/>
          <w:sz w:val="20"/>
        </w:rPr>
        <w:t>o</w:t>
      </w:r>
      <w:r w:rsidR="00EA6842">
        <w:rPr>
          <w:rFonts w:ascii="Trebuchet MS" w:eastAsiaTheme="minorHAnsi" w:hAnsi="Trebuchet MS" w:cs="Arial"/>
          <w:sz w:val="20"/>
        </w:rPr>
        <w:t>res, deixando de exercer o seu efeito neuroprotector.</w:t>
      </w:r>
      <w:r w:rsidR="002F7969">
        <w:rPr>
          <w:rFonts w:ascii="Trebuchet MS" w:eastAsiaTheme="minorHAnsi" w:hAnsi="Trebuchet MS" w:cs="Arial"/>
          <w:sz w:val="20"/>
        </w:rPr>
        <w:t xml:space="preserve"> </w:t>
      </w:r>
      <w:r w:rsidR="0048113B">
        <w:rPr>
          <w:rFonts w:ascii="Trebuchet MS" w:eastAsiaTheme="minorHAnsi" w:hAnsi="Trebuchet MS" w:cs="Arial"/>
          <w:sz w:val="20"/>
        </w:rPr>
        <w:t>Dado que o tratamento com CPA 10</w:t>
      </w:r>
      <w:r w:rsidR="0048113B">
        <w:rPr>
          <w:rFonts w:ascii="Trebuchet MS" w:eastAsiaTheme="minorHAnsi" w:hAnsi="Trebuchet MS" w:cs="Arial"/>
          <w:sz w:val="20"/>
        </w:rPr>
        <w:sym w:font="Symbol" w:char="F06D"/>
      </w:r>
      <w:r w:rsidR="0048113B">
        <w:rPr>
          <w:rFonts w:ascii="Trebuchet MS" w:eastAsiaTheme="minorHAnsi" w:hAnsi="Trebuchet MS" w:cs="Arial"/>
          <w:sz w:val="20"/>
        </w:rPr>
        <w:t xml:space="preserve">M foi o que </w:t>
      </w:r>
      <w:r w:rsidR="00E61D0E">
        <w:rPr>
          <w:rFonts w:ascii="Trebuchet MS" w:eastAsiaTheme="minorHAnsi" w:hAnsi="Trebuchet MS" w:cs="Arial"/>
          <w:sz w:val="20"/>
        </w:rPr>
        <w:t>sugeriu um</w:t>
      </w:r>
      <w:r w:rsidR="0048113B">
        <w:rPr>
          <w:rFonts w:ascii="Trebuchet MS" w:eastAsiaTheme="minorHAnsi" w:hAnsi="Trebuchet MS" w:cs="Arial"/>
          <w:sz w:val="20"/>
        </w:rPr>
        <w:t xml:space="preserve"> efeito neuroprotector, </w:t>
      </w:r>
      <w:r w:rsidR="00E61D0E">
        <w:rPr>
          <w:rFonts w:ascii="Trebuchet MS" w:eastAsiaTheme="minorHAnsi" w:hAnsi="Trebuchet MS" w:cs="Arial"/>
          <w:sz w:val="20"/>
        </w:rPr>
        <w:t xml:space="preserve">utilizando esta concentração de CPA, </w:t>
      </w:r>
      <w:r w:rsidR="0048113B">
        <w:rPr>
          <w:rFonts w:ascii="Trebuchet MS" w:eastAsiaTheme="minorHAnsi" w:hAnsi="Trebuchet MS" w:cs="Arial"/>
          <w:sz w:val="20"/>
        </w:rPr>
        <w:t>estudou-se</w:t>
      </w:r>
      <w:r w:rsidR="00E61D0E">
        <w:rPr>
          <w:rFonts w:ascii="Trebuchet MS" w:eastAsiaTheme="minorHAnsi" w:hAnsi="Trebuchet MS" w:cs="Arial"/>
          <w:sz w:val="20"/>
        </w:rPr>
        <w:t xml:space="preserve"> ainda se o pré-condicionamento com CPA 10 </w:t>
      </w:r>
      <w:r w:rsidR="00E61D0E">
        <w:rPr>
          <w:rFonts w:ascii="Trebuchet MS" w:eastAsiaTheme="minorHAnsi" w:hAnsi="Trebuchet MS" w:cs="Arial"/>
          <w:sz w:val="20"/>
        </w:rPr>
        <w:sym w:font="Symbol" w:char="F06D"/>
      </w:r>
      <w:r w:rsidR="00E61D0E">
        <w:rPr>
          <w:rFonts w:ascii="Trebuchet MS" w:eastAsiaTheme="minorHAnsi" w:hAnsi="Trebuchet MS" w:cs="Arial"/>
          <w:sz w:val="20"/>
        </w:rPr>
        <w:t>M</w:t>
      </w:r>
      <w:r>
        <w:rPr>
          <w:rFonts w:ascii="Trebuchet MS" w:eastAsiaTheme="minorHAnsi" w:hAnsi="Trebuchet MS" w:cs="Arial"/>
          <w:sz w:val="20"/>
        </w:rPr>
        <w:t xml:space="preserve"> durante 20 minutos produziria uma maior neuropr</w:t>
      </w:r>
      <w:r>
        <w:rPr>
          <w:rFonts w:ascii="Trebuchet MS" w:eastAsiaTheme="minorHAnsi" w:hAnsi="Trebuchet MS" w:cs="Arial"/>
          <w:sz w:val="20"/>
        </w:rPr>
        <w:t>o</w:t>
      </w:r>
      <w:r>
        <w:rPr>
          <w:rFonts w:ascii="Trebuchet MS" w:eastAsiaTheme="minorHAnsi" w:hAnsi="Trebuchet MS" w:cs="Arial"/>
          <w:sz w:val="20"/>
        </w:rPr>
        <w:t>tecção face à</w:t>
      </w:r>
      <w:r w:rsidR="0048113B">
        <w:rPr>
          <w:rFonts w:ascii="Trebuchet MS" w:eastAsiaTheme="minorHAnsi" w:hAnsi="Trebuchet MS" w:cs="Arial"/>
          <w:sz w:val="20"/>
        </w:rPr>
        <w:t xml:space="preserve"> aplicação de um insulto isquémico inferior ao normalmente aplicado, para te</w:t>
      </w:r>
      <w:r w:rsidR="0048113B">
        <w:rPr>
          <w:rFonts w:ascii="Trebuchet MS" w:eastAsiaTheme="minorHAnsi" w:hAnsi="Trebuchet MS" w:cs="Arial"/>
          <w:sz w:val="20"/>
        </w:rPr>
        <w:t>s</w:t>
      </w:r>
      <w:r w:rsidR="0048113B">
        <w:rPr>
          <w:rFonts w:ascii="Trebuchet MS" w:eastAsiaTheme="minorHAnsi" w:hAnsi="Trebuchet MS" w:cs="Arial"/>
          <w:sz w:val="20"/>
        </w:rPr>
        <w:t>tar</w:t>
      </w:r>
      <w:r w:rsidR="00916285">
        <w:rPr>
          <w:rFonts w:ascii="Trebuchet MS" w:eastAsiaTheme="minorHAnsi" w:hAnsi="Trebuchet MS" w:cs="Arial"/>
          <w:sz w:val="20"/>
        </w:rPr>
        <w:t xml:space="preserve"> se por ventura o insulto isquémico seria demasiado neurotó</w:t>
      </w:r>
      <w:r>
        <w:rPr>
          <w:rFonts w:ascii="Trebuchet MS" w:eastAsiaTheme="minorHAnsi" w:hAnsi="Trebuchet MS" w:cs="Arial"/>
          <w:sz w:val="20"/>
        </w:rPr>
        <w:t xml:space="preserve">xico. Foi testada a aplicação de 10 </w:t>
      </w:r>
      <w:r w:rsidR="00916285">
        <w:rPr>
          <w:rFonts w:ascii="Trebuchet MS" w:eastAsiaTheme="minorHAnsi" w:hAnsi="Trebuchet MS" w:cs="Arial"/>
          <w:sz w:val="20"/>
        </w:rPr>
        <w:t>min</w:t>
      </w:r>
      <w:r w:rsidR="00916285">
        <w:rPr>
          <w:rFonts w:ascii="Trebuchet MS" w:eastAsiaTheme="minorHAnsi" w:hAnsi="Trebuchet MS" w:cs="Arial"/>
          <w:sz w:val="20"/>
        </w:rPr>
        <w:t>u</w:t>
      </w:r>
      <w:r w:rsidR="00916285">
        <w:rPr>
          <w:rFonts w:ascii="Trebuchet MS" w:eastAsiaTheme="minorHAnsi" w:hAnsi="Trebuchet MS" w:cs="Arial"/>
          <w:sz w:val="20"/>
        </w:rPr>
        <w:t>tos e 12</w:t>
      </w:r>
      <w:r>
        <w:rPr>
          <w:rFonts w:ascii="Trebuchet MS" w:eastAsiaTheme="minorHAnsi" w:hAnsi="Trebuchet MS" w:cs="Arial"/>
          <w:sz w:val="20"/>
        </w:rPr>
        <w:t xml:space="preserve"> </w:t>
      </w:r>
      <w:r w:rsidR="00916285">
        <w:rPr>
          <w:rFonts w:ascii="Trebuchet MS" w:eastAsiaTheme="minorHAnsi" w:hAnsi="Trebuchet MS" w:cs="Arial"/>
          <w:sz w:val="20"/>
        </w:rPr>
        <w:t xml:space="preserve">minutos de POG. Constatou-se que </w:t>
      </w:r>
      <w:r w:rsidR="006F4618">
        <w:rPr>
          <w:rFonts w:ascii="Trebuchet MS" w:eastAsiaTheme="minorHAnsi" w:hAnsi="Trebuchet MS" w:cs="Arial"/>
          <w:sz w:val="20"/>
        </w:rPr>
        <w:t>a duração do insulto isquémico não foi suf</w:t>
      </w:r>
      <w:r w:rsidR="006F4618">
        <w:rPr>
          <w:rFonts w:ascii="Trebuchet MS" w:eastAsiaTheme="minorHAnsi" w:hAnsi="Trebuchet MS" w:cs="Arial"/>
          <w:sz w:val="20"/>
        </w:rPr>
        <w:t>i</w:t>
      </w:r>
      <w:r w:rsidR="006F4618">
        <w:rPr>
          <w:rFonts w:ascii="Trebuchet MS" w:eastAsiaTheme="minorHAnsi" w:hAnsi="Trebuchet MS" w:cs="Arial"/>
          <w:sz w:val="20"/>
        </w:rPr>
        <w:t>ciente para induzir danos.</w:t>
      </w:r>
    </w:p>
    <w:p w:rsidR="00F90DC4" w:rsidRDefault="0048113B" w:rsidP="006328E9">
      <w:pPr>
        <w:spacing w:line="360" w:lineRule="auto"/>
        <w:jc w:val="both"/>
        <w:rPr>
          <w:rFonts w:ascii="Trebuchet MS" w:eastAsiaTheme="minorHAnsi" w:hAnsi="Trebuchet MS" w:cs="Arial"/>
          <w:sz w:val="20"/>
        </w:rPr>
      </w:pPr>
      <w:r>
        <w:rPr>
          <w:rFonts w:ascii="Trebuchet MS" w:eastAsiaTheme="minorHAnsi" w:hAnsi="Trebuchet MS" w:cs="Arial"/>
          <w:sz w:val="20"/>
        </w:rPr>
        <w:tab/>
      </w:r>
    </w:p>
    <w:p w:rsidR="00270264" w:rsidRPr="00D3442E" w:rsidRDefault="00F90DC4" w:rsidP="00F90DC4">
      <w:pPr>
        <w:spacing w:line="360" w:lineRule="auto"/>
        <w:jc w:val="both"/>
        <w:rPr>
          <w:rFonts w:ascii="Trebuchet MS" w:eastAsiaTheme="minorHAnsi" w:hAnsi="Trebuchet MS" w:cs="Arial"/>
          <w:sz w:val="20"/>
        </w:rPr>
      </w:pPr>
      <w:r>
        <w:rPr>
          <w:rFonts w:ascii="Trebuchet MS" w:eastAsiaTheme="minorHAnsi" w:hAnsi="Trebuchet MS" w:cs="Arial"/>
          <w:sz w:val="20"/>
        </w:rPr>
        <w:tab/>
      </w:r>
      <w:r w:rsidR="003929E5" w:rsidRPr="00D3442E">
        <w:rPr>
          <w:rFonts w:ascii="Trebuchet MS" w:eastAsiaTheme="minorHAnsi" w:hAnsi="Trebuchet MS" w:cs="Arial"/>
          <w:sz w:val="20"/>
        </w:rPr>
        <w:t xml:space="preserve">O facto de se observar efeito neuroprotector </w:t>
      </w:r>
      <w:r w:rsidR="005A1572" w:rsidRPr="00D3442E">
        <w:rPr>
          <w:rFonts w:ascii="Trebuchet MS" w:eastAsiaTheme="minorHAnsi" w:hAnsi="Trebuchet MS" w:cs="Arial"/>
          <w:sz w:val="20"/>
        </w:rPr>
        <w:t>um efeito neuroprotector sign</w:t>
      </w:r>
      <w:r w:rsidR="005A1572" w:rsidRPr="00D3442E">
        <w:rPr>
          <w:rFonts w:ascii="Trebuchet MS" w:eastAsiaTheme="minorHAnsi" w:hAnsi="Trebuchet MS" w:cs="Arial"/>
          <w:sz w:val="20"/>
        </w:rPr>
        <w:t>i</w:t>
      </w:r>
      <w:r w:rsidR="005A1572" w:rsidRPr="00D3442E">
        <w:rPr>
          <w:rFonts w:ascii="Trebuchet MS" w:eastAsiaTheme="minorHAnsi" w:hAnsi="Trebuchet MS" w:cs="Arial"/>
          <w:sz w:val="20"/>
        </w:rPr>
        <w:t>ficativo (+23%) do IPC face a um insulto isquémico neurotóxico, o qual foi apenas parcialmente mim</w:t>
      </w:r>
      <w:r w:rsidR="005A1572" w:rsidRPr="00D3442E">
        <w:rPr>
          <w:rFonts w:ascii="Trebuchet MS" w:eastAsiaTheme="minorHAnsi" w:hAnsi="Trebuchet MS" w:cs="Arial"/>
          <w:sz w:val="20"/>
        </w:rPr>
        <w:t>e</w:t>
      </w:r>
      <w:r w:rsidR="005A1572" w:rsidRPr="00D3442E">
        <w:rPr>
          <w:rFonts w:ascii="Trebuchet MS" w:eastAsiaTheme="minorHAnsi" w:hAnsi="Trebuchet MS" w:cs="Arial"/>
          <w:sz w:val="20"/>
        </w:rPr>
        <w:t xml:space="preserve">tizado pelo pré-condicionamento químico com CPA 10 </w:t>
      </w:r>
      <w:r w:rsidR="005A1572" w:rsidRPr="00D3442E">
        <w:rPr>
          <w:rFonts w:ascii="Trebuchet MS" w:eastAsiaTheme="minorHAnsi" w:hAnsi="Trebuchet MS" w:cs="Arial"/>
          <w:sz w:val="20"/>
        </w:rPr>
        <w:sym w:font="Symbol" w:char="F06D"/>
      </w:r>
      <w:r w:rsidR="005A1572" w:rsidRPr="00D3442E">
        <w:rPr>
          <w:rFonts w:ascii="Trebuchet MS" w:eastAsiaTheme="minorHAnsi" w:hAnsi="Trebuchet MS" w:cs="Arial"/>
          <w:sz w:val="20"/>
        </w:rPr>
        <w:t>M, sugere que, em ratos adu</w:t>
      </w:r>
      <w:r w:rsidR="005A1572" w:rsidRPr="00D3442E">
        <w:rPr>
          <w:rFonts w:ascii="Trebuchet MS" w:eastAsiaTheme="minorHAnsi" w:hAnsi="Trebuchet MS" w:cs="Arial"/>
          <w:sz w:val="20"/>
        </w:rPr>
        <w:t>l</w:t>
      </w:r>
      <w:r w:rsidR="005A1572" w:rsidRPr="00D3442E">
        <w:rPr>
          <w:rFonts w:ascii="Trebuchet MS" w:eastAsiaTheme="minorHAnsi" w:hAnsi="Trebuchet MS" w:cs="Arial"/>
          <w:sz w:val="20"/>
        </w:rPr>
        <w:t>tos, a activação dos A</w:t>
      </w:r>
      <w:r w:rsidR="005A1572" w:rsidRPr="00D3442E">
        <w:rPr>
          <w:rFonts w:ascii="Trebuchet MS" w:eastAsiaTheme="minorHAnsi" w:hAnsi="Trebuchet MS" w:cs="Arial"/>
          <w:sz w:val="20"/>
          <w:vertAlign w:val="subscript"/>
        </w:rPr>
        <w:t>1</w:t>
      </w:r>
      <w:r w:rsidR="005A1572" w:rsidRPr="00D3442E">
        <w:rPr>
          <w:rFonts w:ascii="Trebuchet MS" w:eastAsiaTheme="minorHAnsi" w:hAnsi="Trebuchet MS" w:cs="Arial"/>
          <w:sz w:val="20"/>
        </w:rPr>
        <w:t>Rs no hipocampo não é suficiente para induzir uma resposta neuropr</w:t>
      </w:r>
      <w:r w:rsidR="005A1572" w:rsidRPr="00D3442E">
        <w:rPr>
          <w:rFonts w:ascii="Trebuchet MS" w:eastAsiaTheme="minorHAnsi" w:hAnsi="Trebuchet MS" w:cs="Arial"/>
          <w:sz w:val="20"/>
        </w:rPr>
        <w:t>o</w:t>
      </w:r>
      <w:r w:rsidR="005A1572" w:rsidRPr="00D3442E">
        <w:rPr>
          <w:rFonts w:ascii="Trebuchet MS" w:eastAsiaTheme="minorHAnsi" w:hAnsi="Trebuchet MS" w:cs="Arial"/>
          <w:sz w:val="20"/>
        </w:rPr>
        <w:t>tectora adequada face ao insulto neurotóxico aplicado, embora segundo estudos anteriores a activ</w:t>
      </w:r>
      <w:r w:rsidR="005A1572" w:rsidRPr="00D3442E">
        <w:rPr>
          <w:rFonts w:ascii="Trebuchet MS" w:eastAsiaTheme="minorHAnsi" w:hAnsi="Trebuchet MS" w:cs="Arial"/>
          <w:sz w:val="20"/>
        </w:rPr>
        <w:t>a</w:t>
      </w:r>
      <w:r w:rsidR="005A1572" w:rsidRPr="00D3442E">
        <w:rPr>
          <w:rFonts w:ascii="Trebuchet MS" w:eastAsiaTheme="minorHAnsi" w:hAnsi="Trebuchet MS" w:cs="Arial"/>
          <w:sz w:val="20"/>
        </w:rPr>
        <w:t>ção dos A</w:t>
      </w:r>
      <w:r w:rsidR="005A1572" w:rsidRPr="00D3442E">
        <w:rPr>
          <w:rFonts w:ascii="Trebuchet MS" w:eastAsiaTheme="minorHAnsi" w:hAnsi="Trebuchet MS" w:cs="Arial"/>
          <w:sz w:val="20"/>
          <w:vertAlign w:val="subscript"/>
        </w:rPr>
        <w:t>1</w:t>
      </w:r>
      <w:r w:rsidR="005A1572" w:rsidRPr="00D3442E">
        <w:rPr>
          <w:rFonts w:ascii="Trebuchet MS" w:eastAsiaTheme="minorHAnsi" w:hAnsi="Trebuchet MS" w:cs="Arial"/>
          <w:sz w:val="20"/>
        </w:rPr>
        <w:t>Rs seja necessária para a indução de neuroprotecção por IPC.</w:t>
      </w:r>
      <w:r w:rsidR="00461217" w:rsidRPr="00D3442E">
        <w:rPr>
          <w:rFonts w:ascii="Trebuchet MS" w:eastAsiaTheme="minorHAnsi" w:hAnsi="Trebuchet MS" w:cs="Arial"/>
          <w:sz w:val="20"/>
        </w:rPr>
        <w:t xml:space="preserve"> Os nossos resu</w:t>
      </w:r>
      <w:r w:rsidR="00461217" w:rsidRPr="00D3442E">
        <w:rPr>
          <w:rFonts w:ascii="Trebuchet MS" w:eastAsiaTheme="minorHAnsi" w:hAnsi="Trebuchet MS" w:cs="Arial"/>
          <w:sz w:val="20"/>
        </w:rPr>
        <w:t>l</w:t>
      </w:r>
      <w:r w:rsidR="00461217" w:rsidRPr="00D3442E">
        <w:rPr>
          <w:rFonts w:ascii="Trebuchet MS" w:eastAsiaTheme="minorHAnsi" w:hAnsi="Trebuchet MS" w:cs="Arial"/>
          <w:sz w:val="20"/>
        </w:rPr>
        <w:t>tados con</w:t>
      </w:r>
      <w:r w:rsidR="00A620B2" w:rsidRPr="00D3442E">
        <w:rPr>
          <w:rFonts w:ascii="Trebuchet MS" w:eastAsiaTheme="minorHAnsi" w:hAnsi="Trebuchet MS" w:cs="Arial"/>
          <w:sz w:val="20"/>
        </w:rPr>
        <w:t>trastam com os obtidos em culturas organotípicas de ratos recém-nascidos</w:t>
      </w:r>
      <w:r w:rsidR="00270264" w:rsidRPr="00D3442E">
        <w:rPr>
          <w:rFonts w:ascii="Trebuchet MS" w:eastAsiaTheme="minorHAnsi" w:hAnsi="Trebuchet MS" w:cs="Arial"/>
          <w:sz w:val="20"/>
        </w:rPr>
        <w:t xml:space="preserve"> (Raval </w:t>
      </w:r>
      <w:r w:rsidR="00270264" w:rsidRPr="00D3442E">
        <w:rPr>
          <w:rFonts w:ascii="Trebuchet MS" w:eastAsiaTheme="minorHAnsi" w:hAnsi="Trebuchet MS" w:cs="Arial"/>
          <w:i/>
          <w:sz w:val="20"/>
        </w:rPr>
        <w:t>et al.</w:t>
      </w:r>
      <w:r w:rsidR="00270264" w:rsidRPr="00D3442E">
        <w:rPr>
          <w:rFonts w:ascii="Trebuchet MS" w:eastAsiaTheme="minorHAnsi" w:hAnsi="Trebuchet MS" w:cs="Arial"/>
          <w:sz w:val="20"/>
        </w:rPr>
        <w:t>, 2003;2006)</w:t>
      </w:r>
      <w:r w:rsidR="00A620B2" w:rsidRPr="00D3442E">
        <w:rPr>
          <w:rFonts w:ascii="Trebuchet MS" w:eastAsiaTheme="minorHAnsi" w:hAnsi="Trebuchet MS" w:cs="Arial"/>
          <w:sz w:val="20"/>
        </w:rPr>
        <w:t>, onde o pré-condicionamento com agonistas dos A</w:t>
      </w:r>
      <w:r w:rsidR="00A620B2" w:rsidRPr="00D3442E">
        <w:rPr>
          <w:rFonts w:ascii="Trebuchet MS" w:eastAsiaTheme="minorHAnsi" w:hAnsi="Trebuchet MS" w:cs="Arial"/>
          <w:sz w:val="20"/>
          <w:vertAlign w:val="subscript"/>
        </w:rPr>
        <w:t>1</w:t>
      </w:r>
      <w:r w:rsidR="00A620B2" w:rsidRPr="00D3442E">
        <w:rPr>
          <w:rFonts w:ascii="Trebuchet MS" w:eastAsiaTheme="minorHAnsi" w:hAnsi="Trebuchet MS" w:cs="Arial"/>
          <w:sz w:val="20"/>
        </w:rPr>
        <w:t>Rs</w:t>
      </w:r>
      <w:r w:rsidR="00270264" w:rsidRPr="00D3442E">
        <w:rPr>
          <w:rFonts w:ascii="Trebuchet MS" w:eastAsiaTheme="minorHAnsi" w:hAnsi="Trebuchet MS" w:cs="Arial"/>
          <w:sz w:val="20"/>
        </w:rPr>
        <w:t xml:space="preserve"> é suficiente para induzir para induzir um efeito neurotóxico máximo. A diferença obtida entre os resultados poderá ser devido à menor co</w:t>
      </w:r>
      <w:r w:rsidR="00270264" w:rsidRPr="00D3442E">
        <w:rPr>
          <w:rFonts w:ascii="Trebuchet MS" w:eastAsiaTheme="minorHAnsi" w:hAnsi="Trebuchet MS" w:cs="Arial"/>
          <w:sz w:val="20"/>
        </w:rPr>
        <w:t>n</w:t>
      </w:r>
      <w:r w:rsidR="00270264" w:rsidRPr="00D3442E">
        <w:rPr>
          <w:rFonts w:ascii="Trebuchet MS" w:eastAsiaTheme="minorHAnsi" w:hAnsi="Trebuchet MS" w:cs="Arial"/>
          <w:sz w:val="20"/>
        </w:rPr>
        <w:t>centração de A</w:t>
      </w:r>
      <w:r w:rsidR="00270264" w:rsidRPr="00D3442E">
        <w:rPr>
          <w:rFonts w:ascii="Trebuchet MS" w:eastAsiaTheme="minorHAnsi" w:hAnsi="Trebuchet MS" w:cs="Arial"/>
          <w:sz w:val="20"/>
          <w:vertAlign w:val="subscript"/>
        </w:rPr>
        <w:t>1</w:t>
      </w:r>
      <w:r w:rsidR="00270264" w:rsidRPr="00D3442E">
        <w:rPr>
          <w:rFonts w:ascii="Trebuchet MS" w:eastAsiaTheme="minorHAnsi" w:hAnsi="Trebuchet MS" w:cs="Arial"/>
          <w:sz w:val="20"/>
        </w:rPr>
        <w:t>R observada em ratos adultos</w:t>
      </w:r>
      <w:r w:rsidR="001B1530" w:rsidRPr="00D3442E">
        <w:rPr>
          <w:rFonts w:ascii="Trebuchet MS" w:eastAsiaTheme="minorHAnsi" w:hAnsi="Trebuchet MS" w:cs="Arial"/>
          <w:sz w:val="20"/>
        </w:rPr>
        <w:t>.</w:t>
      </w:r>
      <w:r w:rsidR="00270264" w:rsidRPr="00D3442E">
        <w:rPr>
          <w:rFonts w:ascii="Trebuchet MS" w:eastAsiaTheme="minorHAnsi" w:hAnsi="Trebuchet MS" w:cs="Arial"/>
          <w:sz w:val="20"/>
        </w:rPr>
        <w:t xml:space="preserve"> </w:t>
      </w:r>
    </w:p>
    <w:p w:rsidR="003929E5" w:rsidRDefault="003929E5" w:rsidP="00F90DC4">
      <w:pPr>
        <w:spacing w:line="360" w:lineRule="auto"/>
        <w:jc w:val="both"/>
        <w:rPr>
          <w:rFonts w:ascii="Trebuchet MS" w:eastAsiaTheme="minorHAnsi" w:hAnsi="Trebuchet MS" w:cs="Arial"/>
          <w:sz w:val="20"/>
        </w:rPr>
      </w:pPr>
    </w:p>
    <w:p w:rsidR="005A1572" w:rsidRDefault="005A1572" w:rsidP="005A1572">
      <w:pPr>
        <w:spacing w:line="360" w:lineRule="auto"/>
        <w:ind w:firstLine="720"/>
        <w:jc w:val="both"/>
        <w:rPr>
          <w:rFonts w:ascii="Trebuchet MS" w:eastAsiaTheme="minorHAnsi" w:hAnsi="Trebuchet MS" w:cstheme="minorBidi"/>
          <w:sz w:val="20"/>
          <w:szCs w:val="20"/>
        </w:rPr>
      </w:pPr>
      <w:r w:rsidRPr="0001637A">
        <w:rPr>
          <w:rFonts w:ascii="Trebuchet MS" w:hAnsi="Trebuchet MS"/>
          <w:sz w:val="20"/>
        </w:rPr>
        <w:t>Desta forma, depreende-se que a tolerância isquémica induzida pelo IPC</w:t>
      </w:r>
      <w:r>
        <w:rPr>
          <w:rFonts w:ascii="Trebuchet MS" w:hAnsi="Trebuchet MS"/>
          <w:sz w:val="20"/>
        </w:rPr>
        <w:t>, embora po</w:t>
      </w:r>
      <w:r>
        <w:rPr>
          <w:rFonts w:ascii="Trebuchet MS" w:hAnsi="Trebuchet MS"/>
          <w:sz w:val="20"/>
        </w:rPr>
        <w:t>s</w:t>
      </w:r>
      <w:r>
        <w:rPr>
          <w:rFonts w:ascii="Trebuchet MS" w:hAnsi="Trebuchet MS"/>
          <w:sz w:val="20"/>
        </w:rPr>
        <w:t xml:space="preserve">sa </w:t>
      </w:r>
      <w:r w:rsidRPr="0001637A">
        <w:rPr>
          <w:rFonts w:ascii="Trebuchet MS" w:hAnsi="Trebuchet MS"/>
          <w:sz w:val="20"/>
        </w:rPr>
        <w:t xml:space="preserve">ser dependente da activação dos </w:t>
      </w:r>
      <w:r w:rsidRPr="0001637A">
        <w:rPr>
          <w:rFonts w:ascii="Trebuchet MS" w:hAnsi="Trebuchet MS" w:cs="Arial"/>
          <w:sz w:val="20"/>
        </w:rPr>
        <w:t>A</w:t>
      </w:r>
      <w:r w:rsidRPr="0001637A">
        <w:rPr>
          <w:rFonts w:ascii="Trebuchet MS" w:hAnsi="Trebuchet MS" w:cs="Arial"/>
          <w:sz w:val="20"/>
          <w:vertAlign w:val="subscript"/>
        </w:rPr>
        <w:t>1</w:t>
      </w:r>
      <w:r w:rsidRPr="0001637A">
        <w:rPr>
          <w:rFonts w:ascii="Trebuchet MS" w:hAnsi="Trebuchet MS" w:cs="Arial"/>
          <w:sz w:val="20"/>
        </w:rPr>
        <w:t>R</w:t>
      </w:r>
      <w:r>
        <w:rPr>
          <w:rFonts w:ascii="Trebuchet MS" w:hAnsi="Trebuchet MS" w:cs="Arial"/>
          <w:sz w:val="20"/>
        </w:rPr>
        <w:t>s</w:t>
      </w:r>
      <w:r w:rsidRPr="0001637A">
        <w:rPr>
          <w:rFonts w:ascii="Trebuchet MS" w:hAnsi="Trebuchet MS"/>
          <w:sz w:val="20"/>
        </w:rPr>
        <w:t xml:space="preserve">, no entanto, eles por si só, não são suficientes para reproduzir o efeito do IPC. Ou seja, a neuroprotecção conferida depende da activação de </w:t>
      </w:r>
      <w:r w:rsidRPr="0001637A">
        <w:rPr>
          <w:rFonts w:ascii="Trebuchet MS" w:hAnsi="Trebuchet MS" w:cs="Arial"/>
          <w:sz w:val="20"/>
        </w:rPr>
        <w:t>A</w:t>
      </w:r>
      <w:r w:rsidRPr="0001637A">
        <w:rPr>
          <w:rFonts w:ascii="Trebuchet MS" w:hAnsi="Trebuchet MS" w:cs="Arial"/>
          <w:sz w:val="20"/>
          <w:vertAlign w:val="subscript"/>
        </w:rPr>
        <w:t>1</w:t>
      </w:r>
      <w:r w:rsidRPr="0001637A">
        <w:rPr>
          <w:rFonts w:ascii="Trebuchet MS" w:hAnsi="Trebuchet MS" w:cs="Arial"/>
          <w:sz w:val="20"/>
        </w:rPr>
        <w:t>R</w:t>
      </w:r>
      <w:r w:rsidRPr="0001637A">
        <w:rPr>
          <w:rFonts w:ascii="Trebuchet MS" w:hAnsi="Trebuchet MS"/>
          <w:sz w:val="20"/>
        </w:rPr>
        <w:t xml:space="preserve"> como sendo parte integrante de um conjunto de vias necessárias para a constituição do pr</w:t>
      </w:r>
      <w:r w:rsidRPr="0001637A">
        <w:rPr>
          <w:rFonts w:ascii="Trebuchet MS" w:hAnsi="Trebuchet MS"/>
          <w:sz w:val="20"/>
        </w:rPr>
        <w:t>o</w:t>
      </w:r>
      <w:r w:rsidRPr="0001637A">
        <w:rPr>
          <w:rFonts w:ascii="Trebuchet MS" w:hAnsi="Trebuchet MS"/>
          <w:sz w:val="20"/>
        </w:rPr>
        <w:t>cesso de neuroprotecção, conferindo tolerância isquémica transitória ou prolongada. Relat</w:t>
      </w:r>
      <w:r w:rsidRPr="0001637A">
        <w:rPr>
          <w:rFonts w:ascii="Trebuchet MS" w:hAnsi="Trebuchet MS"/>
          <w:sz w:val="20"/>
        </w:rPr>
        <w:t>i</w:t>
      </w:r>
      <w:r w:rsidRPr="0001637A">
        <w:rPr>
          <w:rFonts w:ascii="Trebuchet MS" w:hAnsi="Trebuchet MS"/>
          <w:sz w:val="20"/>
        </w:rPr>
        <w:t>vamente à duração do efeito promovido pelo pré-condicionamento, não sabemos se se trata de um efeito momentâneo de curta duração (transitório) ou tardio (prolongado).</w:t>
      </w:r>
    </w:p>
    <w:p w:rsidR="005A1572" w:rsidRDefault="005A1572" w:rsidP="00F90DC4">
      <w:pPr>
        <w:spacing w:line="360" w:lineRule="auto"/>
        <w:jc w:val="both"/>
        <w:rPr>
          <w:rFonts w:ascii="Trebuchet MS" w:eastAsiaTheme="minorHAnsi" w:hAnsi="Trebuchet MS" w:cs="Arial"/>
          <w:sz w:val="20"/>
        </w:rPr>
      </w:pPr>
      <w:r>
        <w:rPr>
          <w:rFonts w:ascii="Trebuchet MS" w:eastAsiaTheme="minorHAnsi" w:hAnsi="Trebuchet MS" w:cs="Arial"/>
          <w:sz w:val="20"/>
        </w:rPr>
        <w:tab/>
      </w:r>
    </w:p>
    <w:p w:rsidR="00123289" w:rsidRPr="0098429E" w:rsidRDefault="005A1572" w:rsidP="00F90DC4">
      <w:pPr>
        <w:spacing w:line="360" w:lineRule="auto"/>
        <w:jc w:val="both"/>
        <w:rPr>
          <w:rFonts w:ascii="Trebuchet MS" w:eastAsiaTheme="minorHAnsi" w:hAnsi="Trebuchet MS" w:cs="Arial"/>
          <w:sz w:val="18"/>
          <w:szCs w:val="18"/>
        </w:rPr>
      </w:pPr>
      <w:r>
        <w:rPr>
          <w:rFonts w:ascii="Trebuchet MS" w:eastAsiaTheme="minorHAnsi" w:hAnsi="Trebuchet MS" w:cs="Arial"/>
          <w:sz w:val="20"/>
        </w:rPr>
        <w:tab/>
      </w:r>
      <w:r w:rsidR="0048113B" w:rsidRPr="0098429E">
        <w:rPr>
          <w:rFonts w:ascii="Trebuchet MS" w:eastAsiaTheme="minorHAnsi" w:hAnsi="Trebuchet MS" w:cs="Arial"/>
          <w:sz w:val="20"/>
        </w:rPr>
        <w:t>Para avaliar o pré-condicionamento químico através da activação dos receptores de adenos</w:t>
      </w:r>
      <w:r w:rsidR="0048113B" w:rsidRPr="0098429E">
        <w:rPr>
          <w:rFonts w:ascii="Trebuchet MS" w:eastAsiaTheme="minorHAnsi" w:hAnsi="Trebuchet MS" w:cs="Arial"/>
          <w:sz w:val="20"/>
        </w:rPr>
        <w:t>i</w:t>
      </w:r>
      <w:r w:rsidR="0048113B" w:rsidRPr="0098429E">
        <w:rPr>
          <w:rFonts w:ascii="Trebuchet MS" w:eastAsiaTheme="minorHAnsi" w:hAnsi="Trebuchet MS" w:cs="Arial"/>
          <w:sz w:val="20"/>
        </w:rPr>
        <w:t xml:space="preserve">na, </w:t>
      </w:r>
      <w:r w:rsidR="00285D9F" w:rsidRPr="0098429E">
        <w:rPr>
          <w:rFonts w:ascii="Trebuchet MS" w:eastAsiaTheme="minorHAnsi" w:hAnsi="Trebuchet MS" w:cs="Arial"/>
          <w:sz w:val="20"/>
        </w:rPr>
        <w:t>testou-se ainda o pré-condicionamento co</w:t>
      </w:r>
      <w:r w:rsidR="0048113B" w:rsidRPr="0098429E">
        <w:rPr>
          <w:rFonts w:ascii="Trebuchet MS" w:eastAsiaTheme="minorHAnsi" w:hAnsi="Trebuchet MS" w:cs="Arial"/>
          <w:sz w:val="20"/>
        </w:rPr>
        <w:t xml:space="preserve">m adenosina. </w:t>
      </w:r>
      <w:r w:rsidR="00167350" w:rsidRPr="0098429E">
        <w:rPr>
          <w:rFonts w:ascii="Trebuchet MS" w:eastAsiaTheme="minorHAnsi" w:hAnsi="Trebuchet MS" w:cs="Arial"/>
          <w:sz w:val="20"/>
        </w:rPr>
        <w:t>O pré-condicionamento com</w:t>
      </w:r>
      <w:r w:rsidR="001D3D12" w:rsidRPr="0098429E">
        <w:rPr>
          <w:rFonts w:ascii="Trebuchet MS" w:eastAsiaTheme="minorHAnsi" w:hAnsi="Trebuchet MS" w:cs="Arial"/>
          <w:sz w:val="20"/>
        </w:rPr>
        <w:t xml:space="preserve"> ad</w:t>
      </w:r>
      <w:r w:rsidR="001D3D12" w:rsidRPr="0098429E">
        <w:rPr>
          <w:rFonts w:ascii="Trebuchet MS" w:eastAsiaTheme="minorHAnsi" w:hAnsi="Trebuchet MS" w:cs="Arial"/>
          <w:sz w:val="20"/>
        </w:rPr>
        <w:t>e</w:t>
      </w:r>
      <w:r w:rsidR="001D3D12" w:rsidRPr="0098429E">
        <w:rPr>
          <w:rFonts w:ascii="Trebuchet MS" w:eastAsiaTheme="minorHAnsi" w:hAnsi="Trebuchet MS" w:cs="Arial"/>
          <w:sz w:val="20"/>
        </w:rPr>
        <w:t xml:space="preserve">nosina não conferiu qualquer neuroprotecção </w:t>
      </w:r>
      <w:r w:rsidR="00DA1ED5" w:rsidRPr="0098429E">
        <w:rPr>
          <w:rFonts w:ascii="Trebuchet MS" w:eastAsiaTheme="minorHAnsi" w:hAnsi="Trebuchet MS" w:cs="Arial"/>
          <w:sz w:val="20"/>
        </w:rPr>
        <w:t>face ao insulto isquémico (POG) de 20 minutos, inclusive os resultados sugerem uma tendência para o agravamento do efeito neur</w:t>
      </w:r>
      <w:r w:rsidR="00DA1ED5" w:rsidRPr="0098429E">
        <w:rPr>
          <w:rFonts w:ascii="Trebuchet MS" w:eastAsiaTheme="minorHAnsi" w:hAnsi="Trebuchet MS" w:cs="Arial"/>
          <w:sz w:val="20"/>
        </w:rPr>
        <w:t>o</w:t>
      </w:r>
      <w:r w:rsidR="00DA1ED5" w:rsidRPr="0098429E">
        <w:rPr>
          <w:rFonts w:ascii="Trebuchet MS" w:eastAsiaTheme="minorHAnsi" w:hAnsi="Trebuchet MS" w:cs="Arial"/>
          <w:sz w:val="20"/>
        </w:rPr>
        <w:t>tóxico (</w:t>
      </w:r>
      <w:r w:rsidR="002269EC" w:rsidRPr="0098429E">
        <w:rPr>
          <w:rFonts w:ascii="Trebuchet MS" w:eastAsiaTheme="minorHAnsi" w:hAnsi="Trebuchet MS" w:cs="Arial"/>
          <w:sz w:val="20"/>
        </w:rPr>
        <w:t>- 6</w:t>
      </w:r>
      <w:r w:rsidR="00DA1ED5" w:rsidRPr="0098429E">
        <w:rPr>
          <w:rFonts w:ascii="Trebuchet MS" w:eastAsiaTheme="minorHAnsi" w:hAnsi="Trebuchet MS" w:cs="Arial"/>
          <w:sz w:val="20"/>
        </w:rPr>
        <w:t>%</w:t>
      </w:r>
      <w:r w:rsidR="00365E8C" w:rsidRPr="0098429E">
        <w:rPr>
          <w:rFonts w:ascii="Trebuchet MS" w:eastAsiaTheme="minorHAnsi" w:hAnsi="Trebuchet MS" w:cs="Arial"/>
          <w:sz w:val="20"/>
        </w:rPr>
        <w:t xml:space="preserve">) obtido pela mediana de </w:t>
      </w:r>
      <w:r w:rsidR="009240CF" w:rsidRPr="0098429E">
        <w:rPr>
          <w:rFonts w:ascii="Trebuchet MS" w:eastAsiaTheme="minorHAnsi" w:hAnsi="Trebuchet MS" w:cs="Arial"/>
          <w:sz w:val="20"/>
        </w:rPr>
        <w:t>n= 4</w:t>
      </w:r>
      <w:r w:rsidR="00B41265" w:rsidRPr="0098429E">
        <w:rPr>
          <w:rFonts w:ascii="Trebuchet MS" w:eastAsiaTheme="minorHAnsi" w:hAnsi="Trebuchet MS" w:cs="Arial"/>
          <w:sz w:val="20"/>
        </w:rPr>
        <w:t xml:space="preserve"> experiências realizadas em quadruplicados</w:t>
      </w:r>
      <w:r w:rsidR="00DA1ED5" w:rsidRPr="0098429E">
        <w:rPr>
          <w:rFonts w:ascii="Trebuchet MS" w:eastAsiaTheme="minorHAnsi" w:hAnsi="Trebuchet MS" w:cs="Arial"/>
          <w:sz w:val="20"/>
        </w:rPr>
        <w:t>. De fa</w:t>
      </w:r>
      <w:r w:rsidR="00DA1ED5" w:rsidRPr="0098429E">
        <w:rPr>
          <w:rFonts w:ascii="Trebuchet MS" w:eastAsiaTheme="minorHAnsi" w:hAnsi="Trebuchet MS" w:cs="Arial"/>
          <w:sz w:val="20"/>
        </w:rPr>
        <w:t>c</w:t>
      </w:r>
      <w:r w:rsidR="00DA1ED5" w:rsidRPr="0098429E">
        <w:rPr>
          <w:rFonts w:ascii="Trebuchet MS" w:eastAsiaTheme="minorHAnsi" w:hAnsi="Trebuchet MS" w:cs="Arial"/>
          <w:sz w:val="20"/>
        </w:rPr>
        <w:t>to, a adenosina na concentração utilizada (100 µM)</w:t>
      </w:r>
      <w:r w:rsidR="009240CF" w:rsidRPr="0098429E">
        <w:rPr>
          <w:rFonts w:ascii="Trebuchet MS" w:eastAsiaTheme="minorHAnsi" w:hAnsi="Trebuchet MS" w:cs="Arial"/>
          <w:sz w:val="20"/>
        </w:rPr>
        <w:t xml:space="preserve"> não activa apenas os receptores A</w:t>
      </w:r>
      <w:r w:rsidR="009240CF" w:rsidRPr="0098429E">
        <w:rPr>
          <w:rFonts w:ascii="Trebuchet MS" w:eastAsiaTheme="minorHAnsi" w:hAnsi="Trebuchet MS" w:cs="Arial"/>
          <w:sz w:val="20"/>
          <w:vertAlign w:val="subscript"/>
        </w:rPr>
        <w:t>1</w:t>
      </w:r>
      <w:r w:rsidR="009240CF" w:rsidRPr="0098429E">
        <w:rPr>
          <w:rFonts w:ascii="Trebuchet MS" w:eastAsiaTheme="minorHAnsi" w:hAnsi="Trebuchet MS" w:cs="Arial"/>
          <w:sz w:val="20"/>
        </w:rPr>
        <w:t xml:space="preserve"> (ne</w:t>
      </w:r>
      <w:r w:rsidR="009240CF" w:rsidRPr="0098429E">
        <w:rPr>
          <w:rFonts w:ascii="Trebuchet MS" w:eastAsiaTheme="minorHAnsi" w:hAnsi="Trebuchet MS" w:cs="Arial"/>
          <w:sz w:val="20"/>
        </w:rPr>
        <w:t>u</w:t>
      </w:r>
      <w:r w:rsidR="009240CF" w:rsidRPr="0098429E">
        <w:rPr>
          <w:rFonts w:ascii="Trebuchet MS" w:eastAsiaTheme="minorHAnsi" w:hAnsi="Trebuchet MS" w:cs="Arial"/>
          <w:sz w:val="20"/>
        </w:rPr>
        <w:t>roprotectores) mas também A</w:t>
      </w:r>
      <w:r w:rsidR="009240CF" w:rsidRPr="0098429E">
        <w:rPr>
          <w:rFonts w:ascii="Trebuchet MS" w:eastAsiaTheme="minorHAnsi" w:hAnsi="Trebuchet MS" w:cs="Arial"/>
          <w:sz w:val="20"/>
          <w:vertAlign w:val="subscript"/>
        </w:rPr>
        <w:t>2</w:t>
      </w:r>
      <w:r w:rsidR="009240CF" w:rsidRPr="0098429E">
        <w:rPr>
          <w:rFonts w:ascii="Trebuchet MS" w:eastAsiaTheme="minorHAnsi" w:hAnsi="Trebuchet MS" w:cs="Arial"/>
          <w:sz w:val="20"/>
        </w:rPr>
        <w:t>Rs e A</w:t>
      </w:r>
      <w:r w:rsidR="009240CF" w:rsidRPr="0098429E">
        <w:rPr>
          <w:rFonts w:ascii="Trebuchet MS" w:eastAsiaTheme="minorHAnsi" w:hAnsi="Trebuchet MS" w:cs="Arial"/>
          <w:sz w:val="20"/>
          <w:vertAlign w:val="subscript"/>
        </w:rPr>
        <w:t>3</w:t>
      </w:r>
      <w:r w:rsidR="009240CF" w:rsidRPr="0098429E">
        <w:rPr>
          <w:rFonts w:ascii="Trebuchet MS" w:eastAsiaTheme="minorHAnsi" w:hAnsi="Trebuchet MS" w:cs="Arial"/>
          <w:sz w:val="20"/>
        </w:rPr>
        <w:t xml:space="preserve">Rs. Está descrito que activação destes últimos </w:t>
      </w:r>
      <w:r w:rsidR="006A54C0" w:rsidRPr="0098429E">
        <w:rPr>
          <w:rFonts w:ascii="Trebuchet MS" w:eastAsiaTheme="minorHAnsi" w:hAnsi="Trebuchet MS" w:cs="Arial"/>
          <w:sz w:val="20"/>
        </w:rPr>
        <w:t>pode induzir apopt</w:t>
      </w:r>
      <w:r w:rsidR="006A54C0" w:rsidRPr="0098429E">
        <w:rPr>
          <w:rFonts w:ascii="Trebuchet MS" w:eastAsiaTheme="minorHAnsi" w:hAnsi="Trebuchet MS" w:cs="Arial"/>
          <w:sz w:val="20"/>
        </w:rPr>
        <w:t>o</w:t>
      </w:r>
      <w:r w:rsidR="006A54C0" w:rsidRPr="0098429E">
        <w:rPr>
          <w:rFonts w:ascii="Trebuchet MS" w:eastAsiaTheme="minorHAnsi" w:hAnsi="Trebuchet MS" w:cs="Arial"/>
          <w:sz w:val="20"/>
        </w:rPr>
        <w:t>se (Ab</w:t>
      </w:r>
      <w:r w:rsidR="004E1D68" w:rsidRPr="0098429E">
        <w:rPr>
          <w:rFonts w:ascii="Trebuchet MS" w:eastAsiaTheme="minorHAnsi" w:hAnsi="Trebuchet MS" w:cs="Arial"/>
          <w:sz w:val="20"/>
        </w:rPr>
        <w:t xml:space="preserve">bracchio </w:t>
      </w:r>
      <w:r w:rsidR="004E1D68" w:rsidRPr="0098429E">
        <w:rPr>
          <w:rFonts w:ascii="Trebuchet MS" w:eastAsiaTheme="minorHAnsi" w:hAnsi="Trebuchet MS" w:cs="Arial"/>
          <w:i/>
          <w:sz w:val="20"/>
        </w:rPr>
        <w:t>et al.,</w:t>
      </w:r>
      <w:r w:rsidR="004E1D68" w:rsidRPr="0098429E">
        <w:rPr>
          <w:rFonts w:ascii="Trebuchet MS" w:eastAsiaTheme="minorHAnsi" w:hAnsi="Trebuchet MS" w:cs="Arial"/>
          <w:sz w:val="20"/>
        </w:rPr>
        <w:t xml:space="preserve"> 1997). </w:t>
      </w:r>
    </w:p>
    <w:p w:rsidR="00E33268" w:rsidRDefault="00E33268" w:rsidP="00CB2FAF">
      <w:pPr>
        <w:jc w:val="both"/>
        <w:rPr>
          <w:rFonts w:ascii="Trebuchet MS" w:hAnsi="Trebuchet MS"/>
          <w:b/>
          <w:smallCaps/>
          <w:shadow/>
          <w:color w:val="333399"/>
          <w:sz w:val="26"/>
          <w:szCs w:val="26"/>
        </w:rPr>
      </w:pPr>
    </w:p>
    <w:p w:rsidR="005153D9" w:rsidRPr="00751D14" w:rsidRDefault="005153D9" w:rsidP="00CB2FAF">
      <w:pPr>
        <w:jc w:val="both"/>
        <w:rPr>
          <w:rFonts w:ascii="Trebuchet MS" w:hAnsi="Trebuchet MS"/>
          <w:b/>
          <w:smallCaps/>
          <w:shadow/>
          <w:color w:val="333399"/>
          <w:sz w:val="26"/>
          <w:szCs w:val="26"/>
        </w:rPr>
      </w:pPr>
    </w:p>
    <w:p w:rsidR="00EC6B0F" w:rsidRPr="00EC6B0F" w:rsidRDefault="00971506" w:rsidP="00971506">
      <w:pPr>
        <w:spacing w:after="200" w:line="360" w:lineRule="auto"/>
        <w:jc w:val="both"/>
        <w:rPr>
          <w:rFonts w:ascii="Trebuchet MS" w:eastAsiaTheme="minorHAnsi" w:hAnsi="Trebuchet MS" w:cstheme="minorBidi"/>
          <w:sz w:val="20"/>
          <w:szCs w:val="20"/>
        </w:rPr>
      </w:pPr>
      <w:r w:rsidRPr="00971506">
        <w:rPr>
          <w:rFonts w:ascii="Trebuchet MS" w:eastAsiaTheme="minorHAnsi" w:hAnsi="Trebuchet MS" w:cstheme="minorBidi"/>
          <w:b/>
          <w:smallCaps/>
          <w:shadow/>
          <w:sz w:val="20"/>
          <w:szCs w:val="20"/>
        </w:rPr>
        <w:lastRenderedPageBreak/>
        <w:sym w:font="Wingdings" w:char="F0D6"/>
      </w:r>
      <w:r w:rsidR="00EC6B0F" w:rsidRPr="00EC6B0F">
        <w:rPr>
          <w:rFonts w:ascii="Trebuchet MS" w:eastAsiaTheme="minorHAnsi" w:hAnsi="Trebuchet MS" w:cstheme="minorBidi"/>
          <w:b/>
          <w:smallCaps/>
          <w:shadow/>
          <w:sz w:val="20"/>
          <w:szCs w:val="20"/>
          <w:u w:val="single"/>
        </w:rPr>
        <w:t>Caspase-3</w:t>
      </w:r>
    </w:p>
    <w:p w:rsidR="00EC6B0F" w:rsidRDefault="00EC6B0F" w:rsidP="00971506">
      <w:pPr>
        <w:spacing w:line="360" w:lineRule="auto"/>
        <w:ind w:firstLine="720"/>
        <w:jc w:val="both"/>
        <w:rPr>
          <w:rFonts w:ascii="Trebuchet MS" w:eastAsiaTheme="minorHAnsi" w:hAnsi="Trebuchet MS" w:cstheme="minorBidi"/>
          <w:sz w:val="20"/>
          <w:szCs w:val="20"/>
        </w:rPr>
      </w:pPr>
      <w:r w:rsidRPr="00EC6B0F">
        <w:rPr>
          <w:rFonts w:ascii="Trebuchet MS" w:eastAsiaTheme="minorHAnsi" w:hAnsi="Trebuchet MS" w:cstheme="minorBidi"/>
          <w:sz w:val="20"/>
          <w:szCs w:val="20"/>
        </w:rPr>
        <w:t xml:space="preserve">Em relação aos resultados obtidos pela </w:t>
      </w:r>
      <w:r w:rsidRPr="00EC6B0F">
        <w:rPr>
          <w:rFonts w:ascii="Trebuchet MS" w:eastAsiaTheme="minorHAnsi" w:hAnsi="Trebuchet MS" w:cstheme="minorBidi"/>
          <w:sz w:val="20"/>
          <w:szCs w:val="20"/>
          <w:u w:val="single"/>
        </w:rPr>
        <w:t xml:space="preserve">caspase-3 </w:t>
      </w:r>
      <w:r w:rsidRPr="00EC6B0F">
        <w:rPr>
          <w:rFonts w:ascii="Trebuchet MS" w:eastAsiaTheme="minorHAnsi" w:hAnsi="Trebuchet MS" w:cstheme="minorBidi"/>
          <w:sz w:val="20"/>
          <w:szCs w:val="20"/>
        </w:rPr>
        <w:t xml:space="preserve">não são apresentados </w:t>
      </w:r>
      <w:r w:rsidR="00E33268">
        <w:rPr>
          <w:rFonts w:ascii="Trebuchet MS" w:eastAsiaTheme="minorHAnsi" w:hAnsi="Trebuchet MS" w:cstheme="minorBidi"/>
          <w:sz w:val="20"/>
          <w:szCs w:val="20"/>
        </w:rPr>
        <w:t>uma vez que não foi detectada actividade da caspase-3 nas nossas amostras. Por outro lado, o fluorímetro disponível não se encontrava nas melhores condições de funcionamento</w:t>
      </w:r>
      <w:r w:rsidRPr="00EC6B0F">
        <w:rPr>
          <w:rFonts w:ascii="Trebuchet MS" w:eastAsiaTheme="minorHAnsi" w:hAnsi="Trebuchet MS" w:cstheme="minorBidi"/>
          <w:sz w:val="20"/>
          <w:szCs w:val="20"/>
        </w:rPr>
        <w:t xml:space="preserve"> </w:t>
      </w:r>
    </w:p>
    <w:p w:rsidR="006C53CE" w:rsidRPr="00C65DA3" w:rsidRDefault="006C53CE" w:rsidP="00DE0A73">
      <w:pPr>
        <w:autoSpaceDE w:val="0"/>
        <w:autoSpaceDN w:val="0"/>
        <w:adjustRightInd w:val="0"/>
        <w:spacing w:line="360" w:lineRule="auto"/>
        <w:ind w:firstLine="708"/>
        <w:jc w:val="both"/>
        <w:rPr>
          <w:rFonts w:ascii="Trebuchet MS" w:eastAsiaTheme="minorHAnsi" w:hAnsi="Trebuchet MS" w:cs="AdvPSTim"/>
          <w:sz w:val="20"/>
          <w:szCs w:val="20"/>
        </w:rPr>
      </w:pPr>
    </w:p>
    <w:p w:rsidR="005153D9" w:rsidRDefault="006C53CE" w:rsidP="005153D9">
      <w:pPr>
        <w:spacing w:after="200" w:line="360" w:lineRule="auto"/>
        <w:jc w:val="both"/>
        <w:rPr>
          <w:rFonts w:ascii="Trebuchet MS" w:eastAsiaTheme="minorHAnsi" w:hAnsi="Trebuchet MS" w:cstheme="minorBidi"/>
          <w:b/>
          <w:smallCaps/>
          <w:shadow/>
          <w:sz w:val="20"/>
          <w:szCs w:val="20"/>
          <w:u w:val="single"/>
        </w:rPr>
      </w:pPr>
      <w:r w:rsidRPr="00971506">
        <w:rPr>
          <w:rFonts w:ascii="Trebuchet MS" w:eastAsiaTheme="minorHAnsi" w:hAnsi="Trebuchet MS" w:cstheme="minorBidi"/>
          <w:b/>
          <w:smallCaps/>
          <w:shadow/>
          <w:sz w:val="20"/>
          <w:szCs w:val="20"/>
        </w:rPr>
        <w:sym w:font="Wingdings" w:char="F0D6"/>
      </w:r>
      <w:r>
        <w:rPr>
          <w:rFonts w:ascii="Trebuchet MS" w:eastAsiaTheme="minorHAnsi" w:hAnsi="Trebuchet MS" w:cstheme="minorBidi"/>
          <w:b/>
          <w:smallCaps/>
          <w:shadow/>
          <w:sz w:val="20"/>
          <w:szCs w:val="20"/>
          <w:u w:val="single"/>
        </w:rPr>
        <w:t>LDH</w:t>
      </w:r>
    </w:p>
    <w:p w:rsidR="005153D9" w:rsidRPr="00EC6B0F" w:rsidRDefault="005153D9" w:rsidP="005153D9">
      <w:pPr>
        <w:spacing w:after="200" w:line="360" w:lineRule="auto"/>
        <w:jc w:val="both"/>
        <w:rPr>
          <w:rFonts w:ascii="Trebuchet MS" w:eastAsiaTheme="minorHAnsi" w:hAnsi="Trebuchet MS" w:cstheme="minorBidi"/>
          <w:sz w:val="20"/>
          <w:szCs w:val="20"/>
        </w:rPr>
      </w:pPr>
      <w:r>
        <w:rPr>
          <w:rFonts w:ascii="Trebuchet MS" w:eastAsiaTheme="minorHAnsi" w:hAnsi="Trebuchet MS" w:cstheme="minorBidi"/>
          <w:sz w:val="20"/>
          <w:szCs w:val="20"/>
        </w:rPr>
        <w:tab/>
      </w:r>
      <w:r w:rsidRPr="00EC6B0F">
        <w:rPr>
          <w:rFonts w:ascii="Trebuchet MS" w:eastAsiaTheme="minorHAnsi" w:hAnsi="Trebuchet MS" w:cstheme="minorBidi"/>
          <w:sz w:val="20"/>
          <w:szCs w:val="20"/>
        </w:rPr>
        <w:t xml:space="preserve">Em relação aos resultados obtidos pela </w:t>
      </w:r>
      <w:r>
        <w:rPr>
          <w:rFonts w:ascii="Trebuchet MS" w:eastAsiaTheme="minorHAnsi" w:hAnsi="Trebuchet MS" w:cstheme="minorBidi"/>
          <w:sz w:val="20"/>
          <w:szCs w:val="20"/>
        </w:rPr>
        <w:t xml:space="preserve">determinação </w:t>
      </w:r>
      <w:r w:rsidRPr="005153D9">
        <w:rPr>
          <w:rFonts w:ascii="Trebuchet MS" w:eastAsiaTheme="minorHAnsi" w:hAnsi="Trebuchet MS" w:cstheme="minorBidi"/>
          <w:sz w:val="20"/>
          <w:szCs w:val="20"/>
          <w:u w:val="single"/>
        </w:rPr>
        <w:t>actividade da LDH</w:t>
      </w:r>
      <w:r>
        <w:rPr>
          <w:rFonts w:ascii="Trebuchet MS" w:eastAsiaTheme="minorHAnsi" w:hAnsi="Trebuchet MS" w:cstheme="minorBidi"/>
          <w:sz w:val="20"/>
          <w:szCs w:val="20"/>
        </w:rPr>
        <w:t xml:space="preserve"> </w:t>
      </w:r>
      <w:r w:rsidRPr="00EC6B0F">
        <w:rPr>
          <w:rFonts w:ascii="Trebuchet MS" w:eastAsiaTheme="minorHAnsi" w:hAnsi="Trebuchet MS" w:cstheme="minorBidi"/>
          <w:sz w:val="20"/>
          <w:szCs w:val="20"/>
        </w:rPr>
        <w:t>não são apr</w:t>
      </w:r>
      <w:r w:rsidRPr="00EC6B0F">
        <w:rPr>
          <w:rFonts w:ascii="Trebuchet MS" w:eastAsiaTheme="minorHAnsi" w:hAnsi="Trebuchet MS" w:cstheme="minorBidi"/>
          <w:sz w:val="20"/>
          <w:szCs w:val="20"/>
        </w:rPr>
        <w:t>e</w:t>
      </w:r>
      <w:r w:rsidRPr="00EC6B0F">
        <w:rPr>
          <w:rFonts w:ascii="Trebuchet MS" w:eastAsiaTheme="minorHAnsi" w:hAnsi="Trebuchet MS" w:cstheme="minorBidi"/>
          <w:sz w:val="20"/>
          <w:szCs w:val="20"/>
        </w:rPr>
        <w:t>sentados</w:t>
      </w:r>
      <w:r>
        <w:rPr>
          <w:rFonts w:ascii="Trebuchet MS" w:eastAsiaTheme="minorHAnsi" w:hAnsi="Trebuchet MS" w:cstheme="minorBidi"/>
          <w:sz w:val="20"/>
          <w:szCs w:val="20"/>
        </w:rPr>
        <w:t xml:space="preserve">, dado que, os valores lidos de absorvência no espectrofotómetro são insignificantes, devido ao volume do meio de incubação, para que seja </w:t>
      </w:r>
      <w:r w:rsidR="006B3F93">
        <w:rPr>
          <w:rFonts w:ascii="Trebuchet MS" w:eastAsiaTheme="minorHAnsi" w:hAnsi="Trebuchet MS" w:cstheme="minorBidi"/>
          <w:sz w:val="20"/>
          <w:szCs w:val="20"/>
        </w:rPr>
        <w:t>detectáveis alterações</w:t>
      </w:r>
      <w:r>
        <w:rPr>
          <w:rFonts w:ascii="Trebuchet MS" w:eastAsiaTheme="minorHAnsi" w:hAnsi="Trebuchet MS" w:cstheme="minorBidi"/>
          <w:sz w:val="20"/>
          <w:szCs w:val="20"/>
        </w:rPr>
        <w:t>.</w:t>
      </w:r>
    </w:p>
    <w:p w:rsidR="000B0FFB" w:rsidRDefault="000B0FFB" w:rsidP="00971506">
      <w:pPr>
        <w:spacing w:line="360" w:lineRule="auto"/>
        <w:jc w:val="both"/>
        <w:rPr>
          <w:rFonts w:ascii="Trebuchet MS" w:eastAsiaTheme="minorHAnsi" w:hAnsi="Trebuchet MS"/>
        </w:rPr>
      </w:pPr>
    </w:p>
    <w:p w:rsidR="000B0FFB" w:rsidRPr="00751D14" w:rsidRDefault="000B0FFB" w:rsidP="000B0FFB">
      <w:pPr>
        <w:jc w:val="both"/>
        <w:rPr>
          <w:rFonts w:ascii="Trebuchet MS" w:hAnsi="Trebuchet MS"/>
          <w:b/>
          <w:smallCaps/>
          <w:shadow/>
          <w:color w:val="333399"/>
          <w:sz w:val="26"/>
          <w:szCs w:val="26"/>
        </w:rPr>
      </w:pPr>
      <w:r>
        <w:rPr>
          <w:rFonts w:ascii="Trebuchet MS" w:hAnsi="Trebuchet MS"/>
          <w:b/>
          <w:smallCaps/>
          <w:shadow/>
          <w:color w:val="333399"/>
          <w:sz w:val="28"/>
        </w:rPr>
        <w:t>4</w:t>
      </w:r>
      <w:r w:rsidRPr="002861BA">
        <w:rPr>
          <w:rFonts w:ascii="Trebuchet MS" w:hAnsi="Trebuchet MS"/>
          <w:b/>
          <w:smallCaps/>
          <w:shadow/>
          <w:color w:val="333399"/>
          <w:sz w:val="28"/>
        </w:rPr>
        <w:t>.</w:t>
      </w:r>
      <w:r>
        <w:rPr>
          <w:rFonts w:ascii="Trebuchet MS" w:hAnsi="Trebuchet MS"/>
          <w:b/>
          <w:smallCaps/>
          <w:shadow/>
          <w:color w:val="333399"/>
          <w:sz w:val="28"/>
        </w:rPr>
        <w:t>3</w:t>
      </w:r>
      <w:r w:rsidRPr="002861BA">
        <w:rPr>
          <w:rFonts w:ascii="Trebuchet MS" w:hAnsi="Trebuchet MS"/>
          <w:b/>
          <w:smallCaps/>
          <w:shadow/>
          <w:color w:val="333399"/>
          <w:sz w:val="28"/>
        </w:rPr>
        <w:t>.</w:t>
      </w:r>
      <w:r w:rsidRPr="00751D14">
        <w:rPr>
          <w:rFonts w:ascii="Trebuchet MS" w:hAnsi="Trebuchet MS"/>
          <w:b/>
          <w:smallCaps/>
          <w:shadow/>
          <w:color w:val="333399"/>
          <w:sz w:val="26"/>
          <w:szCs w:val="26"/>
        </w:rPr>
        <w:t xml:space="preserve"> </w:t>
      </w:r>
      <w:r>
        <w:rPr>
          <w:rFonts w:ascii="Trebuchet MS" w:hAnsi="Trebuchet MS"/>
          <w:b/>
          <w:smallCaps/>
          <w:shadow/>
          <w:color w:val="333399"/>
          <w:sz w:val="26"/>
          <w:szCs w:val="26"/>
        </w:rPr>
        <w:t xml:space="preserve">Discussão </w:t>
      </w:r>
      <w:r w:rsidR="00B87279">
        <w:rPr>
          <w:rFonts w:ascii="Trebuchet MS" w:hAnsi="Trebuchet MS"/>
          <w:b/>
          <w:smallCaps/>
          <w:shadow/>
          <w:color w:val="333399"/>
          <w:sz w:val="26"/>
          <w:szCs w:val="26"/>
        </w:rPr>
        <w:t>sobre as</w:t>
      </w:r>
      <w:r w:rsidRPr="00751D14">
        <w:rPr>
          <w:rFonts w:ascii="Trebuchet MS" w:hAnsi="Trebuchet MS"/>
          <w:b/>
          <w:smallCaps/>
          <w:shadow/>
          <w:color w:val="333399"/>
          <w:sz w:val="26"/>
          <w:szCs w:val="26"/>
        </w:rPr>
        <w:t xml:space="preserve"> Metodologias Utilizadas </w:t>
      </w:r>
    </w:p>
    <w:p w:rsidR="000B0FFB" w:rsidRPr="00B76828" w:rsidRDefault="000B0FFB" w:rsidP="000B0FFB">
      <w:pPr>
        <w:spacing w:line="276" w:lineRule="auto"/>
        <w:rPr>
          <w:rFonts w:asciiTheme="minorHAnsi" w:eastAsiaTheme="minorHAnsi" w:hAnsiTheme="minorHAnsi" w:cstheme="minorBidi"/>
          <w:sz w:val="22"/>
          <w:szCs w:val="22"/>
        </w:rPr>
      </w:pPr>
    </w:p>
    <w:p w:rsidR="000B0FFB" w:rsidRDefault="000B0FFB" w:rsidP="000B0FFB">
      <w:pPr>
        <w:spacing w:line="360" w:lineRule="auto"/>
        <w:ind w:firstLine="708"/>
        <w:jc w:val="both"/>
        <w:textAlignment w:val="top"/>
        <w:rPr>
          <w:rFonts w:ascii="Trebuchet MS" w:eastAsiaTheme="minorHAnsi" w:hAnsi="Trebuchet MS" w:cstheme="minorBidi"/>
          <w:sz w:val="20"/>
          <w:szCs w:val="22"/>
        </w:rPr>
      </w:pPr>
      <w:r w:rsidRPr="00C65DA3">
        <w:rPr>
          <w:rFonts w:ascii="Trebuchet MS" w:eastAsiaTheme="minorHAnsi" w:hAnsi="Trebuchet MS" w:cstheme="minorBidi"/>
          <w:sz w:val="20"/>
          <w:szCs w:val="22"/>
        </w:rPr>
        <w:t xml:space="preserve">A morte celular no cérebro induzida por insultos isquémicos envolve uma cascata de </w:t>
      </w:r>
      <w:r>
        <w:rPr>
          <w:rFonts w:ascii="Trebuchet MS" w:eastAsiaTheme="minorHAnsi" w:hAnsi="Trebuchet MS" w:cstheme="minorBidi"/>
          <w:sz w:val="20"/>
          <w:szCs w:val="22"/>
        </w:rPr>
        <w:t>acontecimentos</w:t>
      </w:r>
      <w:r w:rsidRPr="00C65DA3">
        <w:rPr>
          <w:rFonts w:ascii="Trebuchet MS" w:eastAsiaTheme="minorHAnsi" w:hAnsi="Trebuchet MS" w:cstheme="minorBidi"/>
          <w:sz w:val="20"/>
          <w:szCs w:val="22"/>
        </w:rPr>
        <w:t xml:space="preserve"> que podem levar à </w:t>
      </w:r>
      <w:r w:rsidRPr="00C65DA3">
        <w:rPr>
          <w:rFonts w:ascii="Trebuchet MS" w:eastAsiaTheme="minorHAnsi" w:hAnsi="Trebuchet MS" w:cstheme="minorBidi"/>
          <w:sz w:val="20"/>
          <w:szCs w:val="22"/>
          <w:u w:val="single"/>
        </w:rPr>
        <w:t>morte celular por necrose precoce</w:t>
      </w:r>
      <w:r w:rsidRPr="00C65DA3">
        <w:rPr>
          <w:rFonts w:ascii="Trebuchet MS" w:eastAsiaTheme="minorHAnsi" w:hAnsi="Trebuchet MS" w:cstheme="minorBidi"/>
          <w:sz w:val="20"/>
          <w:szCs w:val="22"/>
        </w:rPr>
        <w:t xml:space="preserve"> </w:t>
      </w:r>
      <w:r w:rsidRPr="00C65DA3">
        <w:rPr>
          <w:rFonts w:ascii="Trebuchet MS" w:eastAsiaTheme="minorHAnsi" w:hAnsi="Trebuchet MS" w:cstheme="minorBidi"/>
          <w:sz w:val="20"/>
          <w:szCs w:val="22"/>
          <w:u w:val="single"/>
        </w:rPr>
        <w:t>e morte celular tardia</w:t>
      </w:r>
      <w:r w:rsidRPr="00C65DA3">
        <w:rPr>
          <w:rFonts w:ascii="Trebuchet MS" w:eastAsiaTheme="minorHAnsi" w:hAnsi="Trebuchet MS" w:cstheme="minorBidi"/>
          <w:sz w:val="20"/>
          <w:szCs w:val="22"/>
        </w:rPr>
        <w:t xml:space="preserve"> com características de necrose ou apoptose. </w:t>
      </w:r>
      <w:r>
        <w:rPr>
          <w:rFonts w:ascii="Trebuchet MS" w:eastAsiaTheme="minorHAnsi" w:hAnsi="Trebuchet MS" w:cstheme="minorBidi"/>
          <w:sz w:val="20"/>
          <w:szCs w:val="22"/>
        </w:rPr>
        <w:t>No n</w:t>
      </w:r>
      <w:r w:rsidRPr="00C65DA3">
        <w:rPr>
          <w:rFonts w:ascii="Trebuchet MS" w:eastAsiaTheme="minorHAnsi" w:hAnsi="Trebuchet MS" w:cstheme="minorBidi"/>
          <w:sz w:val="20"/>
          <w:szCs w:val="22"/>
        </w:rPr>
        <w:t xml:space="preserve">osso modelo experimental só </w:t>
      </w:r>
      <w:r w:rsidR="00194804">
        <w:rPr>
          <w:rFonts w:ascii="Trebuchet MS" w:eastAsiaTheme="minorHAnsi" w:hAnsi="Trebuchet MS" w:cstheme="minorBidi"/>
          <w:sz w:val="20"/>
          <w:szCs w:val="22"/>
        </w:rPr>
        <w:t>foi</w:t>
      </w:r>
      <w:r w:rsidRPr="00C65DA3">
        <w:rPr>
          <w:rFonts w:ascii="Trebuchet MS" w:eastAsiaTheme="minorHAnsi" w:hAnsi="Trebuchet MS" w:cstheme="minorBidi"/>
          <w:sz w:val="20"/>
          <w:szCs w:val="22"/>
        </w:rPr>
        <w:t xml:space="preserve"> possível a avaliação das consequências de </w:t>
      </w:r>
      <w:r>
        <w:rPr>
          <w:rFonts w:ascii="Trebuchet MS" w:eastAsiaTheme="minorHAnsi" w:hAnsi="Trebuchet MS" w:cstheme="minorBidi"/>
          <w:sz w:val="20"/>
          <w:szCs w:val="22"/>
        </w:rPr>
        <w:t>acontecimentos</w:t>
      </w:r>
      <w:r w:rsidRPr="00C65DA3">
        <w:rPr>
          <w:rFonts w:ascii="Trebuchet MS" w:eastAsiaTheme="minorHAnsi" w:hAnsi="Trebuchet MS" w:cstheme="minorBidi"/>
          <w:sz w:val="20"/>
          <w:szCs w:val="22"/>
        </w:rPr>
        <w:t xml:space="preserve"> no início desta cascata, até às 8horas, dur</w:t>
      </w:r>
      <w:r w:rsidRPr="00C65DA3">
        <w:rPr>
          <w:rFonts w:ascii="Trebuchet MS" w:eastAsiaTheme="minorHAnsi" w:hAnsi="Trebuchet MS" w:cstheme="minorBidi"/>
          <w:sz w:val="20"/>
          <w:szCs w:val="22"/>
        </w:rPr>
        <w:t>a</w:t>
      </w:r>
      <w:r w:rsidRPr="00C65DA3">
        <w:rPr>
          <w:rFonts w:ascii="Trebuchet MS" w:eastAsiaTheme="minorHAnsi" w:hAnsi="Trebuchet MS" w:cstheme="minorBidi"/>
          <w:sz w:val="20"/>
          <w:szCs w:val="22"/>
        </w:rPr>
        <w:t xml:space="preserve">ção de tempo estudado. </w:t>
      </w:r>
      <w:r w:rsidR="00194804">
        <w:rPr>
          <w:rFonts w:ascii="Trebuchet MS" w:eastAsiaTheme="minorHAnsi" w:hAnsi="Trebuchet MS" w:cstheme="minorBidi"/>
          <w:sz w:val="20"/>
          <w:szCs w:val="22"/>
        </w:rPr>
        <w:t>Por conseguinte</w:t>
      </w:r>
      <w:r w:rsidRPr="00C65DA3">
        <w:rPr>
          <w:rFonts w:ascii="Trebuchet MS" w:eastAsiaTheme="minorHAnsi" w:hAnsi="Trebuchet MS" w:cstheme="minorBidi"/>
          <w:sz w:val="20"/>
          <w:szCs w:val="22"/>
        </w:rPr>
        <w:t>, é possível que subestim</w:t>
      </w:r>
      <w:r w:rsidR="00194804">
        <w:rPr>
          <w:rFonts w:ascii="Trebuchet MS" w:eastAsiaTheme="minorHAnsi" w:hAnsi="Trebuchet MS" w:cstheme="minorBidi"/>
          <w:sz w:val="20"/>
          <w:szCs w:val="22"/>
        </w:rPr>
        <w:t>e</w:t>
      </w:r>
      <w:r w:rsidRPr="00C65DA3">
        <w:rPr>
          <w:rFonts w:ascii="Trebuchet MS" w:eastAsiaTheme="minorHAnsi" w:hAnsi="Trebuchet MS" w:cstheme="minorBidi"/>
          <w:sz w:val="20"/>
          <w:szCs w:val="22"/>
        </w:rPr>
        <w:t>mos a extensão da eve</w:t>
      </w:r>
      <w:r w:rsidRPr="00C65DA3">
        <w:rPr>
          <w:rFonts w:ascii="Trebuchet MS" w:eastAsiaTheme="minorHAnsi" w:hAnsi="Trebuchet MS" w:cstheme="minorBidi"/>
          <w:sz w:val="20"/>
          <w:szCs w:val="22"/>
        </w:rPr>
        <w:t>n</w:t>
      </w:r>
      <w:r w:rsidRPr="00C65DA3">
        <w:rPr>
          <w:rFonts w:ascii="Trebuchet MS" w:eastAsiaTheme="minorHAnsi" w:hAnsi="Trebuchet MS" w:cstheme="minorBidi"/>
          <w:sz w:val="20"/>
          <w:szCs w:val="22"/>
        </w:rPr>
        <w:t>tual morte celular, considerando que as fatias não terão tido tempo suficiente para desenvo</w:t>
      </w:r>
      <w:r w:rsidRPr="00C65DA3">
        <w:rPr>
          <w:rFonts w:ascii="Trebuchet MS" w:eastAsiaTheme="minorHAnsi" w:hAnsi="Trebuchet MS" w:cstheme="minorBidi"/>
          <w:sz w:val="20"/>
          <w:szCs w:val="22"/>
        </w:rPr>
        <w:t>l</w:t>
      </w:r>
      <w:r w:rsidRPr="00C65DA3">
        <w:rPr>
          <w:rFonts w:ascii="Trebuchet MS" w:eastAsiaTheme="minorHAnsi" w:hAnsi="Trebuchet MS" w:cstheme="minorBidi"/>
          <w:sz w:val="20"/>
          <w:szCs w:val="22"/>
        </w:rPr>
        <w:t>ver a lesão, no entanto, com o aumento do tempo alguns dos efeitos neuroprotectores eve</w:t>
      </w:r>
      <w:r w:rsidRPr="00C65DA3">
        <w:rPr>
          <w:rFonts w:ascii="Trebuchet MS" w:eastAsiaTheme="minorHAnsi" w:hAnsi="Trebuchet MS" w:cstheme="minorBidi"/>
          <w:sz w:val="20"/>
          <w:szCs w:val="22"/>
        </w:rPr>
        <w:t>n</w:t>
      </w:r>
      <w:r w:rsidRPr="00C65DA3">
        <w:rPr>
          <w:rFonts w:ascii="Trebuchet MS" w:eastAsiaTheme="minorHAnsi" w:hAnsi="Trebuchet MS" w:cstheme="minorBidi"/>
          <w:sz w:val="20"/>
          <w:szCs w:val="22"/>
        </w:rPr>
        <w:t xml:space="preserve">tualmente </w:t>
      </w:r>
      <w:r w:rsidR="00194804">
        <w:rPr>
          <w:rFonts w:ascii="Trebuchet MS" w:eastAsiaTheme="minorHAnsi" w:hAnsi="Trebuchet MS" w:cstheme="minorBidi"/>
          <w:sz w:val="20"/>
          <w:szCs w:val="22"/>
        </w:rPr>
        <w:t xml:space="preserve">poderiam </w:t>
      </w:r>
      <w:r w:rsidRPr="00C65DA3">
        <w:rPr>
          <w:rFonts w:ascii="Trebuchet MS" w:eastAsiaTheme="minorHAnsi" w:hAnsi="Trebuchet MS" w:cstheme="minorBidi"/>
          <w:sz w:val="20"/>
          <w:szCs w:val="22"/>
        </w:rPr>
        <w:t>desaparecer</w:t>
      </w:r>
      <w:r w:rsidR="00194804">
        <w:rPr>
          <w:rFonts w:ascii="Trebuchet MS" w:eastAsiaTheme="minorHAnsi" w:hAnsi="Trebuchet MS" w:cstheme="minorBidi"/>
          <w:sz w:val="20"/>
          <w:szCs w:val="22"/>
        </w:rPr>
        <w:t xml:space="preserve"> </w:t>
      </w:r>
      <w:r w:rsidRPr="00C65DA3">
        <w:rPr>
          <w:rFonts w:ascii="Trebuchet MS" w:eastAsiaTheme="minorHAnsi" w:hAnsi="Trebuchet MS" w:cstheme="minorBidi"/>
          <w:sz w:val="20"/>
          <w:szCs w:val="22"/>
        </w:rPr>
        <w:t xml:space="preserve">(Popovic </w:t>
      </w:r>
      <w:r w:rsidRPr="00C65DA3">
        <w:rPr>
          <w:rFonts w:ascii="Trebuchet MS" w:eastAsiaTheme="minorHAnsi" w:hAnsi="Trebuchet MS" w:cstheme="minorBidi"/>
          <w:i/>
          <w:sz w:val="20"/>
          <w:szCs w:val="22"/>
        </w:rPr>
        <w:t>et al.</w:t>
      </w:r>
      <w:r w:rsidRPr="00C65DA3">
        <w:rPr>
          <w:rFonts w:ascii="Trebuchet MS" w:eastAsiaTheme="minorHAnsi" w:hAnsi="Trebuchet MS" w:cstheme="minorBidi"/>
          <w:sz w:val="20"/>
          <w:szCs w:val="22"/>
        </w:rPr>
        <w:t>, 2000).</w:t>
      </w:r>
    </w:p>
    <w:p w:rsidR="000B0FFB" w:rsidRDefault="000B0FFB" w:rsidP="000B0FFB">
      <w:pPr>
        <w:spacing w:line="360" w:lineRule="auto"/>
        <w:ind w:firstLine="708"/>
        <w:jc w:val="both"/>
        <w:textAlignment w:val="top"/>
        <w:rPr>
          <w:rFonts w:ascii="Trebuchet MS" w:eastAsiaTheme="minorHAnsi" w:hAnsi="Trebuchet MS"/>
          <w:sz w:val="20"/>
          <w:szCs w:val="20"/>
        </w:rPr>
      </w:pPr>
      <w:r w:rsidRPr="00C65DA3">
        <w:rPr>
          <w:rFonts w:ascii="Trebuchet MS" w:eastAsiaTheme="minorHAnsi" w:hAnsi="Trebuchet MS"/>
          <w:sz w:val="20"/>
          <w:szCs w:val="20"/>
        </w:rPr>
        <w:t xml:space="preserve">Mathews </w:t>
      </w:r>
      <w:r w:rsidRPr="00C65DA3">
        <w:rPr>
          <w:rFonts w:ascii="Trebuchet MS" w:eastAsiaTheme="minorHAnsi" w:hAnsi="Trebuchet MS"/>
          <w:i/>
          <w:sz w:val="20"/>
          <w:szCs w:val="20"/>
        </w:rPr>
        <w:t>et al.</w:t>
      </w:r>
      <w:r w:rsidRPr="00C65DA3">
        <w:rPr>
          <w:rFonts w:ascii="Trebuchet MS" w:eastAsiaTheme="minorHAnsi" w:hAnsi="Trebuchet MS"/>
          <w:sz w:val="20"/>
          <w:szCs w:val="20"/>
        </w:rPr>
        <w:t>, (2000) consider</w:t>
      </w:r>
      <w:r w:rsidR="005116D6">
        <w:rPr>
          <w:rFonts w:ascii="Trebuchet MS" w:eastAsiaTheme="minorHAnsi" w:hAnsi="Trebuchet MS"/>
          <w:sz w:val="20"/>
          <w:szCs w:val="20"/>
        </w:rPr>
        <w:t>a</w:t>
      </w:r>
      <w:r w:rsidRPr="00C65DA3">
        <w:rPr>
          <w:rFonts w:ascii="Trebuchet MS" w:eastAsiaTheme="minorHAnsi" w:hAnsi="Trebuchet MS"/>
          <w:sz w:val="20"/>
          <w:szCs w:val="20"/>
        </w:rPr>
        <w:t>m a coloração com TTC, uma técnica totalmente validada para avaliação da disfunção cerebral metabólica celular no modelo de isquémia cerebral por eles usado</w:t>
      </w:r>
      <w:r w:rsidR="005116D6">
        <w:rPr>
          <w:rFonts w:ascii="Trebuchet MS" w:eastAsiaTheme="minorHAnsi" w:hAnsi="Trebuchet MS"/>
          <w:sz w:val="20"/>
          <w:szCs w:val="20"/>
        </w:rPr>
        <w:t>.</w:t>
      </w:r>
    </w:p>
    <w:p w:rsidR="000B0FFB" w:rsidRPr="00C65DA3" w:rsidRDefault="000B0FFB" w:rsidP="000B0FFB">
      <w:pPr>
        <w:autoSpaceDE w:val="0"/>
        <w:autoSpaceDN w:val="0"/>
        <w:adjustRightInd w:val="0"/>
        <w:spacing w:line="360" w:lineRule="auto"/>
        <w:ind w:firstLine="709"/>
        <w:jc w:val="both"/>
        <w:rPr>
          <w:rFonts w:ascii="Trebuchet MS" w:eastAsiaTheme="minorHAnsi" w:hAnsi="Trebuchet MS" w:cs="AdvPSTim"/>
          <w:sz w:val="20"/>
          <w:szCs w:val="20"/>
        </w:rPr>
      </w:pPr>
      <w:r>
        <w:rPr>
          <w:rFonts w:ascii="Trebuchet MS" w:eastAsiaTheme="minorHAnsi" w:hAnsi="Trebuchet MS"/>
          <w:sz w:val="20"/>
          <w:szCs w:val="20"/>
        </w:rPr>
        <w:t>Em relação à detecção da caspase-3, a</w:t>
      </w:r>
      <w:r w:rsidRPr="00C65DA3">
        <w:rPr>
          <w:rFonts w:ascii="Trebuchet MS" w:eastAsiaTheme="minorHAnsi" w:hAnsi="Trebuchet MS"/>
          <w:sz w:val="20"/>
          <w:szCs w:val="20"/>
        </w:rPr>
        <w:t xml:space="preserve"> fase final da morte celular </w:t>
      </w:r>
      <w:r w:rsidR="005115A7">
        <w:rPr>
          <w:rFonts w:ascii="Trebuchet MS" w:eastAsiaTheme="minorHAnsi" w:hAnsi="Trebuchet MS"/>
          <w:sz w:val="20"/>
          <w:szCs w:val="20"/>
        </w:rPr>
        <w:t xml:space="preserve">pode-se iniciar </w:t>
      </w:r>
      <w:r w:rsidRPr="00C65DA3">
        <w:rPr>
          <w:rFonts w:ascii="Trebuchet MS" w:eastAsiaTheme="minorHAnsi" w:hAnsi="Trebuchet MS"/>
          <w:sz w:val="20"/>
          <w:szCs w:val="20"/>
        </w:rPr>
        <w:t xml:space="preserve">10 horas ou mesmo dias após a recepção do sinal apoptótico (Kudryashova </w:t>
      </w:r>
      <w:r w:rsidRPr="00C65DA3">
        <w:rPr>
          <w:rFonts w:ascii="Trebuchet MS" w:eastAsiaTheme="minorHAnsi" w:hAnsi="Trebuchet MS"/>
          <w:i/>
          <w:sz w:val="20"/>
          <w:szCs w:val="20"/>
        </w:rPr>
        <w:t xml:space="preserve">et al. </w:t>
      </w:r>
      <w:r w:rsidRPr="00C65DA3">
        <w:rPr>
          <w:rFonts w:ascii="Trebuchet MS" w:eastAsiaTheme="minorHAnsi" w:hAnsi="Trebuchet MS"/>
          <w:sz w:val="20"/>
          <w:szCs w:val="20"/>
        </w:rPr>
        <w:t>2009b) e o te</w:t>
      </w:r>
      <w:r w:rsidRPr="00C65DA3">
        <w:rPr>
          <w:rFonts w:ascii="Trebuchet MS" w:eastAsiaTheme="minorHAnsi" w:hAnsi="Trebuchet MS"/>
          <w:sz w:val="20"/>
          <w:szCs w:val="20"/>
        </w:rPr>
        <w:t>m</w:t>
      </w:r>
      <w:r w:rsidRPr="00C65DA3">
        <w:rPr>
          <w:rFonts w:ascii="Trebuchet MS" w:eastAsiaTheme="minorHAnsi" w:hAnsi="Trebuchet MS"/>
          <w:sz w:val="20"/>
          <w:szCs w:val="20"/>
        </w:rPr>
        <w:t>po que decorre desde o momento da decapitação até ao congelamento das fatias para análise posterior da caspase-3, não supera as 6</w:t>
      </w:r>
      <w:r w:rsidR="00A01C2E">
        <w:rPr>
          <w:rFonts w:ascii="Trebuchet MS" w:eastAsiaTheme="minorHAnsi" w:hAnsi="Trebuchet MS"/>
          <w:sz w:val="20"/>
          <w:szCs w:val="20"/>
        </w:rPr>
        <w:t xml:space="preserve">-8 </w:t>
      </w:r>
      <w:r w:rsidRPr="00C65DA3">
        <w:rPr>
          <w:rFonts w:ascii="Trebuchet MS" w:eastAsiaTheme="minorHAnsi" w:hAnsi="Trebuchet MS"/>
          <w:sz w:val="20"/>
          <w:szCs w:val="20"/>
        </w:rPr>
        <w:t>h</w:t>
      </w:r>
      <w:r>
        <w:rPr>
          <w:rFonts w:ascii="Trebuchet MS" w:eastAsiaTheme="minorHAnsi" w:hAnsi="Trebuchet MS"/>
          <w:sz w:val="20"/>
          <w:szCs w:val="20"/>
        </w:rPr>
        <w:t>oras</w:t>
      </w:r>
      <w:r w:rsidRPr="00C65DA3">
        <w:rPr>
          <w:rFonts w:ascii="Trebuchet MS" w:eastAsiaTheme="minorHAnsi" w:hAnsi="Trebuchet MS"/>
          <w:sz w:val="20"/>
          <w:szCs w:val="20"/>
        </w:rPr>
        <w:t>, pelo que, o tempo foi claramente muito cu</w:t>
      </w:r>
      <w:r w:rsidRPr="00C65DA3">
        <w:rPr>
          <w:rFonts w:ascii="Trebuchet MS" w:eastAsiaTheme="minorHAnsi" w:hAnsi="Trebuchet MS"/>
          <w:sz w:val="20"/>
          <w:szCs w:val="20"/>
        </w:rPr>
        <w:t>r</w:t>
      </w:r>
      <w:r w:rsidRPr="00C65DA3">
        <w:rPr>
          <w:rFonts w:ascii="Trebuchet MS" w:eastAsiaTheme="minorHAnsi" w:hAnsi="Trebuchet MS"/>
          <w:sz w:val="20"/>
          <w:szCs w:val="20"/>
        </w:rPr>
        <w:t>to.</w:t>
      </w:r>
      <w:r>
        <w:rPr>
          <w:rFonts w:ascii="Trebuchet MS" w:eastAsiaTheme="minorHAnsi" w:hAnsi="Trebuchet MS"/>
          <w:sz w:val="20"/>
          <w:szCs w:val="20"/>
        </w:rPr>
        <w:t xml:space="preserve"> </w:t>
      </w:r>
    </w:p>
    <w:p w:rsidR="000B0FFB" w:rsidRPr="00B76828" w:rsidRDefault="000B0FFB" w:rsidP="00E33268">
      <w:pPr>
        <w:spacing w:line="360" w:lineRule="auto"/>
        <w:ind w:firstLine="708"/>
        <w:jc w:val="both"/>
        <w:rPr>
          <w:rFonts w:ascii="Trebuchet MS" w:eastAsiaTheme="minorHAnsi" w:hAnsi="Trebuchet MS" w:cstheme="minorBidi"/>
          <w:sz w:val="20"/>
        </w:rPr>
      </w:pPr>
    </w:p>
    <w:p w:rsidR="000B0FFB" w:rsidRPr="00B76828" w:rsidRDefault="000B0FFB" w:rsidP="000B0FFB">
      <w:pPr>
        <w:spacing w:line="276" w:lineRule="auto"/>
        <w:jc w:val="both"/>
        <w:rPr>
          <w:rFonts w:ascii="Trebuchet MS" w:eastAsiaTheme="minorHAnsi" w:hAnsi="Trebuchet MS" w:cstheme="minorBidi"/>
          <w:b/>
          <w:smallCaps/>
          <w:shadow/>
          <w:sz w:val="20"/>
          <w:szCs w:val="20"/>
          <w:u w:val="single"/>
        </w:rPr>
      </w:pPr>
      <w:r w:rsidRPr="00B76828">
        <w:rPr>
          <w:rFonts w:ascii="Trebuchet MS" w:eastAsiaTheme="minorHAnsi" w:hAnsi="Trebuchet MS" w:cstheme="minorBidi"/>
          <w:b/>
          <w:smallCaps/>
          <w:shadow/>
          <w:sz w:val="20"/>
          <w:szCs w:val="20"/>
        </w:rPr>
        <w:sym w:font="Wingdings" w:char="F0D6"/>
      </w:r>
      <w:r w:rsidRPr="00B76828">
        <w:rPr>
          <w:rFonts w:ascii="Trebuchet MS" w:eastAsiaTheme="minorHAnsi" w:hAnsi="Trebuchet MS" w:cstheme="minorBidi"/>
          <w:b/>
          <w:smallCaps/>
          <w:shadow/>
          <w:sz w:val="20"/>
          <w:szCs w:val="20"/>
          <w:u w:val="single"/>
        </w:rPr>
        <w:t xml:space="preserve">Efeito de anestésicos </w:t>
      </w:r>
      <w:r w:rsidRPr="00B76828">
        <w:rPr>
          <w:rFonts w:ascii="Trebuchet MS" w:eastAsiaTheme="minorHAnsi" w:hAnsi="Trebuchet MS" w:cstheme="minorBidi"/>
          <w:b/>
          <w:smallCaps/>
          <w:shadow/>
          <w:sz w:val="18"/>
          <w:szCs w:val="20"/>
          <w:u w:val="single"/>
        </w:rPr>
        <w:t xml:space="preserve">(no modelo experimental com fatias de hipocampo) </w:t>
      </w:r>
    </w:p>
    <w:p w:rsidR="000B0FFB" w:rsidRPr="00B76828" w:rsidRDefault="000B0FFB" w:rsidP="000B0FFB">
      <w:pPr>
        <w:spacing w:line="360" w:lineRule="auto"/>
        <w:jc w:val="both"/>
        <w:rPr>
          <w:rFonts w:ascii="Trebuchet MS" w:eastAsiaTheme="minorHAnsi" w:hAnsi="Trebuchet MS" w:cstheme="minorBidi"/>
          <w:sz w:val="20"/>
          <w:szCs w:val="22"/>
        </w:rPr>
      </w:pPr>
      <w:r w:rsidRPr="00B76828">
        <w:rPr>
          <w:rFonts w:ascii="Trebuchet MS" w:eastAsiaTheme="minorHAnsi" w:hAnsi="Trebuchet MS" w:cstheme="minorBidi"/>
          <w:sz w:val="20"/>
          <w:szCs w:val="22"/>
        </w:rPr>
        <w:tab/>
      </w:r>
    </w:p>
    <w:p w:rsidR="000B0FFB" w:rsidRPr="00B76828" w:rsidRDefault="000B0FFB" w:rsidP="000B0FFB">
      <w:pPr>
        <w:spacing w:line="360" w:lineRule="auto"/>
        <w:jc w:val="both"/>
        <w:rPr>
          <w:rFonts w:ascii="Trebuchet MS" w:eastAsiaTheme="minorHAnsi" w:hAnsi="Trebuchet MS" w:cstheme="minorBidi"/>
          <w:sz w:val="20"/>
          <w:szCs w:val="22"/>
        </w:rPr>
      </w:pPr>
      <w:r w:rsidRPr="00B76828">
        <w:rPr>
          <w:rFonts w:ascii="Trebuchet MS" w:eastAsiaTheme="minorHAnsi" w:hAnsi="Trebuchet MS" w:cstheme="minorBidi"/>
          <w:sz w:val="20"/>
          <w:szCs w:val="22"/>
        </w:rPr>
        <w:tab/>
        <w:t xml:space="preserve">Neste trabalho de investigação, </w:t>
      </w:r>
      <w:r w:rsidRPr="00B76828">
        <w:rPr>
          <w:rFonts w:ascii="Trebuchet MS" w:eastAsiaTheme="minorHAnsi" w:hAnsi="Trebuchet MS" w:cstheme="minorBidi"/>
          <w:sz w:val="20"/>
          <w:szCs w:val="22"/>
          <w:u w:val="single"/>
        </w:rPr>
        <w:t>os ratos foram anestesiados com halotano</w:t>
      </w:r>
      <w:r w:rsidRPr="00B76828">
        <w:rPr>
          <w:rFonts w:ascii="Trebuchet MS" w:eastAsiaTheme="minorHAnsi" w:hAnsi="Trebuchet MS" w:cstheme="minorBidi"/>
          <w:sz w:val="20"/>
          <w:szCs w:val="22"/>
        </w:rPr>
        <w:t xml:space="preserve"> antes da extracção dos cérebros para a preparação das fatias e provavelmente as fatias podem ter sido pré-condicionadas com halotano. Contudo, como foi demonstrado por Zheng and Zuo (2003), uma exposição inferior a 5 minutos provoca um efeito mínimo induzido pelo pré-condicionamento. Considerando que durou menos de 2 minutos para anestesiar cada rato com anestésico, o efeito do pré-condicionamento por esta breve exposição de halotano deve ser mínima. Além disso, todas as fatias de cérebro, utilizadas nos diversos tratamentos foram </w:t>
      </w:r>
      <w:r w:rsidRPr="00B76828">
        <w:rPr>
          <w:rFonts w:ascii="Trebuchet MS" w:eastAsiaTheme="minorHAnsi" w:hAnsi="Trebuchet MS" w:cstheme="minorBidi"/>
          <w:sz w:val="20"/>
          <w:szCs w:val="22"/>
        </w:rPr>
        <w:lastRenderedPageBreak/>
        <w:t>igualmente submetidas a exposição de halotano, assim sendo, foram todas afectadas da me</w:t>
      </w:r>
      <w:r w:rsidRPr="00B76828">
        <w:rPr>
          <w:rFonts w:ascii="Trebuchet MS" w:eastAsiaTheme="minorHAnsi" w:hAnsi="Trebuchet MS" w:cstheme="minorBidi"/>
          <w:sz w:val="20"/>
          <w:szCs w:val="22"/>
        </w:rPr>
        <w:t>s</w:t>
      </w:r>
      <w:r w:rsidRPr="00B76828">
        <w:rPr>
          <w:rFonts w:ascii="Trebuchet MS" w:eastAsiaTheme="minorHAnsi" w:hAnsi="Trebuchet MS" w:cstheme="minorBidi"/>
          <w:sz w:val="20"/>
          <w:szCs w:val="22"/>
        </w:rPr>
        <w:t>ma forma.</w:t>
      </w:r>
    </w:p>
    <w:p w:rsidR="000B0FFB" w:rsidRPr="00B76828" w:rsidRDefault="000B0FFB" w:rsidP="000B0FFB">
      <w:pPr>
        <w:spacing w:line="480" w:lineRule="auto"/>
        <w:jc w:val="both"/>
        <w:rPr>
          <w:rFonts w:ascii="Trebuchet MS" w:eastAsiaTheme="minorHAnsi" w:hAnsi="Trebuchet MS" w:cstheme="minorBidi"/>
          <w:sz w:val="20"/>
          <w:szCs w:val="22"/>
        </w:rPr>
      </w:pPr>
    </w:p>
    <w:p w:rsidR="000B0FFB" w:rsidRPr="00B76828" w:rsidRDefault="000B0FFB" w:rsidP="000B0FFB">
      <w:pPr>
        <w:spacing w:after="200" w:line="276" w:lineRule="auto"/>
        <w:rPr>
          <w:rFonts w:ascii="Trebuchet MS" w:eastAsiaTheme="minorHAnsi" w:hAnsi="Trebuchet MS" w:cstheme="minorBidi"/>
          <w:sz w:val="20"/>
          <w:szCs w:val="20"/>
        </w:rPr>
      </w:pPr>
      <w:r w:rsidRPr="00B76828">
        <w:rPr>
          <w:rFonts w:ascii="Trebuchet MS" w:eastAsiaTheme="minorHAnsi" w:hAnsi="Trebuchet MS" w:cstheme="minorBidi"/>
          <w:b/>
          <w:smallCaps/>
          <w:shadow/>
          <w:sz w:val="20"/>
          <w:szCs w:val="20"/>
        </w:rPr>
        <w:sym w:font="Wingdings" w:char="F0D6"/>
      </w:r>
      <w:r w:rsidRPr="00B76828">
        <w:rPr>
          <w:rFonts w:ascii="Trebuchet MS" w:eastAsiaTheme="minorHAnsi" w:hAnsi="Trebuchet MS" w:cstheme="minorBidi"/>
          <w:sz w:val="20"/>
          <w:szCs w:val="20"/>
        </w:rPr>
        <w:t xml:space="preserve"> </w:t>
      </w:r>
      <w:r w:rsidRPr="00B4250C">
        <w:rPr>
          <w:rFonts w:ascii="Trebuchet MS" w:eastAsiaTheme="minorHAnsi" w:hAnsi="Trebuchet MS" w:cstheme="minorBidi"/>
          <w:b/>
          <w:smallCaps/>
          <w:shadow/>
          <w:sz w:val="20"/>
          <w:szCs w:val="20"/>
          <w:u w:val="single"/>
        </w:rPr>
        <w:t>Duração do tempo de re</w:t>
      </w:r>
      <w:r w:rsidRPr="00B76828">
        <w:rPr>
          <w:rFonts w:ascii="Trebuchet MS" w:eastAsiaTheme="minorHAnsi" w:hAnsi="Trebuchet MS" w:cstheme="minorBidi"/>
          <w:b/>
          <w:smallCaps/>
          <w:shadow/>
          <w:sz w:val="20"/>
          <w:szCs w:val="20"/>
          <w:u w:val="single"/>
        </w:rPr>
        <w:t>perfusão</w:t>
      </w:r>
      <w:r w:rsidRPr="00B4250C">
        <w:rPr>
          <w:rFonts w:ascii="Trebuchet MS" w:eastAsiaTheme="minorHAnsi" w:hAnsi="Trebuchet MS" w:cstheme="minorBidi"/>
          <w:b/>
          <w:smallCaps/>
          <w:shadow/>
          <w:sz w:val="20"/>
          <w:szCs w:val="20"/>
          <w:u w:val="single"/>
        </w:rPr>
        <w:t>/recuperação</w:t>
      </w:r>
    </w:p>
    <w:p w:rsidR="000B0FFB" w:rsidRPr="00B76828" w:rsidRDefault="000B0FFB" w:rsidP="000B0FFB">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t xml:space="preserve">Alguns autores sugerem que o </w:t>
      </w:r>
      <w:r w:rsidRPr="00B76828">
        <w:rPr>
          <w:rFonts w:ascii="Trebuchet MS" w:eastAsiaTheme="minorHAnsi" w:hAnsi="Trebuchet MS" w:cstheme="minorBidi"/>
          <w:sz w:val="20"/>
          <w:u w:val="single"/>
        </w:rPr>
        <w:t>tempo após a preparação das fatias de hipocampo</w:t>
      </w:r>
      <w:proofErr w:type="gramStart"/>
      <w:r w:rsidRPr="00B76828">
        <w:rPr>
          <w:rFonts w:ascii="Trebuchet MS" w:eastAsiaTheme="minorHAnsi" w:hAnsi="Trebuchet MS" w:cstheme="minorBidi"/>
          <w:sz w:val="20"/>
        </w:rPr>
        <w:t>,</w:t>
      </w:r>
      <w:proofErr w:type="gramEnd"/>
      <w:r w:rsidRPr="00B76828">
        <w:rPr>
          <w:rFonts w:ascii="Trebuchet MS" w:eastAsiaTheme="minorHAnsi" w:hAnsi="Trebuchet MS" w:cstheme="minorBidi"/>
          <w:sz w:val="20"/>
        </w:rPr>
        <w:t xml:space="preserve"> deveria ser mais longo. No nosso modelo experimental, as fatias recuperam durante 1hora incubadas a 37ºC em perfusão contínua de tampão krebs gaseado.</w:t>
      </w:r>
      <w:r>
        <w:rPr>
          <w:rFonts w:ascii="Trebuchet MS" w:eastAsiaTheme="minorHAnsi" w:hAnsi="Trebuchet MS" w:cstheme="minorBidi"/>
          <w:sz w:val="20"/>
        </w:rPr>
        <w:t xml:space="preserve"> </w:t>
      </w:r>
      <w:r w:rsidRPr="00B76828">
        <w:rPr>
          <w:rFonts w:ascii="Trebuchet MS" w:eastAsiaTheme="minorHAnsi" w:hAnsi="Trebuchet MS" w:cstheme="minorBidi"/>
          <w:sz w:val="20"/>
        </w:rPr>
        <w:t xml:space="preserve">Toner </w:t>
      </w:r>
      <w:r w:rsidRPr="00B76828">
        <w:rPr>
          <w:rFonts w:ascii="Trebuchet MS" w:eastAsiaTheme="minorHAnsi" w:hAnsi="Trebuchet MS" w:cstheme="minorBidi"/>
          <w:i/>
          <w:sz w:val="20"/>
        </w:rPr>
        <w:t xml:space="preserve">et al. </w:t>
      </w:r>
      <w:r w:rsidRPr="00B76828">
        <w:rPr>
          <w:rFonts w:ascii="Trebuchet MS" w:eastAsiaTheme="minorHAnsi" w:hAnsi="Trebuchet MS" w:cstheme="minorBidi"/>
          <w:sz w:val="20"/>
        </w:rPr>
        <w:t>(2002) descr</w:t>
      </w:r>
      <w:r w:rsidRPr="00B76828">
        <w:rPr>
          <w:rFonts w:ascii="Trebuchet MS" w:eastAsiaTheme="minorHAnsi" w:hAnsi="Trebuchet MS" w:cstheme="minorBidi"/>
          <w:sz w:val="20"/>
        </w:rPr>
        <w:t>e</w:t>
      </w:r>
      <w:r w:rsidRPr="00B76828">
        <w:rPr>
          <w:rFonts w:ascii="Trebuchet MS" w:eastAsiaTheme="minorHAnsi" w:hAnsi="Trebuchet MS" w:cstheme="minorBidi"/>
          <w:sz w:val="20"/>
        </w:rPr>
        <w:t>ve que as fatias deviam permanecer incubadas à temperatura ambiente (24ºC) durante 1h</w:t>
      </w:r>
      <w:r>
        <w:rPr>
          <w:rFonts w:ascii="Trebuchet MS" w:eastAsiaTheme="minorHAnsi" w:hAnsi="Trebuchet MS" w:cstheme="minorBidi"/>
          <w:sz w:val="20"/>
        </w:rPr>
        <w:t>ora</w:t>
      </w:r>
      <w:r w:rsidRPr="00B76828">
        <w:rPr>
          <w:rFonts w:ascii="Trebuchet MS" w:eastAsiaTheme="minorHAnsi" w:hAnsi="Trebuchet MS" w:cstheme="minorBidi"/>
          <w:sz w:val="20"/>
        </w:rPr>
        <w:t>-4h</w:t>
      </w:r>
      <w:r>
        <w:rPr>
          <w:rFonts w:ascii="Trebuchet MS" w:eastAsiaTheme="minorHAnsi" w:hAnsi="Trebuchet MS" w:cstheme="minorBidi"/>
          <w:sz w:val="20"/>
        </w:rPr>
        <w:t>oras</w:t>
      </w:r>
      <w:r w:rsidRPr="00B76828">
        <w:rPr>
          <w:rFonts w:ascii="Trebuchet MS" w:eastAsiaTheme="minorHAnsi" w:hAnsi="Trebuchet MS" w:cstheme="minorBidi"/>
          <w:sz w:val="20"/>
        </w:rPr>
        <w:t>, para permitir a recuperação do trauma induzido pela preparação.</w:t>
      </w:r>
    </w:p>
    <w:p w:rsidR="000B0FFB" w:rsidRPr="00B76828" w:rsidRDefault="000B0FFB" w:rsidP="000B0FFB">
      <w:pPr>
        <w:autoSpaceDE w:val="0"/>
        <w:autoSpaceDN w:val="0"/>
        <w:adjustRightInd w:val="0"/>
        <w:spacing w:line="360" w:lineRule="auto"/>
        <w:jc w:val="both"/>
        <w:rPr>
          <w:rFonts w:ascii="Trebuchet MS" w:eastAsiaTheme="minorHAnsi" w:hAnsi="Trebuchet MS" w:cstheme="minorBidi"/>
          <w:sz w:val="20"/>
        </w:rPr>
      </w:pPr>
      <w:r w:rsidRPr="00B76828">
        <w:rPr>
          <w:rFonts w:ascii="Trebuchet MS" w:eastAsiaTheme="minorHAnsi" w:hAnsi="Trebuchet MS" w:cstheme="minorBidi"/>
          <w:sz w:val="20"/>
        </w:rPr>
        <w:tab/>
        <w:t xml:space="preserve">Em relação </w:t>
      </w:r>
      <w:r w:rsidRPr="00B76828">
        <w:rPr>
          <w:rFonts w:ascii="Trebuchet MS" w:eastAsiaTheme="minorHAnsi" w:hAnsi="Trebuchet MS" w:cstheme="minorBidi"/>
          <w:sz w:val="20"/>
          <w:u w:val="single"/>
        </w:rPr>
        <w:t>à duração do tempo após pré-condicionamento</w:t>
      </w:r>
      <w:r w:rsidRPr="00B76828">
        <w:rPr>
          <w:rFonts w:ascii="Trebuchet MS" w:eastAsiaTheme="minorHAnsi" w:hAnsi="Trebuchet MS" w:cstheme="minorBidi"/>
          <w:sz w:val="20"/>
        </w:rPr>
        <w:t xml:space="preserve">, Sigaut </w:t>
      </w:r>
      <w:r w:rsidRPr="00B76828">
        <w:rPr>
          <w:rFonts w:ascii="Trebuchet MS" w:eastAsiaTheme="minorHAnsi" w:hAnsi="Trebuchet MS" w:cstheme="minorBidi"/>
          <w:i/>
          <w:sz w:val="20"/>
        </w:rPr>
        <w:t xml:space="preserve">et al. </w:t>
      </w:r>
      <w:r w:rsidRPr="00B76828">
        <w:rPr>
          <w:rFonts w:ascii="Trebuchet MS" w:eastAsiaTheme="minorHAnsi" w:hAnsi="Trebuchet MS" w:cstheme="minorBidi"/>
          <w:sz w:val="20"/>
        </w:rPr>
        <w:t>(2009) util</w:t>
      </w:r>
      <w:r w:rsidRPr="00B76828">
        <w:rPr>
          <w:rFonts w:ascii="Trebuchet MS" w:eastAsiaTheme="minorHAnsi" w:hAnsi="Trebuchet MS" w:cstheme="minorBidi"/>
          <w:sz w:val="20"/>
        </w:rPr>
        <w:t>i</w:t>
      </w:r>
      <w:r w:rsidRPr="00B76828">
        <w:rPr>
          <w:rFonts w:ascii="Trebuchet MS" w:eastAsiaTheme="minorHAnsi" w:hAnsi="Trebuchet MS" w:cstheme="minorBidi"/>
          <w:sz w:val="20"/>
        </w:rPr>
        <w:t>zaram entre 5-6horas de tempo de reperfusão. No nosso modelo após IPC, as fatias perman</w:t>
      </w:r>
      <w:r w:rsidRPr="00B76828">
        <w:rPr>
          <w:rFonts w:ascii="Trebuchet MS" w:eastAsiaTheme="minorHAnsi" w:hAnsi="Trebuchet MS" w:cstheme="minorBidi"/>
          <w:sz w:val="20"/>
        </w:rPr>
        <w:t>e</w:t>
      </w:r>
      <w:r w:rsidRPr="00B76828">
        <w:rPr>
          <w:rFonts w:ascii="Trebuchet MS" w:eastAsiaTheme="minorHAnsi" w:hAnsi="Trebuchet MS" w:cstheme="minorBidi"/>
          <w:sz w:val="20"/>
        </w:rPr>
        <w:t>cem em perfusão de tampão krebs gaseado durante 3h</w:t>
      </w:r>
      <w:r>
        <w:rPr>
          <w:rFonts w:ascii="Trebuchet MS" w:eastAsiaTheme="minorHAnsi" w:hAnsi="Trebuchet MS" w:cstheme="minorBidi"/>
          <w:sz w:val="20"/>
        </w:rPr>
        <w:t>oras</w:t>
      </w:r>
      <w:r w:rsidRPr="00B76828">
        <w:rPr>
          <w:rFonts w:ascii="Trebuchet MS" w:eastAsiaTheme="minorHAnsi" w:hAnsi="Trebuchet MS" w:cstheme="minorBidi"/>
          <w:sz w:val="20"/>
        </w:rPr>
        <w:t xml:space="preserve"> a 37ºC. </w:t>
      </w:r>
    </w:p>
    <w:p w:rsidR="000B0FFB" w:rsidRPr="00B76828" w:rsidRDefault="000B0FFB" w:rsidP="000B0FFB">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t xml:space="preserve">Outros autores sugerem que, </w:t>
      </w:r>
      <w:r w:rsidRPr="00B76828">
        <w:rPr>
          <w:rFonts w:ascii="Trebuchet MS" w:eastAsiaTheme="minorHAnsi" w:hAnsi="Trebuchet MS" w:cstheme="minorBidi"/>
          <w:sz w:val="20"/>
          <w:u w:val="single"/>
        </w:rPr>
        <w:t xml:space="preserve">após o período pretendido de isquémia simulada </w:t>
      </w:r>
      <w:proofErr w:type="gramStart"/>
      <w:r w:rsidRPr="00B76828">
        <w:rPr>
          <w:rFonts w:ascii="Trebuchet MS" w:eastAsiaTheme="minorHAnsi" w:hAnsi="Trebuchet MS" w:cstheme="minorBidi"/>
          <w:i/>
          <w:sz w:val="20"/>
          <w:u w:val="single"/>
        </w:rPr>
        <w:t>in vitro</w:t>
      </w:r>
      <w:proofErr w:type="gramEnd"/>
      <w:r w:rsidRPr="00B76828">
        <w:rPr>
          <w:rFonts w:ascii="Trebuchet MS" w:eastAsiaTheme="minorHAnsi" w:hAnsi="Trebuchet MS" w:cstheme="minorBidi"/>
          <w:i/>
          <w:sz w:val="20"/>
          <w:u w:val="single"/>
        </w:rPr>
        <w:t xml:space="preserve"> </w:t>
      </w:r>
      <w:r w:rsidRPr="00B76828">
        <w:rPr>
          <w:rFonts w:ascii="Trebuchet MS" w:eastAsiaTheme="minorHAnsi" w:hAnsi="Trebuchet MS" w:cstheme="minorBidi"/>
          <w:sz w:val="20"/>
          <w:u w:val="single"/>
        </w:rPr>
        <w:t>(POG)</w:t>
      </w:r>
      <w:r w:rsidRPr="00B76828">
        <w:rPr>
          <w:rFonts w:ascii="Trebuchet MS" w:eastAsiaTheme="minorHAnsi" w:hAnsi="Trebuchet MS" w:cstheme="minorBidi"/>
          <w:sz w:val="20"/>
        </w:rPr>
        <w:t xml:space="preserve">, as fatias permaneçam em recuperação em tampão Krebs gaseado a 37ºC durante </w:t>
      </w:r>
      <w:r>
        <w:rPr>
          <w:rFonts w:ascii="Trebuchet MS" w:eastAsiaTheme="minorHAnsi" w:hAnsi="Trebuchet MS" w:cstheme="minorBidi"/>
          <w:sz w:val="20"/>
        </w:rPr>
        <w:t xml:space="preserve">4 - </w:t>
      </w:r>
      <w:r w:rsidRPr="00B76828">
        <w:rPr>
          <w:rFonts w:ascii="Trebuchet MS" w:eastAsiaTheme="minorHAnsi" w:hAnsi="Trebuchet MS" w:cstheme="minorBidi"/>
          <w:sz w:val="20"/>
        </w:rPr>
        <w:t xml:space="preserve">5 horas (Popovic </w:t>
      </w:r>
      <w:r w:rsidRPr="00B76828">
        <w:rPr>
          <w:rFonts w:ascii="Trebuchet MS" w:eastAsiaTheme="minorHAnsi" w:hAnsi="Trebuchet MS" w:cstheme="minorBidi"/>
          <w:i/>
          <w:sz w:val="20"/>
        </w:rPr>
        <w:t>et al.</w:t>
      </w:r>
      <w:r w:rsidRPr="00B76828">
        <w:rPr>
          <w:rFonts w:ascii="Trebuchet MS" w:eastAsiaTheme="minorHAnsi" w:hAnsi="Trebuchet MS" w:cstheme="minorBidi"/>
          <w:sz w:val="20"/>
        </w:rPr>
        <w:t>, 2000</w:t>
      </w:r>
      <w:r>
        <w:rPr>
          <w:rFonts w:ascii="Trebuchet MS" w:eastAsiaTheme="minorHAnsi" w:hAnsi="Trebuchet MS" w:cstheme="minorBidi"/>
          <w:sz w:val="20"/>
        </w:rPr>
        <w:t xml:space="preserve">; Wang </w:t>
      </w:r>
      <w:r w:rsidRPr="00927EF4">
        <w:rPr>
          <w:rFonts w:ascii="Trebuchet MS" w:eastAsiaTheme="minorHAnsi" w:hAnsi="Trebuchet MS" w:cstheme="minorBidi"/>
          <w:i/>
          <w:sz w:val="20"/>
        </w:rPr>
        <w:t>et al.</w:t>
      </w:r>
      <w:r>
        <w:rPr>
          <w:rFonts w:ascii="Trebuchet MS" w:eastAsiaTheme="minorHAnsi" w:hAnsi="Trebuchet MS" w:cstheme="minorBidi"/>
          <w:sz w:val="20"/>
        </w:rPr>
        <w:t xml:space="preserve">, 2007; Zheng and Zuo, </w:t>
      </w:r>
      <w:r w:rsidRPr="00B76828">
        <w:rPr>
          <w:rFonts w:ascii="Trebuchet MS" w:eastAsiaTheme="minorHAnsi" w:hAnsi="Trebuchet MS" w:cstheme="minorBidi"/>
          <w:sz w:val="20"/>
        </w:rPr>
        <w:t>2003). Salientam que este período de recuperação</w:t>
      </w:r>
      <w:proofErr w:type="gramStart"/>
      <w:r w:rsidRPr="00B76828">
        <w:rPr>
          <w:rFonts w:ascii="Trebuchet MS" w:eastAsiaTheme="minorHAnsi" w:hAnsi="Trebuchet MS" w:cstheme="minorBidi"/>
          <w:sz w:val="20"/>
        </w:rPr>
        <w:t>,</w:t>
      </w:r>
      <w:proofErr w:type="gramEnd"/>
      <w:r w:rsidRPr="00B76828">
        <w:rPr>
          <w:rFonts w:ascii="Trebuchet MS" w:eastAsiaTheme="minorHAnsi" w:hAnsi="Trebuchet MS" w:cstheme="minorBidi"/>
          <w:sz w:val="20"/>
        </w:rPr>
        <w:t xml:space="preserve"> foi utilizado para permitir o desenvolvimento da lesão e morte cel</w:t>
      </w:r>
      <w:r w:rsidRPr="00B76828">
        <w:rPr>
          <w:rFonts w:ascii="Trebuchet MS" w:eastAsiaTheme="minorHAnsi" w:hAnsi="Trebuchet MS" w:cstheme="minorBidi"/>
          <w:sz w:val="20"/>
        </w:rPr>
        <w:t>u</w:t>
      </w:r>
      <w:r w:rsidRPr="00B76828">
        <w:rPr>
          <w:rFonts w:ascii="Trebuchet MS" w:eastAsiaTheme="minorHAnsi" w:hAnsi="Trebuchet MS" w:cstheme="minorBidi"/>
          <w:sz w:val="20"/>
        </w:rPr>
        <w:t xml:space="preserve">lar que podem não ser evidentes imediatamente após o insulto isquémico (Popovic </w:t>
      </w:r>
      <w:r w:rsidRPr="00B76828">
        <w:rPr>
          <w:rFonts w:ascii="Trebuchet MS" w:eastAsiaTheme="minorHAnsi" w:hAnsi="Trebuchet MS" w:cstheme="minorBidi"/>
          <w:i/>
          <w:sz w:val="20"/>
        </w:rPr>
        <w:t>et al.</w:t>
      </w:r>
      <w:r w:rsidRPr="00B76828">
        <w:rPr>
          <w:rFonts w:ascii="Trebuchet MS" w:eastAsiaTheme="minorHAnsi" w:hAnsi="Trebuchet MS" w:cstheme="minorBidi"/>
          <w:sz w:val="20"/>
        </w:rPr>
        <w:t>, 2000</w:t>
      </w:r>
      <w:r w:rsidR="004003B3">
        <w:rPr>
          <w:rFonts w:ascii="Trebuchet MS" w:eastAsiaTheme="minorHAnsi" w:hAnsi="Trebuchet MS" w:cstheme="minorBidi"/>
          <w:sz w:val="20"/>
        </w:rPr>
        <w:t xml:space="preserve">; Wang </w:t>
      </w:r>
      <w:r w:rsidR="004003B3" w:rsidRPr="00927EF4">
        <w:rPr>
          <w:rFonts w:ascii="Trebuchet MS" w:eastAsiaTheme="minorHAnsi" w:hAnsi="Trebuchet MS" w:cstheme="minorBidi"/>
          <w:i/>
          <w:sz w:val="20"/>
        </w:rPr>
        <w:t>et al.</w:t>
      </w:r>
      <w:r w:rsidR="004003B3">
        <w:rPr>
          <w:rFonts w:ascii="Trebuchet MS" w:eastAsiaTheme="minorHAnsi" w:hAnsi="Trebuchet MS" w:cstheme="minorBidi"/>
          <w:sz w:val="20"/>
        </w:rPr>
        <w:t>, 2007</w:t>
      </w:r>
      <w:r w:rsidRPr="00B76828">
        <w:rPr>
          <w:rFonts w:ascii="Trebuchet MS" w:eastAsiaTheme="minorHAnsi" w:hAnsi="Trebuchet MS" w:cstheme="minorBidi"/>
          <w:sz w:val="20"/>
        </w:rPr>
        <w:t>).</w:t>
      </w:r>
    </w:p>
    <w:p w:rsidR="000B0FFB" w:rsidRPr="00B76828" w:rsidRDefault="000B0FFB" w:rsidP="000B0FFB">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t>Zheng and Zuo (2003) avaliaram a lesão/morte celular ao fim 4h</w:t>
      </w:r>
      <w:r>
        <w:rPr>
          <w:rFonts w:ascii="Trebuchet MS" w:eastAsiaTheme="minorHAnsi" w:hAnsi="Trebuchet MS" w:cstheme="minorBidi"/>
          <w:sz w:val="20"/>
        </w:rPr>
        <w:t>oras</w:t>
      </w:r>
      <w:r w:rsidRPr="00B76828">
        <w:rPr>
          <w:rFonts w:ascii="Trebuchet MS" w:eastAsiaTheme="minorHAnsi" w:hAnsi="Trebuchet MS" w:cstheme="minorBidi"/>
          <w:sz w:val="20"/>
        </w:rPr>
        <w:t xml:space="preserve"> após POG, po</w:t>
      </w:r>
      <w:r w:rsidRPr="00B76828">
        <w:rPr>
          <w:rFonts w:ascii="Trebuchet MS" w:eastAsiaTheme="minorHAnsi" w:hAnsi="Trebuchet MS" w:cstheme="minorBidi"/>
          <w:sz w:val="20"/>
        </w:rPr>
        <w:t>r</w:t>
      </w:r>
      <w:r w:rsidRPr="00B76828">
        <w:rPr>
          <w:rFonts w:ascii="Trebuchet MS" w:eastAsiaTheme="minorHAnsi" w:hAnsi="Trebuchet MS" w:cstheme="minorBidi"/>
          <w:sz w:val="20"/>
        </w:rPr>
        <w:t xml:space="preserve">que a morte neuronal em fatias de cérebro só se manifesta dentro de 4 a 5 horas após OGD e hipóxia (Popovic </w:t>
      </w:r>
      <w:r w:rsidRPr="00B76828">
        <w:rPr>
          <w:rFonts w:ascii="Trebuchet MS" w:eastAsiaTheme="minorHAnsi" w:hAnsi="Trebuchet MS" w:cstheme="minorBidi"/>
          <w:i/>
          <w:sz w:val="20"/>
        </w:rPr>
        <w:t>et al.</w:t>
      </w:r>
      <w:r w:rsidRPr="00B76828">
        <w:rPr>
          <w:rFonts w:ascii="Trebuchet MS" w:eastAsiaTheme="minorHAnsi" w:hAnsi="Trebuchet MS" w:cstheme="minorBidi"/>
          <w:sz w:val="20"/>
        </w:rPr>
        <w:t>, 2000).</w:t>
      </w:r>
    </w:p>
    <w:p w:rsidR="000B0FFB" w:rsidRPr="00B76828" w:rsidRDefault="000B0FFB" w:rsidP="000B0FFB">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t xml:space="preserve">Wang </w:t>
      </w:r>
      <w:r w:rsidRPr="00B76828">
        <w:rPr>
          <w:rFonts w:ascii="Trebuchet MS" w:eastAsiaTheme="minorHAnsi" w:hAnsi="Trebuchet MS" w:cstheme="minorBidi"/>
          <w:i/>
          <w:sz w:val="20"/>
        </w:rPr>
        <w:t>et al.</w:t>
      </w:r>
      <w:r w:rsidRPr="00B76828">
        <w:rPr>
          <w:rFonts w:ascii="Trebuchet MS" w:eastAsiaTheme="minorHAnsi" w:hAnsi="Trebuchet MS" w:cstheme="minorBidi"/>
          <w:sz w:val="20"/>
        </w:rPr>
        <w:t>, (2007) referem que as fatias após insulto isquémico (POG), permanecem em recuperação em tampão Krebs em perfusão durante 5h</w:t>
      </w:r>
      <w:r>
        <w:rPr>
          <w:rFonts w:ascii="Trebuchet MS" w:eastAsiaTheme="minorHAnsi" w:hAnsi="Trebuchet MS" w:cstheme="minorBidi"/>
          <w:sz w:val="20"/>
        </w:rPr>
        <w:t>oras</w:t>
      </w:r>
      <w:r w:rsidRPr="00B76828">
        <w:rPr>
          <w:rFonts w:ascii="Trebuchet MS" w:eastAsiaTheme="minorHAnsi" w:hAnsi="Trebuchet MS" w:cstheme="minorBidi"/>
          <w:sz w:val="20"/>
        </w:rPr>
        <w:t xml:space="preserve"> a 37ºC, para permitir que a lesão e a morte celular que podem não ser evidentes logo após o insulto isquémico, se torne aparente.</w:t>
      </w:r>
    </w:p>
    <w:p w:rsidR="000B0FFB" w:rsidRDefault="000B0FFB" w:rsidP="000B0FFB">
      <w:pPr>
        <w:autoSpaceDE w:val="0"/>
        <w:autoSpaceDN w:val="0"/>
        <w:adjustRightInd w:val="0"/>
        <w:spacing w:line="360" w:lineRule="auto"/>
        <w:ind w:firstLine="708"/>
        <w:jc w:val="both"/>
        <w:rPr>
          <w:rFonts w:ascii="Trebuchet MS" w:eastAsiaTheme="minorHAnsi" w:hAnsi="Trebuchet MS" w:cstheme="minorBidi"/>
          <w:sz w:val="20"/>
        </w:rPr>
      </w:pPr>
      <w:r w:rsidRPr="00B76828">
        <w:rPr>
          <w:rFonts w:ascii="Trebuchet MS" w:eastAsiaTheme="minorHAnsi" w:hAnsi="Trebuchet MS" w:cstheme="minorBidi"/>
          <w:sz w:val="20"/>
        </w:rPr>
        <w:t xml:space="preserve">No nosso modelo experimental, após a simulação de isquémia </w:t>
      </w:r>
      <w:proofErr w:type="gramStart"/>
      <w:r w:rsidRPr="00B76828">
        <w:rPr>
          <w:rFonts w:ascii="Trebuchet MS" w:eastAsiaTheme="minorHAnsi" w:hAnsi="Trebuchet MS" w:cstheme="minorBidi"/>
          <w:i/>
          <w:sz w:val="20"/>
        </w:rPr>
        <w:t>in vitro</w:t>
      </w:r>
      <w:proofErr w:type="gramEnd"/>
      <w:r w:rsidRPr="00B76828">
        <w:rPr>
          <w:rFonts w:ascii="Trebuchet MS" w:eastAsiaTheme="minorHAnsi" w:hAnsi="Trebuchet MS" w:cstheme="minorBidi"/>
          <w:sz w:val="20"/>
        </w:rPr>
        <w:t>, 20 minutos de POG, aplicamos os métodos de avaliação/quantificação de sobrevivência neuronal</w:t>
      </w:r>
      <w:r w:rsidR="004003B3">
        <w:rPr>
          <w:rFonts w:ascii="Trebuchet MS" w:eastAsiaTheme="minorHAnsi" w:hAnsi="Trebuchet MS" w:cstheme="minorBidi"/>
          <w:sz w:val="20"/>
        </w:rPr>
        <w:t xml:space="preserve"> 1hora e 30 minutos a 2horas e 30 minutos após o insulto isquémico</w:t>
      </w:r>
      <w:r w:rsidRPr="00B76828">
        <w:rPr>
          <w:rFonts w:ascii="Trebuchet MS" w:eastAsiaTheme="minorHAnsi" w:hAnsi="Trebuchet MS" w:cstheme="minorBidi"/>
          <w:sz w:val="20"/>
        </w:rPr>
        <w:t>. No caso do TTC</w:t>
      </w:r>
      <w:r w:rsidR="004003B3" w:rsidRPr="004003B3">
        <w:rPr>
          <w:rFonts w:ascii="Trebuchet MS" w:eastAsiaTheme="minorHAnsi" w:hAnsi="Trebuchet MS" w:cstheme="minorBidi"/>
          <w:sz w:val="20"/>
        </w:rPr>
        <w:t xml:space="preserve"> </w:t>
      </w:r>
      <w:r w:rsidR="004003B3">
        <w:rPr>
          <w:rFonts w:ascii="Trebuchet MS" w:eastAsiaTheme="minorHAnsi" w:hAnsi="Trebuchet MS" w:cstheme="minorBidi"/>
          <w:sz w:val="20"/>
        </w:rPr>
        <w:t xml:space="preserve">e </w:t>
      </w:r>
      <w:r w:rsidR="004003B3" w:rsidRPr="00B76828">
        <w:rPr>
          <w:rFonts w:ascii="Trebuchet MS" w:eastAsiaTheme="minorHAnsi" w:hAnsi="Trebuchet MS" w:cstheme="minorBidi"/>
          <w:sz w:val="20"/>
        </w:rPr>
        <w:t>no caso da caspase-3,</w:t>
      </w:r>
      <w:r w:rsidRPr="00B76828">
        <w:rPr>
          <w:rFonts w:ascii="Trebuchet MS" w:eastAsiaTheme="minorHAnsi" w:hAnsi="Trebuchet MS" w:cstheme="minorBidi"/>
          <w:sz w:val="20"/>
        </w:rPr>
        <w:t xml:space="preserve"> as fatias após POG são perfundidas durante </w:t>
      </w:r>
      <w:r w:rsidR="004003B3">
        <w:rPr>
          <w:rFonts w:ascii="Trebuchet MS" w:eastAsiaTheme="minorHAnsi" w:hAnsi="Trebuchet MS" w:cstheme="minorBidi"/>
          <w:sz w:val="20"/>
        </w:rPr>
        <w:t>1hora e 30minutos com krebs TTC. N</w:t>
      </w:r>
      <w:r w:rsidRPr="00B76828">
        <w:rPr>
          <w:rFonts w:ascii="Trebuchet MS" w:eastAsiaTheme="minorHAnsi" w:hAnsi="Trebuchet MS" w:cstheme="minorBidi"/>
          <w:sz w:val="20"/>
        </w:rPr>
        <w:t>o caso da LDH, as fatias permanece</w:t>
      </w:r>
      <w:r w:rsidR="004003B3">
        <w:rPr>
          <w:rFonts w:ascii="Trebuchet MS" w:eastAsiaTheme="minorHAnsi" w:hAnsi="Trebuchet MS" w:cstheme="minorBidi"/>
          <w:sz w:val="20"/>
        </w:rPr>
        <w:t>ra</w:t>
      </w:r>
      <w:r w:rsidRPr="00B76828">
        <w:rPr>
          <w:rFonts w:ascii="Trebuchet MS" w:eastAsiaTheme="minorHAnsi" w:hAnsi="Trebuchet MS" w:cstheme="minorBidi"/>
          <w:sz w:val="20"/>
        </w:rPr>
        <w:t>m durante 2horas e 30 minutos a recuperar e a concentrar a LDH libertada para o meio pelas fatias danificadas.</w:t>
      </w:r>
    </w:p>
    <w:p w:rsidR="00391A32" w:rsidRDefault="00391A32" w:rsidP="000B0FFB">
      <w:pPr>
        <w:autoSpaceDE w:val="0"/>
        <w:autoSpaceDN w:val="0"/>
        <w:adjustRightInd w:val="0"/>
        <w:spacing w:line="360" w:lineRule="auto"/>
        <w:ind w:firstLine="708"/>
        <w:jc w:val="both"/>
        <w:rPr>
          <w:rFonts w:ascii="Trebuchet MS" w:eastAsiaTheme="minorHAnsi" w:hAnsi="Trebuchet MS" w:cstheme="minorBidi"/>
          <w:sz w:val="20"/>
        </w:rPr>
      </w:pPr>
      <w:r>
        <w:rPr>
          <w:rFonts w:ascii="Trebuchet MS" w:eastAsiaTheme="minorHAnsi" w:hAnsi="Trebuchet MS" w:cstheme="minorBidi"/>
          <w:sz w:val="20"/>
        </w:rPr>
        <w:t>A utilização de tempo</w:t>
      </w:r>
      <w:r w:rsidR="002E3D99">
        <w:rPr>
          <w:rFonts w:ascii="Trebuchet MS" w:eastAsiaTheme="minorHAnsi" w:hAnsi="Trebuchet MS" w:cstheme="minorBidi"/>
          <w:sz w:val="20"/>
        </w:rPr>
        <w:t>s</w:t>
      </w:r>
      <w:r>
        <w:rPr>
          <w:rFonts w:ascii="Trebuchet MS" w:eastAsiaTheme="minorHAnsi" w:hAnsi="Trebuchet MS" w:cstheme="minorBidi"/>
          <w:sz w:val="20"/>
        </w:rPr>
        <w:t xml:space="preserve"> de recuperação, após insulto isquémico neurotóxico, </w:t>
      </w:r>
      <w:r w:rsidR="006D1613">
        <w:rPr>
          <w:rFonts w:ascii="Trebuchet MS" w:eastAsiaTheme="minorHAnsi" w:hAnsi="Trebuchet MS" w:cstheme="minorBidi"/>
          <w:sz w:val="20"/>
        </w:rPr>
        <w:t xml:space="preserve">menores </w:t>
      </w:r>
      <w:r w:rsidR="008C4CB2">
        <w:rPr>
          <w:rFonts w:ascii="Trebuchet MS" w:eastAsiaTheme="minorHAnsi" w:hAnsi="Trebuchet MS" w:cstheme="minorBidi"/>
          <w:sz w:val="20"/>
        </w:rPr>
        <w:t xml:space="preserve">poderá </w:t>
      </w:r>
      <w:r>
        <w:rPr>
          <w:rFonts w:ascii="Trebuchet MS" w:eastAsiaTheme="minorHAnsi" w:hAnsi="Trebuchet MS" w:cstheme="minorBidi"/>
          <w:sz w:val="20"/>
        </w:rPr>
        <w:t xml:space="preserve">explicar porque razão não foi possível quantificar a actividade da caspase-3 na nossa preparação. No entanto, outros autores conseguem detectar activação da caspase-3 em fatias de hipocampo 1hora após aplicação de insulto isquémico (Dahmani </w:t>
      </w:r>
      <w:r w:rsidRPr="00391A32">
        <w:rPr>
          <w:rFonts w:ascii="Trebuchet MS" w:eastAsiaTheme="minorHAnsi" w:hAnsi="Trebuchet MS" w:cstheme="minorBidi"/>
          <w:i/>
          <w:sz w:val="20"/>
        </w:rPr>
        <w:t>et al.</w:t>
      </w:r>
      <w:r>
        <w:rPr>
          <w:rFonts w:ascii="Trebuchet MS" w:eastAsiaTheme="minorHAnsi" w:hAnsi="Trebuchet MS" w:cstheme="minorBidi"/>
          <w:sz w:val="20"/>
        </w:rPr>
        <w:t xml:space="preserve">, 2005). </w:t>
      </w:r>
    </w:p>
    <w:p w:rsidR="000B0FFB" w:rsidRDefault="000B0FFB" w:rsidP="00971506">
      <w:pPr>
        <w:spacing w:line="360" w:lineRule="auto"/>
        <w:jc w:val="both"/>
        <w:rPr>
          <w:rFonts w:ascii="Trebuchet MS" w:eastAsiaTheme="minorHAnsi" w:hAnsi="Trebuchet MS"/>
        </w:rPr>
      </w:pPr>
    </w:p>
    <w:p w:rsidR="006B3F93" w:rsidRDefault="006B3F93" w:rsidP="00971506">
      <w:pPr>
        <w:spacing w:line="360" w:lineRule="auto"/>
        <w:jc w:val="both"/>
        <w:rPr>
          <w:rFonts w:ascii="Trebuchet MS" w:eastAsiaTheme="minorHAnsi" w:hAnsi="Trebuchet MS"/>
        </w:rPr>
      </w:pPr>
    </w:p>
    <w:p w:rsidR="006B3F93" w:rsidRDefault="006B3F93" w:rsidP="00971506">
      <w:pPr>
        <w:spacing w:line="360" w:lineRule="auto"/>
        <w:jc w:val="both"/>
        <w:rPr>
          <w:rFonts w:ascii="Trebuchet MS" w:eastAsiaTheme="minorHAnsi" w:hAnsi="Trebuchet MS"/>
        </w:rPr>
      </w:pPr>
    </w:p>
    <w:p w:rsidR="00CB2FAF" w:rsidRPr="0095500E" w:rsidRDefault="00CB2FAF" w:rsidP="001974DE">
      <w:pPr>
        <w:spacing w:line="360" w:lineRule="auto"/>
        <w:jc w:val="both"/>
        <w:rPr>
          <w:rFonts w:ascii="Trebuchet MS" w:hAnsi="Trebuchet MS"/>
          <w:b/>
          <w:smallCaps/>
          <w:shadow/>
          <w:color w:val="333399"/>
          <w:sz w:val="28"/>
        </w:rPr>
      </w:pPr>
      <w:r w:rsidRPr="0095500E">
        <w:rPr>
          <w:rFonts w:ascii="Trebuchet MS" w:hAnsi="Trebuchet MS"/>
          <w:b/>
          <w:smallCaps/>
          <w:shadow/>
          <w:color w:val="333399"/>
          <w:sz w:val="28"/>
          <w:szCs w:val="26"/>
        </w:rPr>
        <w:lastRenderedPageBreak/>
        <w:t>4.</w:t>
      </w:r>
      <w:r w:rsidR="0095500E" w:rsidRPr="0095500E">
        <w:rPr>
          <w:rFonts w:ascii="Trebuchet MS" w:hAnsi="Trebuchet MS"/>
          <w:b/>
          <w:smallCaps/>
          <w:shadow/>
          <w:color w:val="333399"/>
          <w:sz w:val="28"/>
          <w:szCs w:val="26"/>
        </w:rPr>
        <w:t>4</w:t>
      </w:r>
      <w:r w:rsidRPr="0095500E">
        <w:rPr>
          <w:rFonts w:ascii="Trebuchet MS" w:hAnsi="Trebuchet MS"/>
          <w:b/>
          <w:smallCaps/>
          <w:shadow/>
          <w:color w:val="333399"/>
          <w:sz w:val="28"/>
          <w:szCs w:val="26"/>
        </w:rPr>
        <w:t>.</w:t>
      </w:r>
      <w:r w:rsidRPr="0095500E">
        <w:rPr>
          <w:rFonts w:ascii="Trebuchet MS" w:hAnsi="Trebuchet MS"/>
          <w:b/>
          <w:smallCaps/>
          <w:shadow/>
          <w:color w:val="333399"/>
          <w:sz w:val="28"/>
        </w:rPr>
        <w:t xml:space="preserve"> Perspectivas</w:t>
      </w:r>
      <w:r w:rsidR="00BD34C2" w:rsidRPr="0095500E">
        <w:rPr>
          <w:rFonts w:ascii="Trebuchet MS" w:hAnsi="Trebuchet MS"/>
          <w:b/>
          <w:smallCaps/>
          <w:shadow/>
          <w:color w:val="333399"/>
          <w:sz w:val="28"/>
        </w:rPr>
        <w:t xml:space="preserve"> Futuras</w:t>
      </w:r>
    </w:p>
    <w:p w:rsidR="00CB2FAF" w:rsidRPr="000B5D97" w:rsidRDefault="00CB2FAF" w:rsidP="00CB2FAF">
      <w:pPr>
        <w:autoSpaceDE w:val="0"/>
        <w:autoSpaceDN w:val="0"/>
        <w:adjustRightInd w:val="0"/>
        <w:jc w:val="both"/>
        <w:rPr>
          <w:rFonts w:ascii="Trebuchet MS" w:eastAsiaTheme="minorHAnsi" w:hAnsi="Trebuchet MS" w:cs="AdvTT5843c571"/>
          <w:sz w:val="20"/>
          <w:szCs w:val="34"/>
        </w:rPr>
      </w:pPr>
    </w:p>
    <w:p w:rsidR="00CB2FAF" w:rsidRPr="009E323D" w:rsidRDefault="00CB2FAF" w:rsidP="00CB2FAF">
      <w:pPr>
        <w:spacing w:line="360" w:lineRule="auto"/>
        <w:ind w:firstLine="708"/>
        <w:jc w:val="both"/>
        <w:rPr>
          <w:rFonts w:ascii="Trebuchet MS" w:eastAsiaTheme="minorHAnsi" w:hAnsi="Trebuchet MS" w:cstheme="minorBidi"/>
          <w:color w:val="000000"/>
          <w:sz w:val="20"/>
          <w:szCs w:val="20"/>
        </w:rPr>
      </w:pPr>
      <w:r w:rsidRPr="009E323D">
        <w:rPr>
          <w:rFonts w:ascii="Trebuchet MS" w:eastAsiaTheme="minorHAnsi" w:hAnsi="Trebuchet MS" w:cstheme="minorBidi"/>
          <w:color w:val="000000"/>
          <w:sz w:val="20"/>
          <w:szCs w:val="20"/>
        </w:rPr>
        <w:t xml:space="preserve">Com base nos resultados obtidos ao longo deste trabalho de investigação, propõe-se novas perspectivas para a continuação e desenvolvimento/optimização deste projecto, tais como: </w:t>
      </w:r>
    </w:p>
    <w:p w:rsidR="00CB2FAF" w:rsidRPr="00C65DA3" w:rsidRDefault="00CB2FAF" w:rsidP="00CB2FAF">
      <w:pPr>
        <w:autoSpaceDE w:val="0"/>
        <w:autoSpaceDN w:val="0"/>
        <w:adjustRightInd w:val="0"/>
        <w:spacing w:line="360" w:lineRule="auto"/>
        <w:jc w:val="both"/>
        <w:rPr>
          <w:rFonts w:ascii="Trebuchet MS" w:eastAsiaTheme="minorHAnsi" w:hAnsi="Trebuchet MS" w:cstheme="minorBidi"/>
          <w:color w:val="000000"/>
          <w:sz w:val="20"/>
        </w:rPr>
      </w:pPr>
      <w:r w:rsidRPr="009E323D">
        <w:rPr>
          <w:rFonts w:ascii="Trebuchet MS" w:eastAsiaTheme="minorHAnsi" w:hAnsi="Trebuchet MS" w:cstheme="minorBidi"/>
          <w:color w:val="000000"/>
          <w:sz w:val="20"/>
          <w:szCs w:val="20"/>
        </w:rPr>
        <w:tab/>
        <w:t xml:space="preserve">- </w:t>
      </w:r>
      <w:proofErr w:type="gramStart"/>
      <w:r w:rsidRPr="009E323D">
        <w:rPr>
          <w:rFonts w:ascii="Trebuchet MS" w:eastAsiaTheme="minorHAnsi" w:hAnsi="Trebuchet MS" w:cstheme="minorBidi"/>
          <w:b/>
          <w:color w:val="000000"/>
          <w:sz w:val="20"/>
          <w:szCs w:val="20"/>
          <w:u w:val="single"/>
        </w:rPr>
        <w:t>estudo</w:t>
      </w:r>
      <w:proofErr w:type="gramEnd"/>
      <w:r w:rsidRPr="009E323D">
        <w:rPr>
          <w:rFonts w:ascii="Trebuchet MS" w:eastAsiaTheme="minorHAnsi" w:hAnsi="Trebuchet MS" w:cstheme="minorBidi"/>
          <w:b/>
          <w:color w:val="000000"/>
          <w:sz w:val="20"/>
          <w:szCs w:val="20"/>
          <w:u w:val="single"/>
        </w:rPr>
        <w:t xml:space="preserve"> do marcador bioquímico, S100B</w:t>
      </w:r>
      <w:r w:rsidRPr="009E323D">
        <w:rPr>
          <w:rFonts w:ascii="Trebuchet MS" w:eastAsiaTheme="minorHAnsi" w:hAnsi="Trebuchet MS" w:cstheme="minorBidi"/>
          <w:color w:val="000000"/>
          <w:sz w:val="20"/>
          <w:szCs w:val="20"/>
        </w:rPr>
        <w:t>. Büyükuysal (2005) estudou a libertação da proteína S100B durante e após isquémia em fatias de cérebro de rato (</w:t>
      </w:r>
      <w:r w:rsidR="00194A32" w:rsidRPr="009E323D">
        <w:rPr>
          <w:rFonts w:ascii="Trebuchet MS" w:eastAsiaTheme="minorHAnsi" w:hAnsi="Trebuchet MS" w:cstheme="minorBidi"/>
          <w:i/>
          <w:color w:val="000000"/>
          <w:sz w:val="20"/>
          <w:szCs w:val="20"/>
        </w:rPr>
        <w:t>in vitro</w:t>
      </w:r>
      <w:r w:rsidRPr="009E323D">
        <w:rPr>
          <w:rFonts w:ascii="Trebuchet MS" w:eastAsiaTheme="minorHAnsi" w:hAnsi="Trebuchet MS" w:cstheme="minorBidi"/>
          <w:i/>
          <w:color w:val="000000"/>
          <w:sz w:val="20"/>
          <w:szCs w:val="20"/>
        </w:rPr>
        <w:t>)</w:t>
      </w:r>
      <w:r w:rsidRPr="009E323D">
        <w:rPr>
          <w:rFonts w:ascii="Trebuchet MS" w:eastAsiaTheme="minorHAnsi" w:hAnsi="Trebuchet MS" w:cstheme="minorBidi"/>
          <w:color w:val="000000"/>
          <w:sz w:val="20"/>
          <w:szCs w:val="20"/>
        </w:rPr>
        <w:t>.</w:t>
      </w:r>
      <w:r w:rsidR="000B5D97">
        <w:rPr>
          <w:rFonts w:ascii="Trebuchet MS" w:eastAsiaTheme="minorHAnsi" w:hAnsi="Trebuchet MS" w:cstheme="minorBidi"/>
          <w:color w:val="000000"/>
          <w:sz w:val="20"/>
          <w:szCs w:val="20"/>
        </w:rPr>
        <w:t xml:space="preserve"> </w:t>
      </w:r>
      <w:r w:rsidR="000B5D97" w:rsidRPr="000B5D97">
        <w:rPr>
          <w:rFonts w:ascii="Trebuchet MS" w:hAnsi="Trebuchet MS"/>
          <w:i/>
          <w:sz w:val="20"/>
          <w:szCs w:val="20"/>
        </w:rPr>
        <w:t>De acordo com Donato (2003), citado por (Büyükuysal, 2005),</w:t>
      </w:r>
      <w:r w:rsidR="000B5D97" w:rsidRPr="000B5D97">
        <w:rPr>
          <w:rFonts w:ascii="Trebuchet MS" w:hAnsi="Trebuchet MS"/>
          <w:sz w:val="20"/>
          <w:szCs w:val="20"/>
        </w:rPr>
        <w:t xml:space="preserve"> a proteína S100B pertence à família das proteínas S-100 e é expressa principalmente em astrócitos, sendo libertada a partir destas células. Quanto maior a concentração de S100B induzida por trauma e isquémia cerebral </w:t>
      </w:r>
      <w:r w:rsidR="000B5D97">
        <w:rPr>
          <w:rFonts w:ascii="Trebuchet MS" w:hAnsi="Trebuchet MS"/>
          <w:sz w:val="20"/>
          <w:szCs w:val="20"/>
        </w:rPr>
        <w:t>maior será a extensão de dano cerebral</w:t>
      </w:r>
      <w:r w:rsidR="00046EA7">
        <w:rPr>
          <w:rFonts w:ascii="Trebuchet MS" w:hAnsi="Trebuchet MS"/>
          <w:sz w:val="20"/>
          <w:szCs w:val="20"/>
        </w:rPr>
        <w:t xml:space="preserve">. </w:t>
      </w:r>
      <w:r w:rsidR="000B5D97">
        <w:rPr>
          <w:rFonts w:ascii="Trebuchet MS" w:eastAsiaTheme="minorHAnsi" w:hAnsi="Trebuchet MS" w:cstheme="minorBidi"/>
          <w:color w:val="000000"/>
          <w:sz w:val="20"/>
          <w:szCs w:val="20"/>
        </w:rPr>
        <w:t xml:space="preserve">Observou-se </w:t>
      </w:r>
      <w:r w:rsidRPr="009E323D">
        <w:rPr>
          <w:rFonts w:ascii="Trebuchet MS" w:eastAsiaTheme="minorHAnsi" w:hAnsi="Trebuchet MS" w:cstheme="minorBidi"/>
          <w:color w:val="000000"/>
          <w:sz w:val="20"/>
          <w:szCs w:val="20"/>
        </w:rPr>
        <w:t>um aumento significativo na libertação da proteína S100B, uma hora após isqu</w:t>
      </w:r>
      <w:r w:rsidRPr="009E323D">
        <w:rPr>
          <w:rFonts w:ascii="Trebuchet MS" w:eastAsiaTheme="minorHAnsi" w:hAnsi="Trebuchet MS" w:cstheme="minorBidi"/>
          <w:color w:val="000000"/>
          <w:sz w:val="20"/>
          <w:szCs w:val="20"/>
        </w:rPr>
        <w:t>é</w:t>
      </w:r>
      <w:r w:rsidRPr="009E323D">
        <w:rPr>
          <w:rFonts w:ascii="Trebuchet MS" w:eastAsiaTheme="minorHAnsi" w:hAnsi="Trebuchet MS" w:cstheme="minorBidi"/>
          <w:color w:val="000000"/>
          <w:sz w:val="20"/>
          <w:szCs w:val="20"/>
        </w:rPr>
        <w:t>mia, para o meio extracelular sem alterar a libertação da LDH. Pelo que, tal facto nos permite comparar com os resultados</w:t>
      </w:r>
      <w:r w:rsidRPr="00C65DA3">
        <w:rPr>
          <w:rFonts w:ascii="Trebuchet MS" w:eastAsiaTheme="minorHAnsi" w:hAnsi="Trebuchet MS" w:cstheme="minorBidi"/>
          <w:color w:val="000000"/>
          <w:sz w:val="20"/>
        </w:rPr>
        <w:t xml:space="preserve"> obtidos através da act</w:t>
      </w:r>
      <w:r w:rsidRPr="00C65DA3">
        <w:rPr>
          <w:rFonts w:ascii="Trebuchet MS" w:eastAsiaTheme="minorHAnsi" w:hAnsi="Trebuchet MS" w:cstheme="minorBidi"/>
          <w:color w:val="000000"/>
          <w:sz w:val="20"/>
        </w:rPr>
        <w:t>i</w:t>
      </w:r>
      <w:r w:rsidRPr="00C65DA3">
        <w:rPr>
          <w:rFonts w:ascii="Trebuchet MS" w:eastAsiaTheme="minorHAnsi" w:hAnsi="Trebuchet MS" w:cstheme="minorBidi"/>
          <w:color w:val="000000"/>
          <w:sz w:val="20"/>
        </w:rPr>
        <w:t>vidade da LDH. Büyükuysal (2005) conclui que a pr</w:t>
      </w:r>
      <w:r w:rsidRPr="00C65DA3">
        <w:rPr>
          <w:rFonts w:ascii="Trebuchet MS" w:eastAsiaTheme="minorHAnsi" w:hAnsi="Trebuchet MS" w:cstheme="minorBidi"/>
          <w:color w:val="000000"/>
          <w:sz w:val="20"/>
        </w:rPr>
        <w:t>o</w:t>
      </w:r>
      <w:r w:rsidRPr="00C65DA3">
        <w:rPr>
          <w:rFonts w:ascii="Trebuchet MS" w:eastAsiaTheme="minorHAnsi" w:hAnsi="Trebuchet MS" w:cstheme="minorBidi"/>
          <w:color w:val="000000"/>
          <w:sz w:val="20"/>
        </w:rPr>
        <w:t xml:space="preserve">teína S100B apresenta maior sensibilidade à isquémia do que a LDH em modelos </w:t>
      </w:r>
      <w:proofErr w:type="gramStart"/>
      <w:r w:rsidR="00194A32" w:rsidRPr="00C65DA3">
        <w:rPr>
          <w:rFonts w:ascii="Trebuchet MS" w:eastAsiaTheme="minorHAnsi" w:hAnsi="Trebuchet MS" w:cstheme="minorBidi"/>
          <w:i/>
          <w:color w:val="000000"/>
          <w:sz w:val="20"/>
        </w:rPr>
        <w:t>in vitro</w:t>
      </w:r>
      <w:proofErr w:type="gramEnd"/>
      <w:r w:rsidR="00194A32" w:rsidRPr="00C65DA3">
        <w:rPr>
          <w:rFonts w:ascii="Trebuchet MS" w:eastAsiaTheme="minorHAnsi" w:hAnsi="Trebuchet MS" w:cstheme="minorBidi"/>
          <w:i/>
          <w:color w:val="000000"/>
          <w:sz w:val="20"/>
        </w:rPr>
        <w:t xml:space="preserve"> </w:t>
      </w:r>
      <w:r w:rsidRPr="00C65DA3">
        <w:rPr>
          <w:rFonts w:ascii="Trebuchet MS" w:eastAsiaTheme="minorHAnsi" w:hAnsi="Trebuchet MS" w:cstheme="minorBidi"/>
          <w:color w:val="000000"/>
          <w:sz w:val="20"/>
        </w:rPr>
        <w:t>com fatias agudas de cérebro.</w:t>
      </w:r>
    </w:p>
    <w:p w:rsidR="00CB2FAF" w:rsidRPr="00C65DA3" w:rsidRDefault="00CB2FAF" w:rsidP="00CB2FAF">
      <w:pPr>
        <w:spacing w:line="360" w:lineRule="auto"/>
        <w:jc w:val="both"/>
        <w:rPr>
          <w:rFonts w:ascii="Trebuchet MS" w:eastAsiaTheme="minorHAnsi" w:hAnsi="Trebuchet MS" w:cstheme="minorBidi"/>
          <w:color w:val="000000"/>
          <w:sz w:val="20"/>
        </w:rPr>
      </w:pPr>
      <w:r w:rsidRPr="00C65DA3">
        <w:rPr>
          <w:rFonts w:ascii="Trebuchet MS" w:eastAsiaTheme="minorHAnsi" w:hAnsi="Trebuchet MS" w:cstheme="minorBidi"/>
          <w:color w:val="000000"/>
          <w:sz w:val="20"/>
        </w:rPr>
        <w:tab/>
        <w:t xml:space="preserve">Considerando a libertação da LDH, como sendo o método mais sensível e reprodutível, ou seja, o mais adequado ao nosso modelo experimental para avaliar a sobrevivência neuronal a insultos isquémicos, é importante estudar a </w:t>
      </w:r>
      <w:r w:rsidRPr="00C65DA3">
        <w:rPr>
          <w:rFonts w:ascii="Trebuchet MS" w:eastAsiaTheme="minorHAnsi" w:hAnsi="Trebuchet MS" w:cstheme="minorBidi"/>
          <w:color w:val="000000"/>
          <w:sz w:val="20"/>
          <w:u w:val="single"/>
        </w:rPr>
        <w:t>evolução</w:t>
      </w:r>
      <w:r w:rsidRPr="00C65DA3">
        <w:rPr>
          <w:rFonts w:ascii="Trebuchet MS" w:eastAsiaTheme="minorHAnsi" w:hAnsi="Trebuchet MS" w:cstheme="minorBidi"/>
          <w:color w:val="000000"/>
          <w:sz w:val="20"/>
        </w:rPr>
        <w:t xml:space="preserve"> da aplicação de diferentes períodos de OGD a fatias agudas e estudar o seu efeito na libertação da LDH. O que nos permitiria estudar se a LDH libertada apresenta relação linear com a duração do período de OGD aplicado, ou seja, se apresenta proporcionalidade directa consoante o aumento do insulto isquémico (danos provocados).</w:t>
      </w:r>
    </w:p>
    <w:p w:rsidR="00E14068" w:rsidRDefault="00CB2FAF" w:rsidP="007A30B4">
      <w:pPr>
        <w:spacing w:line="360" w:lineRule="auto"/>
        <w:jc w:val="both"/>
        <w:rPr>
          <w:rFonts w:ascii="Trebuchet MS" w:eastAsiaTheme="minorHAnsi" w:hAnsi="Trebuchet MS" w:cstheme="minorBidi"/>
          <w:color w:val="000000"/>
          <w:sz w:val="20"/>
          <w:szCs w:val="20"/>
        </w:rPr>
      </w:pPr>
      <w:r w:rsidRPr="00C65DA3">
        <w:rPr>
          <w:rFonts w:ascii="Trebuchet MS" w:eastAsiaTheme="minorHAnsi" w:hAnsi="Trebuchet MS" w:cstheme="minorBidi"/>
          <w:color w:val="000000"/>
          <w:sz w:val="20"/>
        </w:rPr>
        <w:tab/>
        <w:t xml:space="preserve">Com a finalidade de melhorar e optimizar a funcionalidade do método de avaliação da sobrevivência neuronal com base na libertação da LDH, seria importante estudar o </w:t>
      </w:r>
      <w:r w:rsidRPr="00C65DA3">
        <w:rPr>
          <w:rFonts w:ascii="Trebuchet MS" w:eastAsiaTheme="minorHAnsi" w:hAnsi="Trebuchet MS" w:cstheme="minorBidi"/>
          <w:color w:val="000000"/>
          <w:sz w:val="20"/>
          <w:u w:val="single"/>
        </w:rPr>
        <w:t>tempo de reperfusão</w:t>
      </w:r>
      <w:r w:rsidRPr="00C65DA3">
        <w:rPr>
          <w:rFonts w:ascii="Trebuchet MS" w:eastAsiaTheme="minorHAnsi" w:hAnsi="Trebuchet MS" w:cstheme="minorBidi"/>
          <w:color w:val="000000"/>
          <w:sz w:val="20"/>
        </w:rPr>
        <w:t xml:space="preserve"> necessário, após insultos isquémico, para que a actividade da LDH </w:t>
      </w:r>
      <w:r w:rsidR="00046EA7">
        <w:rPr>
          <w:rFonts w:ascii="Trebuchet MS" w:eastAsiaTheme="minorHAnsi" w:hAnsi="Trebuchet MS" w:cstheme="minorBidi"/>
          <w:color w:val="000000"/>
          <w:sz w:val="20"/>
        </w:rPr>
        <w:t xml:space="preserve">medida </w:t>
      </w:r>
      <w:r w:rsidRPr="00C65DA3">
        <w:rPr>
          <w:rFonts w:ascii="Trebuchet MS" w:eastAsiaTheme="minorHAnsi" w:hAnsi="Trebuchet MS" w:cstheme="minorBidi"/>
          <w:color w:val="000000"/>
          <w:sz w:val="20"/>
        </w:rPr>
        <w:t xml:space="preserve">seja máxima. Perdersen </w:t>
      </w:r>
      <w:r w:rsidR="00194A32" w:rsidRPr="00C65DA3">
        <w:rPr>
          <w:rFonts w:ascii="Trebuchet MS" w:eastAsiaTheme="minorHAnsi" w:hAnsi="Trebuchet MS" w:cstheme="minorBidi"/>
          <w:i/>
          <w:color w:val="000000"/>
          <w:sz w:val="20"/>
        </w:rPr>
        <w:t xml:space="preserve">et al. </w:t>
      </w:r>
      <w:r w:rsidRPr="00C65DA3">
        <w:rPr>
          <w:rFonts w:ascii="Trebuchet MS" w:eastAsiaTheme="minorHAnsi" w:hAnsi="Trebuchet MS" w:cstheme="minorBidi"/>
          <w:color w:val="000000"/>
          <w:sz w:val="20"/>
        </w:rPr>
        <w:t xml:space="preserve">(1998) estudaram a progressão da LDH libertada ao longo do tempo de reperfusão, durante 60 minutos, em fatias de córtex e estriado, após 30 minutos de isquémia. Uma vez que, a reoxigenação das fatias após isquémia aumenta a expressão deste marcador bioquímico no meio extracelular (Büyükuysal, 2005). A fim de </w:t>
      </w:r>
      <w:r w:rsidRPr="00046EA7">
        <w:rPr>
          <w:rFonts w:ascii="Trebuchet MS" w:eastAsiaTheme="minorHAnsi" w:hAnsi="Trebuchet MS" w:cstheme="minorBidi"/>
          <w:color w:val="000000"/>
          <w:sz w:val="20"/>
        </w:rPr>
        <w:t>determinar a depe</w:t>
      </w:r>
      <w:r w:rsidRPr="00046EA7">
        <w:rPr>
          <w:rFonts w:ascii="Trebuchet MS" w:eastAsiaTheme="minorHAnsi" w:hAnsi="Trebuchet MS" w:cstheme="minorBidi"/>
          <w:color w:val="000000"/>
          <w:sz w:val="20"/>
        </w:rPr>
        <w:t>n</w:t>
      </w:r>
      <w:r w:rsidRPr="00046EA7">
        <w:rPr>
          <w:rFonts w:ascii="Trebuchet MS" w:eastAsiaTheme="minorHAnsi" w:hAnsi="Trebuchet MS" w:cstheme="minorBidi"/>
          <w:color w:val="000000"/>
          <w:sz w:val="20"/>
        </w:rPr>
        <w:t>dência do tempo de reoxigenação (após isquémia) sobre a quantidade de LDH libertada,</w:t>
      </w:r>
      <w:r w:rsidRPr="00C65DA3">
        <w:rPr>
          <w:rFonts w:ascii="Trebuchet MS" w:eastAsiaTheme="minorHAnsi" w:hAnsi="Trebuchet MS" w:cstheme="minorBidi"/>
          <w:color w:val="000000"/>
          <w:sz w:val="20"/>
        </w:rPr>
        <w:t xml:space="preserve"> Büyükuysal (2005) estudou o seu comportamento durante 3 horas de incubação, em que o meio de incubação foi substituído de hora em hora, durante esse período e recolheram amo</w:t>
      </w:r>
      <w:r w:rsidRPr="00C65DA3">
        <w:rPr>
          <w:rFonts w:ascii="Trebuchet MS" w:eastAsiaTheme="minorHAnsi" w:hAnsi="Trebuchet MS" w:cstheme="minorBidi"/>
          <w:color w:val="000000"/>
          <w:sz w:val="20"/>
        </w:rPr>
        <w:t>s</w:t>
      </w:r>
      <w:r w:rsidRPr="00C65DA3">
        <w:rPr>
          <w:rFonts w:ascii="Trebuchet MS" w:eastAsiaTheme="minorHAnsi" w:hAnsi="Trebuchet MS" w:cstheme="minorBidi"/>
          <w:color w:val="000000"/>
          <w:sz w:val="20"/>
        </w:rPr>
        <w:t xml:space="preserve">tras </w:t>
      </w:r>
      <w:r w:rsidR="002052B4">
        <w:rPr>
          <w:rFonts w:ascii="Trebuchet MS" w:eastAsiaTheme="minorHAnsi" w:hAnsi="Trebuchet MS" w:cstheme="minorBidi"/>
          <w:color w:val="000000"/>
          <w:sz w:val="20"/>
        </w:rPr>
        <w:t>do meio</w:t>
      </w:r>
      <w:r w:rsidRPr="00C65DA3">
        <w:rPr>
          <w:rFonts w:ascii="Trebuchet MS" w:eastAsiaTheme="minorHAnsi" w:hAnsi="Trebuchet MS" w:cstheme="minorBidi"/>
          <w:color w:val="000000"/>
          <w:sz w:val="20"/>
        </w:rPr>
        <w:t xml:space="preserve">. </w:t>
      </w:r>
      <w:r w:rsidR="0038212F">
        <w:rPr>
          <w:rFonts w:ascii="Trebuchet MS" w:eastAsiaTheme="minorHAnsi" w:hAnsi="Trebuchet MS" w:cstheme="minorBidi"/>
          <w:color w:val="000000"/>
          <w:sz w:val="20"/>
        </w:rPr>
        <w:t>Observou-se</w:t>
      </w:r>
      <w:r w:rsidRPr="00C65DA3">
        <w:rPr>
          <w:rFonts w:ascii="Trebuchet MS" w:eastAsiaTheme="minorHAnsi" w:hAnsi="Trebuchet MS" w:cstheme="minorBidi"/>
          <w:color w:val="000000"/>
          <w:sz w:val="20"/>
        </w:rPr>
        <w:t xml:space="preserve"> então que, em fatias de córtex de cérebro, a libertação de LDH é si</w:t>
      </w:r>
      <w:r w:rsidRPr="00C65DA3">
        <w:rPr>
          <w:rFonts w:ascii="Trebuchet MS" w:eastAsiaTheme="minorHAnsi" w:hAnsi="Trebuchet MS" w:cstheme="minorBidi"/>
          <w:color w:val="000000"/>
          <w:sz w:val="20"/>
        </w:rPr>
        <w:t>g</w:t>
      </w:r>
      <w:r w:rsidRPr="00C65DA3">
        <w:rPr>
          <w:rFonts w:ascii="Trebuchet MS" w:eastAsiaTheme="minorHAnsi" w:hAnsi="Trebuchet MS" w:cstheme="minorBidi"/>
          <w:color w:val="000000"/>
          <w:sz w:val="20"/>
        </w:rPr>
        <w:t>nificativamente elevada durante a primeira hora de reoxigenação após isquémia (1h</w:t>
      </w:r>
      <w:r w:rsidR="002052B4">
        <w:rPr>
          <w:rFonts w:ascii="Trebuchet MS" w:eastAsiaTheme="minorHAnsi" w:hAnsi="Trebuchet MS" w:cstheme="minorBidi"/>
          <w:color w:val="000000"/>
          <w:sz w:val="20"/>
        </w:rPr>
        <w:t>ora</w:t>
      </w:r>
      <w:r w:rsidRPr="00C65DA3">
        <w:rPr>
          <w:rFonts w:ascii="Trebuchet MS" w:eastAsiaTheme="minorHAnsi" w:hAnsi="Trebuchet MS" w:cstheme="minorBidi"/>
          <w:color w:val="000000"/>
          <w:sz w:val="20"/>
        </w:rPr>
        <w:t>). Após uma hora, a libertação de LDH diminui gradualmente ao longo do tempo, pelo que, após 1h</w:t>
      </w:r>
      <w:r w:rsidR="002052B4">
        <w:rPr>
          <w:rFonts w:ascii="Trebuchet MS" w:eastAsiaTheme="minorHAnsi" w:hAnsi="Trebuchet MS" w:cstheme="minorBidi"/>
          <w:color w:val="000000"/>
          <w:sz w:val="20"/>
        </w:rPr>
        <w:t>ora</w:t>
      </w:r>
      <w:r w:rsidRPr="00C65DA3">
        <w:rPr>
          <w:rFonts w:ascii="Trebuchet MS" w:eastAsiaTheme="minorHAnsi" w:hAnsi="Trebuchet MS" w:cstheme="minorBidi"/>
          <w:color w:val="000000"/>
          <w:sz w:val="20"/>
        </w:rPr>
        <w:t xml:space="preserve"> até 2h</w:t>
      </w:r>
      <w:r w:rsidR="002052B4">
        <w:rPr>
          <w:rFonts w:ascii="Trebuchet MS" w:eastAsiaTheme="minorHAnsi" w:hAnsi="Trebuchet MS" w:cstheme="minorBidi"/>
          <w:color w:val="000000"/>
          <w:sz w:val="20"/>
        </w:rPr>
        <w:t>oras</w:t>
      </w:r>
      <w:r w:rsidRPr="00C65DA3">
        <w:rPr>
          <w:rFonts w:ascii="Trebuchet MS" w:eastAsiaTheme="minorHAnsi" w:hAnsi="Trebuchet MS" w:cstheme="minorBidi"/>
          <w:color w:val="000000"/>
          <w:sz w:val="20"/>
        </w:rPr>
        <w:t>, atinge metade da percentagem alcançada durante a primeira hora. Por co</w:t>
      </w:r>
      <w:r w:rsidRPr="00C65DA3">
        <w:rPr>
          <w:rFonts w:ascii="Trebuchet MS" w:eastAsiaTheme="minorHAnsi" w:hAnsi="Trebuchet MS" w:cstheme="minorBidi"/>
          <w:color w:val="000000"/>
          <w:sz w:val="20"/>
        </w:rPr>
        <w:t>n</w:t>
      </w:r>
      <w:r w:rsidRPr="00C65DA3">
        <w:rPr>
          <w:rFonts w:ascii="Trebuchet MS" w:eastAsiaTheme="minorHAnsi" w:hAnsi="Trebuchet MS" w:cstheme="minorBidi"/>
          <w:color w:val="000000"/>
          <w:sz w:val="20"/>
        </w:rPr>
        <w:t>seguinte, ao fim de duas horas de reoxigenação, a libertação de LDH para o meio extracelular é reduzida a um terço da quantidade regi</w:t>
      </w:r>
      <w:r w:rsidRPr="00C65DA3">
        <w:rPr>
          <w:rFonts w:ascii="Trebuchet MS" w:eastAsiaTheme="minorHAnsi" w:hAnsi="Trebuchet MS" w:cstheme="minorBidi"/>
          <w:color w:val="000000"/>
          <w:sz w:val="20"/>
        </w:rPr>
        <w:t>s</w:t>
      </w:r>
      <w:r w:rsidRPr="00C65DA3">
        <w:rPr>
          <w:rFonts w:ascii="Trebuchet MS" w:eastAsiaTheme="minorHAnsi" w:hAnsi="Trebuchet MS" w:cstheme="minorBidi"/>
          <w:color w:val="000000"/>
          <w:sz w:val="20"/>
        </w:rPr>
        <w:t>tada durante a primeira hora. Büyükuysal (2005) determinou</w:t>
      </w:r>
      <w:r w:rsidR="0038212F">
        <w:rPr>
          <w:rFonts w:ascii="Trebuchet MS" w:eastAsiaTheme="minorHAnsi" w:hAnsi="Trebuchet MS" w:cstheme="minorBidi"/>
          <w:color w:val="000000"/>
          <w:sz w:val="20"/>
        </w:rPr>
        <w:t xml:space="preserve"> ainda</w:t>
      </w:r>
      <w:r w:rsidRPr="00C65DA3">
        <w:rPr>
          <w:rFonts w:ascii="Trebuchet MS" w:eastAsiaTheme="minorHAnsi" w:hAnsi="Trebuchet MS" w:cstheme="minorBidi"/>
          <w:color w:val="000000"/>
          <w:sz w:val="20"/>
        </w:rPr>
        <w:t xml:space="preserve"> os </w:t>
      </w:r>
      <w:r w:rsidRPr="00C65DA3">
        <w:rPr>
          <w:rFonts w:ascii="Trebuchet MS" w:eastAsiaTheme="minorHAnsi" w:hAnsi="Trebuchet MS" w:cstheme="minorBidi"/>
          <w:color w:val="000000"/>
          <w:sz w:val="20"/>
          <w:u w:val="single"/>
        </w:rPr>
        <w:t>níveis basais de LDH libertada para o meio de incu</w:t>
      </w:r>
      <w:r w:rsidRPr="009E323D">
        <w:rPr>
          <w:rFonts w:ascii="Trebuchet MS" w:eastAsiaTheme="minorHAnsi" w:hAnsi="Trebuchet MS" w:cstheme="minorBidi"/>
          <w:color w:val="000000"/>
          <w:sz w:val="20"/>
          <w:szCs w:val="20"/>
          <w:u w:val="single"/>
        </w:rPr>
        <w:t>bação</w:t>
      </w:r>
      <w:r w:rsidRPr="009E323D">
        <w:rPr>
          <w:rFonts w:ascii="Trebuchet MS" w:eastAsiaTheme="minorHAnsi" w:hAnsi="Trebuchet MS" w:cstheme="minorBidi"/>
          <w:color w:val="000000"/>
          <w:sz w:val="20"/>
          <w:szCs w:val="20"/>
        </w:rPr>
        <w:t xml:space="preserve"> em condições </w:t>
      </w:r>
      <w:r w:rsidRPr="009E323D">
        <w:rPr>
          <w:rFonts w:ascii="Trebuchet MS" w:eastAsiaTheme="minorHAnsi" w:hAnsi="Trebuchet MS" w:cstheme="minorBidi"/>
          <w:color w:val="000000"/>
          <w:sz w:val="20"/>
          <w:szCs w:val="20"/>
        </w:rPr>
        <w:lastRenderedPageBreak/>
        <w:t xml:space="preserve">normóxicas nas fatias de cérebro e verificou que nas fatias de hipocampo, o nível basal de LDH libertada era bastante superior em comparação com o corpo estriado e o córtex. </w:t>
      </w:r>
    </w:p>
    <w:p w:rsidR="007A30B4" w:rsidRDefault="007A30B4" w:rsidP="007A30B4">
      <w:pPr>
        <w:spacing w:line="360" w:lineRule="auto"/>
        <w:jc w:val="both"/>
        <w:rPr>
          <w:rFonts w:ascii="Trebuchet MS" w:eastAsiaTheme="minorHAnsi" w:hAnsi="Trebuchet MS" w:cstheme="minorBidi"/>
          <w:color w:val="000000"/>
          <w:sz w:val="20"/>
        </w:rPr>
      </w:pPr>
    </w:p>
    <w:p w:rsidR="00CB2FAF" w:rsidRPr="00C65DA3" w:rsidRDefault="00EC6B0F" w:rsidP="00CB2FAF">
      <w:pPr>
        <w:spacing w:after="200" w:line="360" w:lineRule="auto"/>
        <w:ind w:firstLine="708"/>
        <w:jc w:val="both"/>
        <w:textAlignment w:val="top"/>
        <w:rPr>
          <w:rFonts w:ascii="Trebuchet MS" w:eastAsiaTheme="minorHAnsi" w:hAnsi="Trebuchet MS" w:cstheme="minorBidi"/>
          <w:color w:val="000000"/>
          <w:sz w:val="20"/>
        </w:rPr>
      </w:pPr>
      <w:r>
        <w:rPr>
          <w:rFonts w:ascii="Trebuchet MS" w:eastAsiaTheme="minorHAnsi" w:hAnsi="Trebuchet MS" w:cstheme="minorBidi"/>
          <w:color w:val="000000"/>
          <w:sz w:val="20"/>
        </w:rPr>
        <w:sym w:font="Wingdings" w:char="F0D6"/>
      </w:r>
      <w:r w:rsidR="005E73C6">
        <w:rPr>
          <w:rFonts w:ascii="Trebuchet MS" w:eastAsiaTheme="minorHAnsi" w:hAnsi="Trebuchet MS" w:cstheme="minorBidi"/>
          <w:color w:val="000000"/>
          <w:sz w:val="20"/>
        </w:rPr>
        <w:t xml:space="preserve"> </w:t>
      </w:r>
      <w:r w:rsidR="00CB2FAF" w:rsidRPr="00C65DA3">
        <w:rPr>
          <w:rFonts w:ascii="Trebuchet MS" w:eastAsiaTheme="minorHAnsi" w:hAnsi="Trebuchet MS" w:cstheme="minorBidi"/>
          <w:color w:val="000000"/>
          <w:sz w:val="20"/>
        </w:rPr>
        <w:t xml:space="preserve">Outra </w:t>
      </w:r>
      <w:r w:rsidR="00E14068">
        <w:rPr>
          <w:rFonts w:ascii="Trebuchet MS" w:eastAsiaTheme="minorHAnsi" w:hAnsi="Trebuchet MS" w:cstheme="minorBidi"/>
          <w:color w:val="000000"/>
          <w:sz w:val="20"/>
        </w:rPr>
        <w:t>hipótese</w:t>
      </w:r>
      <w:r w:rsidR="00CB2FAF" w:rsidRPr="00C65DA3">
        <w:rPr>
          <w:rFonts w:ascii="Trebuchet MS" w:eastAsiaTheme="minorHAnsi" w:hAnsi="Trebuchet MS" w:cstheme="minorBidi"/>
          <w:color w:val="000000"/>
          <w:sz w:val="20"/>
        </w:rPr>
        <w:t xml:space="preserve"> para a optimização do modelo experimental de isquémia cerebral com fatias de cérebro </w:t>
      </w:r>
      <w:proofErr w:type="gramStart"/>
      <w:r w:rsidR="00194A32" w:rsidRPr="00C65DA3">
        <w:rPr>
          <w:rFonts w:ascii="Trebuchet MS" w:eastAsiaTheme="minorHAnsi" w:hAnsi="Trebuchet MS" w:cstheme="minorBidi"/>
          <w:i/>
          <w:color w:val="000000"/>
          <w:sz w:val="20"/>
        </w:rPr>
        <w:t>in vitro</w:t>
      </w:r>
      <w:proofErr w:type="gramEnd"/>
      <w:r w:rsidR="00194A32" w:rsidRPr="00C65DA3">
        <w:rPr>
          <w:rFonts w:ascii="Trebuchet MS" w:eastAsiaTheme="minorHAnsi" w:hAnsi="Trebuchet MS" w:cstheme="minorBidi"/>
          <w:i/>
          <w:color w:val="000000"/>
          <w:sz w:val="20"/>
        </w:rPr>
        <w:t xml:space="preserve"> </w:t>
      </w:r>
      <w:r w:rsidR="00CB2FAF" w:rsidRPr="00C65DA3">
        <w:rPr>
          <w:rFonts w:ascii="Trebuchet MS" w:eastAsiaTheme="minorHAnsi" w:hAnsi="Trebuchet MS" w:cstheme="minorBidi"/>
          <w:color w:val="000000"/>
          <w:sz w:val="20"/>
        </w:rPr>
        <w:t>seria alterar o nosso sistema de perfusão por um sistema com rese</w:t>
      </w:r>
      <w:r w:rsidR="00CB2FAF" w:rsidRPr="00C65DA3">
        <w:rPr>
          <w:rFonts w:ascii="Trebuchet MS" w:eastAsiaTheme="minorHAnsi" w:hAnsi="Trebuchet MS" w:cstheme="minorBidi"/>
          <w:color w:val="000000"/>
          <w:sz w:val="20"/>
        </w:rPr>
        <w:t>r</w:t>
      </w:r>
      <w:r w:rsidR="00CB2FAF" w:rsidRPr="00C65DA3">
        <w:rPr>
          <w:rFonts w:ascii="Trebuchet MS" w:eastAsiaTheme="minorHAnsi" w:hAnsi="Trebuchet MS" w:cstheme="minorBidi"/>
          <w:color w:val="000000"/>
          <w:sz w:val="20"/>
        </w:rPr>
        <w:t>vatórios de incubação (</w:t>
      </w:r>
      <w:r w:rsidR="00CB2FAF" w:rsidRPr="00C65DA3">
        <w:rPr>
          <w:rFonts w:ascii="Trebuchet MS" w:eastAsiaTheme="minorHAnsi" w:hAnsi="Trebuchet MS" w:cstheme="minorBidi"/>
          <w:sz w:val="20"/>
        </w:rPr>
        <w:t>Fig. 4</w:t>
      </w:r>
      <w:r w:rsidR="00E33268">
        <w:rPr>
          <w:rFonts w:ascii="Trebuchet MS" w:eastAsiaTheme="minorHAnsi" w:hAnsi="Trebuchet MS" w:cstheme="minorBidi"/>
          <w:sz w:val="20"/>
        </w:rPr>
        <w:t>.5</w:t>
      </w:r>
      <w:r w:rsidR="00CB2FAF" w:rsidRPr="00C65DA3">
        <w:rPr>
          <w:rFonts w:ascii="Trebuchet MS" w:eastAsiaTheme="minorHAnsi" w:hAnsi="Trebuchet MS" w:cstheme="minorBidi"/>
          <w:sz w:val="20"/>
        </w:rPr>
        <w:t>)</w:t>
      </w:r>
      <w:r w:rsidR="00CB2FAF" w:rsidRPr="00C65DA3">
        <w:rPr>
          <w:rFonts w:ascii="Trebuchet MS" w:eastAsiaTheme="minorHAnsi" w:hAnsi="Trebuchet MS" w:cstheme="minorBidi"/>
          <w:color w:val="000000"/>
          <w:sz w:val="20"/>
        </w:rPr>
        <w:t xml:space="preserve"> continuamente gaseado, para diminuir os volumes de perfusão do sistema de perfusão</w:t>
      </w:r>
      <w:r w:rsidR="005E73C6">
        <w:rPr>
          <w:rFonts w:ascii="Trebuchet MS" w:eastAsiaTheme="minorHAnsi" w:hAnsi="Trebuchet MS" w:cstheme="minorBidi"/>
          <w:color w:val="000000"/>
          <w:sz w:val="20"/>
        </w:rPr>
        <w:t xml:space="preserve"> e assim obter maiores valores de actividade de LDH libert</w:t>
      </w:r>
      <w:r w:rsidR="005E73C6">
        <w:rPr>
          <w:rFonts w:ascii="Trebuchet MS" w:eastAsiaTheme="minorHAnsi" w:hAnsi="Trebuchet MS" w:cstheme="minorBidi"/>
          <w:color w:val="000000"/>
          <w:sz w:val="20"/>
        </w:rPr>
        <w:t>a</w:t>
      </w:r>
      <w:r w:rsidR="005E73C6">
        <w:rPr>
          <w:rFonts w:ascii="Trebuchet MS" w:eastAsiaTheme="minorHAnsi" w:hAnsi="Trebuchet MS" w:cstheme="minorBidi"/>
          <w:color w:val="000000"/>
          <w:sz w:val="20"/>
        </w:rPr>
        <w:t>da</w:t>
      </w:r>
      <w:r w:rsidR="00CB2FAF" w:rsidRPr="00C65DA3">
        <w:rPr>
          <w:rFonts w:ascii="Trebuchet MS" w:eastAsiaTheme="minorHAnsi" w:hAnsi="Trebuchet MS" w:cstheme="minorBidi"/>
          <w:color w:val="000000"/>
          <w:sz w:val="20"/>
        </w:rPr>
        <w:t>. Vários autores optaram por este modelo de incubação:</w:t>
      </w:r>
      <w:r w:rsidR="005D5E20" w:rsidRPr="00C65DA3">
        <w:rPr>
          <w:rFonts w:ascii="Trebuchet MS" w:eastAsiaTheme="minorHAnsi" w:hAnsi="Trebuchet MS" w:cstheme="minorBidi"/>
          <w:color w:val="000000"/>
          <w:sz w:val="20"/>
        </w:rPr>
        <w:t xml:space="preserve"> </w:t>
      </w:r>
      <w:r w:rsidR="002835D1" w:rsidRPr="00C65DA3">
        <w:rPr>
          <w:rFonts w:ascii="Trebuchet MS" w:eastAsiaTheme="minorHAnsi" w:hAnsi="Trebuchet MS" w:cstheme="minorBidi"/>
          <w:color w:val="000000"/>
          <w:sz w:val="20"/>
        </w:rPr>
        <w:t xml:space="preserve">Hassen </w:t>
      </w:r>
      <w:r w:rsidR="00F96813" w:rsidRPr="00C65DA3">
        <w:rPr>
          <w:rFonts w:ascii="Trebuchet MS" w:eastAsiaTheme="minorHAnsi" w:hAnsi="Trebuchet MS" w:cstheme="minorBidi"/>
          <w:i/>
          <w:color w:val="000000"/>
          <w:sz w:val="20"/>
        </w:rPr>
        <w:t>et al.</w:t>
      </w:r>
      <w:r w:rsidR="002835D1" w:rsidRPr="00C65DA3">
        <w:rPr>
          <w:rFonts w:ascii="Trebuchet MS" w:eastAsiaTheme="minorHAnsi" w:hAnsi="Trebuchet MS" w:cstheme="minorBidi"/>
          <w:color w:val="000000"/>
          <w:sz w:val="20"/>
        </w:rPr>
        <w:t xml:space="preserve">, 2004; </w:t>
      </w:r>
      <w:r w:rsidR="005D5E20" w:rsidRPr="00C65DA3">
        <w:rPr>
          <w:rFonts w:ascii="Trebuchet MS" w:eastAsiaTheme="minorHAnsi" w:hAnsi="Trebuchet MS" w:cstheme="minorBidi"/>
          <w:color w:val="000000"/>
          <w:sz w:val="20"/>
        </w:rPr>
        <w:t xml:space="preserve">Moroni </w:t>
      </w:r>
      <w:r w:rsidR="00194A32" w:rsidRPr="00C65DA3">
        <w:rPr>
          <w:rFonts w:ascii="Trebuchet MS" w:eastAsiaTheme="minorHAnsi" w:hAnsi="Trebuchet MS" w:cstheme="minorBidi"/>
          <w:i/>
          <w:color w:val="000000"/>
          <w:sz w:val="20"/>
        </w:rPr>
        <w:t xml:space="preserve">et al. </w:t>
      </w:r>
      <w:r w:rsidR="005D5E20" w:rsidRPr="00C65DA3">
        <w:rPr>
          <w:rFonts w:ascii="Trebuchet MS" w:eastAsiaTheme="minorHAnsi" w:hAnsi="Trebuchet MS" w:cstheme="minorBidi"/>
          <w:color w:val="000000"/>
          <w:sz w:val="20"/>
        </w:rPr>
        <w:t>(</w:t>
      </w:r>
      <w:r w:rsidR="005D5E20" w:rsidRPr="00C65DA3">
        <w:rPr>
          <w:rFonts w:ascii="Trebuchet MS" w:eastAsiaTheme="minorHAnsi" w:hAnsi="Trebuchet MS" w:cstheme="minorBidi"/>
          <w:sz w:val="20"/>
        </w:rPr>
        <w:t>2001);</w:t>
      </w:r>
      <w:r w:rsidR="00CB2FAF" w:rsidRPr="00C65DA3">
        <w:rPr>
          <w:rFonts w:ascii="Trebuchet MS" w:eastAsiaTheme="minorHAnsi" w:hAnsi="Trebuchet MS" w:cstheme="minorBidi"/>
          <w:sz w:val="20"/>
        </w:rPr>
        <w:t xml:space="preserve"> Toner </w:t>
      </w:r>
      <w:r w:rsidR="00194A32" w:rsidRPr="00C65DA3">
        <w:rPr>
          <w:rFonts w:ascii="Trebuchet MS" w:eastAsiaTheme="minorHAnsi" w:hAnsi="Trebuchet MS" w:cstheme="minorBidi"/>
          <w:i/>
          <w:sz w:val="20"/>
        </w:rPr>
        <w:t xml:space="preserve">et al. </w:t>
      </w:r>
      <w:r w:rsidR="00CB2FAF" w:rsidRPr="00C65DA3">
        <w:rPr>
          <w:rFonts w:ascii="Trebuchet MS" w:eastAsiaTheme="minorHAnsi" w:hAnsi="Trebuchet MS" w:cstheme="minorBidi"/>
          <w:sz w:val="20"/>
        </w:rPr>
        <w:t xml:space="preserve">(2002); </w:t>
      </w:r>
      <w:r w:rsidR="005D5E20" w:rsidRPr="00C65DA3">
        <w:rPr>
          <w:rFonts w:ascii="Trebuchet MS" w:eastAsiaTheme="minorHAnsi" w:hAnsi="Trebuchet MS" w:cstheme="minorBidi"/>
          <w:sz w:val="20"/>
        </w:rPr>
        <w:t xml:space="preserve">Wang </w:t>
      </w:r>
      <w:r w:rsidR="00194A32" w:rsidRPr="00C65DA3">
        <w:rPr>
          <w:rFonts w:ascii="Trebuchet MS" w:eastAsiaTheme="minorHAnsi" w:hAnsi="Trebuchet MS" w:cstheme="minorBidi"/>
          <w:i/>
          <w:sz w:val="20"/>
        </w:rPr>
        <w:t xml:space="preserve">et al. </w:t>
      </w:r>
      <w:r w:rsidR="005D5E20" w:rsidRPr="00C65DA3">
        <w:rPr>
          <w:rFonts w:ascii="Trebuchet MS" w:eastAsiaTheme="minorHAnsi" w:hAnsi="Trebuchet MS" w:cstheme="minorBidi"/>
          <w:sz w:val="20"/>
        </w:rPr>
        <w:t>(2007).</w:t>
      </w:r>
    </w:p>
    <w:p w:rsidR="00CB2FAF" w:rsidRPr="00751D14" w:rsidRDefault="00CB2FAF" w:rsidP="00227F19">
      <w:pPr>
        <w:spacing w:after="200"/>
        <w:ind w:firstLine="708"/>
        <w:jc w:val="center"/>
        <w:textAlignment w:val="top"/>
        <w:rPr>
          <w:rFonts w:ascii="Trebuchet MS" w:eastAsiaTheme="minorHAnsi" w:hAnsi="Trebuchet MS" w:cstheme="minorBidi"/>
          <w:color w:val="000000"/>
        </w:rPr>
      </w:pPr>
      <w:r w:rsidRPr="00751D14">
        <w:rPr>
          <w:rFonts w:ascii="Trebuchet MS" w:eastAsiaTheme="minorHAnsi" w:hAnsi="Trebuchet MS" w:cstheme="minorBidi"/>
          <w:noProof/>
          <w:color w:val="000000"/>
          <w:lang w:eastAsia="pt-PT"/>
        </w:rPr>
        <w:drawing>
          <wp:inline distT="0" distB="0" distL="0" distR="0">
            <wp:extent cx="1595226" cy="1776749"/>
            <wp:effectExtent l="19050" t="0" r="4974" b="0"/>
            <wp:docPr id="15" name="Imagem 1" descr="C:\Users\Blandina Esteves\AppData\Roaming\MyPhoneExplorer\Sony Ericsson S500 [356833011521436]\Cache\Memória do telefone\Álbum\100MSDCF\DSC0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landina Esteves\AppData\Roaming\MyPhoneExplorer\Sony Ericsson S500 [356833011521436]\Cache\Memória do telefone\Álbum\100MSDCF\DSC00009.JPG"/>
                    <pic:cNvPicPr>
                      <a:picLocks noChangeAspect="1" noChangeArrowheads="1"/>
                    </pic:cNvPicPr>
                  </pic:nvPicPr>
                  <pic:blipFill>
                    <a:blip r:embed="rId57" cstate="print"/>
                    <a:srcRect t="12224" b="3898"/>
                    <a:stretch>
                      <a:fillRect/>
                    </a:stretch>
                  </pic:blipFill>
                  <pic:spPr bwMode="auto">
                    <a:xfrm>
                      <a:off x="0" y="0"/>
                      <a:ext cx="1597090" cy="1778826"/>
                    </a:xfrm>
                    <a:prstGeom prst="rect">
                      <a:avLst/>
                    </a:prstGeom>
                    <a:noFill/>
                    <a:ln w="9525">
                      <a:noFill/>
                      <a:miter lim="800000"/>
                      <a:headEnd/>
                      <a:tailEnd/>
                    </a:ln>
                  </pic:spPr>
                </pic:pic>
              </a:graphicData>
            </a:graphic>
          </wp:inline>
        </w:drawing>
      </w:r>
      <w:r w:rsidRPr="00751D14">
        <w:rPr>
          <w:rFonts w:ascii="Trebuchet MS" w:eastAsiaTheme="minorHAnsi" w:hAnsi="Trebuchet MS" w:cstheme="minorBidi"/>
          <w:noProof/>
          <w:sz w:val="22"/>
          <w:szCs w:val="22"/>
          <w:lang w:eastAsia="pt-PT"/>
        </w:rPr>
        <w:drawing>
          <wp:inline distT="0" distB="0" distL="0" distR="0">
            <wp:extent cx="2360735" cy="1770533"/>
            <wp:effectExtent l="19050" t="0" r="1465" b="0"/>
            <wp:docPr id="24" name="Imagem 4" descr="C:\Users\Blandina Esteves\AppData\Roaming\MyPhoneExplorer\Sony Ericsson S500 [356833011521436]\Cache\Memória do telefone\Álbum\100MSDCF\DSC0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landina Esteves\AppData\Roaming\MyPhoneExplorer\Sony Ericsson S500 [356833011521436]\Cache\Memória do telefone\Álbum\100MSDCF\DSC00008.JPG"/>
                    <pic:cNvPicPr>
                      <a:picLocks noChangeAspect="1" noChangeArrowheads="1"/>
                    </pic:cNvPicPr>
                  </pic:nvPicPr>
                  <pic:blipFill>
                    <a:blip r:embed="rId58" cstate="print"/>
                    <a:srcRect/>
                    <a:stretch>
                      <a:fillRect/>
                    </a:stretch>
                  </pic:blipFill>
                  <pic:spPr bwMode="auto">
                    <a:xfrm>
                      <a:off x="0" y="0"/>
                      <a:ext cx="2371741" cy="1778787"/>
                    </a:xfrm>
                    <a:prstGeom prst="rect">
                      <a:avLst/>
                    </a:prstGeom>
                    <a:noFill/>
                    <a:ln w="9525">
                      <a:noFill/>
                      <a:miter lim="800000"/>
                      <a:headEnd/>
                      <a:tailEnd/>
                    </a:ln>
                  </pic:spPr>
                </pic:pic>
              </a:graphicData>
            </a:graphic>
          </wp:inline>
        </w:drawing>
      </w:r>
    </w:p>
    <w:p w:rsidR="00CB2FAF" w:rsidRPr="00741FFB" w:rsidRDefault="00CB2FAF" w:rsidP="00CB2FAF">
      <w:pPr>
        <w:spacing w:after="200" w:line="360" w:lineRule="auto"/>
        <w:ind w:firstLine="708"/>
        <w:jc w:val="center"/>
        <w:textAlignment w:val="top"/>
        <w:rPr>
          <w:rFonts w:ascii="Trebuchet MS" w:eastAsiaTheme="minorHAnsi" w:hAnsi="Trebuchet MS" w:cstheme="minorBidi"/>
          <w:color w:val="000000"/>
          <w:sz w:val="18"/>
        </w:rPr>
      </w:pPr>
      <w:r w:rsidRPr="00741FFB">
        <w:rPr>
          <w:rFonts w:ascii="Trebuchet MS" w:eastAsiaTheme="minorHAnsi" w:hAnsi="Trebuchet MS" w:cstheme="minorBidi"/>
          <w:sz w:val="18"/>
        </w:rPr>
        <w:t>Fig 4.</w:t>
      </w:r>
      <w:r w:rsidR="00E33268">
        <w:rPr>
          <w:rFonts w:ascii="Trebuchet MS" w:eastAsiaTheme="minorHAnsi" w:hAnsi="Trebuchet MS" w:cstheme="minorBidi"/>
          <w:sz w:val="18"/>
        </w:rPr>
        <w:t>5.</w:t>
      </w:r>
      <w:r w:rsidRPr="00741FFB">
        <w:rPr>
          <w:rFonts w:ascii="Trebuchet MS" w:eastAsiaTheme="minorHAnsi" w:hAnsi="Trebuchet MS" w:cstheme="minorBidi"/>
          <w:color w:val="000000"/>
          <w:sz w:val="18"/>
        </w:rPr>
        <w:t xml:space="preserve"> Exemplificação do sistema com reservatórios de incubação.</w:t>
      </w:r>
    </w:p>
    <w:p w:rsidR="00CB2FAF" w:rsidRPr="00C65DA3" w:rsidRDefault="00CB2FAF" w:rsidP="00CB2FAF">
      <w:pPr>
        <w:spacing w:line="360" w:lineRule="auto"/>
        <w:ind w:firstLine="708"/>
        <w:jc w:val="both"/>
        <w:textAlignment w:val="top"/>
        <w:rPr>
          <w:rFonts w:ascii="Trebuchet MS" w:eastAsiaTheme="minorHAnsi" w:hAnsi="Trebuchet MS" w:cstheme="minorBidi"/>
          <w:color w:val="000000"/>
          <w:sz w:val="20"/>
        </w:rPr>
      </w:pPr>
      <w:r w:rsidRPr="00C65DA3">
        <w:rPr>
          <w:rFonts w:ascii="Trebuchet MS" w:eastAsiaTheme="minorHAnsi" w:hAnsi="Trebuchet MS" w:cstheme="minorBidi"/>
          <w:color w:val="000000"/>
          <w:sz w:val="20"/>
        </w:rPr>
        <w:t xml:space="preserve">Outra opção </w:t>
      </w:r>
      <w:r w:rsidR="00F844BD">
        <w:rPr>
          <w:rFonts w:ascii="Trebuchet MS" w:eastAsiaTheme="minorHAnsi" w:hAnsi="Trebuchet MS" w:cstheme="minorBidi"/>
          <w:color w:val="000000"/>
          <w:sz w:val="20"/>
        </w:rPr>
        <w:t>consistiria</w:t>
      </w:r>
      <w:r w:rsidRPr="00C65DA3">
        <w:rPr>
          <w:rFonts w:ascii="Trebuchet MS" w:eastAsiaTheme="minorHAnsi" w:hAnsi="Trebuchet MS" w:cstheme="minorBidi"/>
          <w:color w:val="000000"/>
          <w:sz w:val="20"/>
        </w:rPr>
        <w:t xml:space="preserve"> mesmo, </w:t>
      </w:r>
      <w:r w:rsidR="00F844BD">
        <w:rPr>
          <w:rFonts w:ascii="Trebuchet MS" w:eastAsiaTheme="minorHAnsi" w:hAnsi="Trebuchet MS" w:cstheme="minorBidi"/>
          <w:color w:val="000000"/>
          <w:sz w:val="20"/>
        </w:rPr>
        <w:t>n</w:t>
      </w:r>
      <w:r w:rsidRPr="00C65DA3">
        <w:rPr>
          <w:rFonts w:ascii="Trebuchet MS" w:eastAsiaTheme="minorHAnsi" w:hAnsi="Trebuchet MS" w:cstheme="minorBidi"/>
          <w:color w:val="000000"/>
          <w:sz w:val="20"/>
        </w:rPr>
        <w:t>a criação de um novo sistema de perfusão com câmaras de perfusão com metade do volume, bem como, tubagens mais estreitas e de men</w:t>
      </w:r>
      <w:r w:rsidRPr="00C65DA3">
        <w:rPr>
          <w:rFonts w:ascii="Trebuchet MS" w:eastAsiaTheme="minorHAnsi" w:hAnsi="Trebuchet MS" w:cstheme="minorBidi"/>
          <w:color w:val="000000"/>
          <w:sz w:val="20"/>
        </w:rPr>
        <w:t>o</w:t>
      </w:r>
      <w:r w:rsidRPr="00C65DA3">
        <w:rPr>
          <w:rFonts w:ascii="Trebuchet MS" w:eastAsiaTheme="minorHAnsi" w:hAnsi="Trebuchet MS" w:cstheme="minorBidi"/>
          <w:color w:val="000000"/>
          <w:sz w:val="20"/>
        </w:rPr>
        <w:t>res dimensões, que reduziriam o volume de perfusão total para metade do volume actual.</w:t>
      </w:r>
    </w:p>
    <w:p w:rsidR="00F844BD" w:rsidRDefault="00CB2FAF" w:rsidP="0048113B">
      <w:pPr>
        <w:spacing w:after="200" w:line="360" w:lineRule="auto"/>
        <w:ind w:firstLine="708"/>
        <w:jc w:val="both"/>
        <w:textAlignment w:val="top"/>
        <w:rPr>
          <w:rFonts w:ascii="Trebuchet MS" w:eastAsiaTheme="minorHAnsi" w:hAnsi="Trebuchet MS" w:cstheme="minorBidi"/>
          <w:color w:val="000000"/>
          <w:sz w:val="20"/>
          <w:szCs w:val="20"/>
        </w:rPr>
      </w:pPr>
      <w:r w:rsidRPr="00C65DA3">
        <w:rPr>
          <w:rFonts w:ascii="Trebuchet MS" w:eastAsiaTheme="minorHAnsi" w:hAnsi="Trebuchet MS" w:cstheme="minorBidi"/>
          <w:color w:val="000000"/>
          <w:sz w:val="20"/>
        </w:rPr>
        <w:t xml:space="preserve">Relativamente </w:t>
      </w:r>
      <w:r w:rsidRPr="009E323D">
        <w:rPr>
          <w:rFonts w:ascii="Trebuchet MS" w:eastAsiaTheme="minorHAnsi" w:hAnsi="Trebuchet MS" w:cstheme="minorBidi"/>
          <w:b/>
          <w:color w:val="000000"/>
          <w:sz w:val="20"/>
          <w:szCs w:val="20"/>
        </w:rPr>
        <w:t>ao tempo de recuperação após pré-condicionamento</w:t>
      </w:r>
      <w:r w:rsidRPr="009E323D">
        <w:rPr>
          <w:rFonts w:ascii="Trebuchet MS" w:eastAsiaTheme="minorHAnsi" w:hAnsi="Trebuchet MS" w:cstheme="minorBidi"/>
          <w:color w:val="000000"/>
          <w:sz w:val="20"/>
          <w:szCs w:val="20"/>
        </w:rPr>
        <w:t xml:space="preserve"> deveria ser alterado, isto é, prolongado para estudar se o efeito neuroprotector do pré-condicionamento se manifesta na fase aguda ou tardia. Ou mesmo divi</w:t>
      </w:r>
      <w:r w:rsidR="00752521">
        <w:rPr>
          <w:rFonts w:ascii="Trebuchet MS" w:eastAsiaTheme="minorHAnsi" w:hAnsi="Trebuchet MS" w:cstheme="minorBidi"/>
          <w:color w:val="000000"/>
          <w:sz w:val="20"/>
          <w:szCs w:val="20"/>
        </w:rPr>
        <w:t>di</w:t>
      </w:r>
      <w:r w:rsidRPr="009E323D">
        <w:rPr>
          <w:rFonts w:ascii="Trebuchet MS" w:eastAsiaTheme="minorHAnsi" w:hAnsi="Trebuchet MS" w:cstheme="minorBidi"/>
          <w:color w:val="000000"/>
          <w:sz w:val="20"/>
          <w:szCs w:val="20"/>
        </w:rPr>
        <w:t>do em duas análises distintas</w:t>
      </w:r>
      <w:proofErr w:type="gramStart"/>
      <w:r w:rsidRPr="009E323D">
        <w:rPr>
          <w:rFonts w:ascii="Trebuchet MS" w:eastAsiaTheme="minorHAnsi" w:hAnsi="Trebuchet MS" w:cstheme="minorBidi"/>
          <w:color w:val="000000"/>
          <w:sz w:val="20"/>
          <w:szCs w:val="20"/>
        </w:rPr>
        <w:t>,</w:t>
      </w:r>
      <w:proofErr w:type="gramEnd"/>
      <w:r w:rsidRPr="009E323D">
        <w:rPr>
          <w:rFonts w:ascii="Trebuchet MS" w:eastAsiaTheme="minorHAnsi" w:hAnsi="Trebuchet MS" w:cstheme="minorBidi"/>
          <w:color w:val="000000"/>
          <w:sz w:val="20"/>
          <w:szCs w:val="20"/>
        </w:rPr>
        <w:t xml:space="preserve"> diminuir o tempo de 3h</w:t>
      </w:r>
      <w:r w:rsidR="00741FFB">
        <w:rPr>
          <w:rFonts w:ascii="Trebuchet MS" w:eastAsiaTheme="minorHAnsi" w:hAnsi="Trebuchet MS" w:cstheme="minorBidi"/>
          <w:color w:val="000000"/>
          <w:sz w:val="20"/>
          <w:szCs w:val="20"/>
        </w:rPr>
        <w:t>oras</w:t>
      </w:r>
      <w:r w:rsidRPr="009E323D">
        <w:rPr>
          <w:rFonts w:ascii="Trebuchet MS" w:eastAsiaTheme="minorHAnsi" w:hAnsi="Trebuchet MS" w:cstheme="minorBidi"/>
          <w:color w:val="000000"/>
          <w:sz w:val="20"/>
          <w:szCs w:val="20"/>
        </w:rPr>
        <w:t xml:space="preserve"> de recuperação utilizado para apenas duas horas e outra análise com um período de recu</w:t>
      </w:r>
      <w:r w:rsidR="00752521">
        <w:rPr>
          <w:rFonts w:ascii="Trebuchet MS" w:eastAsiaTheme="minorHAnsi" w:hAnsi="Trebuchet MS" w:cstheme="minorBidi"/>
          <w:color w:val="000000"/>
          <w:sz w:val="20"/>
          <w:szCs w:val="20"/>
        </w:rPr>
        <w:t xml:space="preserve">peração de 5 horas. Bem como, o aumento </w:t>
      </w:r>
      <w:r w:rsidRPr="009E323D">
        <w:rPr>
          <w:rFonts w:ascii="Trebuchet MS" w:eastAsiaTheme="minorHAnsi" w:hAnsi="Trebuchet MS" w:cstheme="minorBidi"/>
          <w:color w:val="000000"/>
          <w:sz w:val="20"/>
          <w:szCs w:val="20"/>
        </w:rPr>
        <w:t xml:space="preserve">de tempo de recuperação após </w:t>
      </w:r>
      <w:r w:rsidR="00F20D5D" w:rsidRPr="009E323D">
        <w:rPr>
          <w:rFonts w:ascii="Trebuchet MS" w:eastAsiaTheme="minorHAnsi" w:hAnsi="Trebuchet MS" w:cstheme="minorBidi"/>
          <w:color w:val="000000"/>
          <w:sz w:val="20"/>
          <w:szCs w:val="20"/>
        </w:rPr>
        <w:t>POG</w:t>
      </w:r>
      <w:r w:rsidRPr="009E323D">
        <w:rPr>
          <w:rFonts w:ascii="Trebuchet MS" w:eastAsiaTheme="minorHAnsi" w:hAnsi="Trebuchet MS" w:cstheme="minorBidi"/>
          <w:color w:val="000000"/>
          <w:sz w:val="20"/>
          <w:szCs w:val="20"/>
        </w:rPr>
        <w:t>, no caso da Caspase-3, para que a lesão e morte celular se tornem evidentes.</w:t>
      </w:r>
    </w:p>
    <w:p w:rsidR="00CC653E" w:rsidRPr="00F707CA" w:rsidRDefault="00013B02" w:rsidP="00CC653E">
      <w:pPr>
        <w:autoSpaceDE w:val="0"/>
        <w:autoSpaceDN w:val="0"/>
        <w:adjustRightInd w:val="0"/>
        <w:spacing w:line="360" w:lineRule="auto"/>
        <w:ind w:firstLine="720"/>
        <w:jc w:val="both"/>
        <w:rPr>
          <w:rFonts w:ascii="Trebuchet MS" w:hAnsi="Trebuchet MS"/>
          <w:sz w:val="20"/>
        </w:rPr>
      </w:pPr>
      <w:r>
        <w:rPr>
          <w:rFonts w:ascii="Trebuchet MS" w:hAnsi="Trebuchet MS"/>
          <w:sz w:val="20"/>
        </w:rPr>
        <w:t xml:space="preserve"> </w:t>
      </w:r>
      <w:r>
        <w:rPr>
          <w:rFonts w:ascii="Trebuchet MS" w:eastAsiaTheme="minorHAnsi" w:hAnsi="Trebuchet MS" w:cstheme="minorBidi"/>
          <w:color w:val="000000"/>
          <w:sz w:val="20"/>
        </w:rPr>
        <w:sym w:font="Wingdings" w:char="F0D6"/>
      </w:r>
      <w:r>
        <w:rPr>
          <w:rFonts w:ascii="Trebuchet MS" w:eastAsiaTheme="minorHAnsi" w:hAnsi="Trebuchet MS" w:cstheme="minorBidi"/>
          <w:color w:val="000000"/>
          <w:sz w:val="20"/>
        </w:rPr>
        <w:t xml:space="preserve"> </w:t>
      </w:r>
      <w:r w:rsidR="00CC653E">
        <w:rPr>
          <w:rFonts w:ascii="Trebuchet MS" w:hAnsi="Trebuchet MS"/>
          <w:sz w:val="20"/>
        </w:rPr>
        <w:t xml:space="preserve">Outra perspectiva seria </w:t>
      </w:r>
      <w:r w:rsidR="00CC653E" w:rsidRPr="00F707CA">
        <w:rPr>
          <w:rFonts w:ascii="Trebuchet MS" w:hAnsi="Trebuchet MS"/>
          <w:sz w:val="20"/>
        </w:rPr>
        <w:t xml:space="preserve">comparar os métodos de </w:t>
      </w:r>
      <w:r w:rsidR="00E14068">
        <w:rPr>
          <w:rFonts w:ascii="Trebuchet MS" w:hAnsi="Trebuchet MS"/>
          <w:sz w:val="20"/>
        </w:rPr>
        <w:t>quantificação da</w:t>
      </w:r>
      <w:r w:rsidR="00CC653E" w:rsidRPr="00067056">
        <w:rPr>
          <w:rFonts w:ascii="Trebuchet MS" w:hAnsi="Trebuchet MS"/>
          <w:sz w:val="20"/>
        </w:rPr>
        <w:t xml:space="preserve"> sobrevivência</w:t>
      </w:r>
      <w:r w:rsidR="00CC653E">
        <w:rPr>
          <w:rFonts w:ascii="Trebuchet MS" w:hAnsi="Trebuchet MS"/>
          <w:sz w:val="20"/>
        </w:rPr>
        <w:t xml:space="preserve"> </w:t>
      </w:r>
      <w:r w:rsidR="00CC653E" w:rsidRPr="00067056">
        <w:rPr>
          <w:rFonts w:ascii="Trebuchet MS" w:hAnsi="Trebuchet MS"/>
          <w:sz w:val="20"/>
        </w:rPr>
        <w:t xml:space="preserve">(viabilidade </w:t>
      </w:r>
      <w:proofErr w:type="gramStart"/>
      <w:r w:rsidR="00CC653E" w:rsidRPr="00067056">
        <w:rPr>
          <w:rFonts w:ascii="Trebuchet MS" w:hAnsi="Trebuchet MS"/>
          <w:sz w:val="20"/>
        </w:rPr>
        <w:t>celular)</w:t>
      </w:r>
      <w:r w:rsidR="00CC653E" w:rsidRPr="00F707CA">
        <w:rPr>
          <w:rFonts w:ascii="Trebuchet MS" w:hAnsi="Trebuchet MS"/>
          <w:sz w:val="20"/>
        </w:rPr>
        <w:t>/morte</w:t>
      </w:r>
      <w:proofErr w:type="gramEnd"/>
      <w:r w:rsidR="00CC653E" w:rsidRPr="00F707CA">
        <w:rPr>
          <w:rFonts w:ascii="Trebuchet MS" w:hAnsi="Trebuchet MS"/>
          <w:sz w:val="20"/>
        </w:rPr>
        <w:t xml:space="preserve"> neuronal utilizados ao longo deste trabalho experimental entre si: TTC, Caspase-3 e LDH</w:t>
      </w:r>
      <w:r>
        <w:rPr>
          <w:rFonts w:ascii="Trebuchet MS" w:hAnsi="Trebuchet MS"/>
          <w:sz w:val="20"/>
        </w:rPr>
        <w:t xml:space="preserve"> libertada</w:t>
      </w:r>
      <w:r w:rsidR="00CC653E" w:rsidRPr="00F707CA">
        <w:rPr>
          <w:rFonts w:ascii="Trebuchet MS" w:hAnsi="Trebuchet MS"/>
          <w:sz w:val="20"/>
        </w:rPr>
        <w:t>, para estabelecer o método mais adequado</w:t>
      </w:r>
      <w:r w:rsidR="00CC653E">
        <w:rPr>
          <w:rFonts w:ascii="Trebuchet MS" w:hAnsi="Trebuchet MS"/>
          <w:sz w:val="20"/>
        </w:rPr>
        <w:t xml:space="preserve"> (sensível e repr</w:t>
      </w:r>
      <w:r w:rsidR="00CC653E">
        <w:rPr>
          <w:rFonts w:ascii="Trebuchet MS" w:hAnsi="Trebuchet MS"/>
          <w:sz w:val="20"/>
        </w:rPr>
        <w:t>o</w:t>
      </w:r>
      <w:r w:rsidR="00CC653E">
        <w:rPr>
          <w:rFonts w:ascii="Trebuchet MS" w:hAnsi="Trebuchet MS"/>
          <w:sz w:val="20"/>
        </w:rPr>
        <w:t>dutível)</w:t>
      </w:r>
      <w:r w:rsidR="00CC653E" w:rsidRPr="00F707CA">
        <w:rPr>
          <w:rFonts w:ascii="Trebuchet MS" w:hAnsi="Trebuchet MS"/>
          <w:sz w:val="20"/>
        </w:rPr>
        <w:t xml:space="preserve"> para avaliação da viabilidade</w:t>
      </w:r>
      <w:r w:rsidR="00CC653E">
        <w:rPr>
          <w:rFonts w:ascii="Trebuchet MS" w:hAnsi="Trebuchet MS"/>
          <w:sz w:val="20"/>
        </w:rPr>
        <w:t xml:space="preserve"> celular</w:t>
      </w:r>
      <w:r w:rsidR="00CC653E" w:rsidRPr="00F707CA">
        <w:rPr>
          <w:rFonts w:ascii="Trebuchet MS" w:hAnsi="Trebuchet MS"/>
          <w:sz w:val="20"/>
        </w:rPr>
        <w:t xml:space="preserve"> de fatias frescas de hipocampo de ratos adultos. </w:t>
      </w:r>
    </w:p>
    <w:p w:rsidR="00CC653E" w:rsidRDefault="00CC653E" w:rsidP="0048113B">
      <w:pPr>
        <w:spacing w:after="200" w:line="360" w:lineRule="auto"/>
        <w:ind w:firstLine="708"/>
        <w:jc w:val="both"/>
        <w:textAlignment w:val="top"/>
        <w:rPr>
          <w:rFonts w:ascii="Trebuchet MS" w:eastAsiaTheme="minorHAnsi" w:hAnsi="Trebuchet MS" w:cstheme="minorBidi"/>
          <w:color w:val="000000"/>
          <w:sz w:val="20"/>
          <w:szCs w:val="20"/>
        </w:rPr>
      </w:pPr>
    </w:p>
    <w:p w:rsidR="0048113B" w:rsidRDefault="0048113B" w:rsidP="0048113B">
      <w:pPr>
        <w:spacing w:after="200" w:line="360" w:lineRule="auto"/>
        <w:ind w:firstLine="708"/>
        <w:jc w:val="both"/>
        <w:textAlignment w:val="top"/>
        <w:rPr>
          <w:rFonts w:ascii="Trebuchet MS" w:eastAsiaTheme="minorHAnsi" w:hAnsi="Trebuchet MS" w:cstheme="minorBidi"/>
          <w:color w:val="000000"/>
          <w:sz w:val="20"/>
          <w:szCs w:val="20"/>
        </w:rPr>
      </w:pPr>
    </w:p>
    <w:p w:rsidR="00C96EF7" w:rsidRDefault="00C96EF7" w:rsidP="0048113B">
      <w:pPr>
        <w:spacing w:after="200" w:line="360" w:lineRule="auto"/>
        <w:ind w:firstLine="708"/>
        <w:jc w:val="both"/>
        <w:textAlignment w:val="top"/>
        <w:rPr>
          <w:rFonts w:ascii="Trebuchet MS" w:eastAsiaTheme="minorHAnsi" w:hAnsi="Trebuchet MS" w:cstheme="minorBidi"/>
          <w:color w:val="000000"/>
          <w:sz w:val="20"/>
          <w:szCs w:val="20"/>
        </w:rPr>
      </w:pPr>
    </w:p>
    <w:p w:rsidR="00C309B0" w:rsidRPr="00751D14" w:rsidRDefault="00C309B0" w:rsidP="0048113B">
      <w:pPr>
        <w:spacing w:after="200" w:line="360" w:lineRule="auto"/>
        <w:ind w:firstLine="708"/>
        <w:jc w:val="both"/>
        <w:textAlignment w:val="top"/>
        <w:rPr>
          <w:rFonts w:ascii="Trebuchet MS" w:hAnsi="Trebuchet MS"/>
        </w:rPr>
      </w:pPr>
    </w:p>
    <w:p w:rsidR="006F2FA0" w:rsidRPr="00751D14" w:rsidRDefault="0035151F" w:rsidP="006F2FA0">
      <w:pPr>
        <w:pStyle w:val="Corpodetexto"/>
        <w:spacing w:line="360" w:lineRule="auto"/>
        <w:rPr>
          <w:rFonts w:ascii="Trebuchet MS" w:hAnsi="Trebuchet MS"/>
        </w:rPr>
      </w:pPr>
      <w:r>
        <w:rPr>
          <w:rFonts w:ascii="Trebuchet MS" w:hAnsi="Trebuchet MS"/>
          <w:noProof/>
        </w:rPr>
        <w:lastRenderedPageBreak/>
        <w:pict>
          <v:group id="_x0000_s3078" style="position:absolute;left:0;text-align:left;margin-left:-1.15pt;margin-top:2.45pt;width:426.9pt;height:31.65pt;z-index:251662848" coordorigin="1678,3480" coordsize="8538,472">
            <v:shape id="_x0000_s3079" type="#_x0000_t202" style="position:absolute;left:1678;top:3480;width:8538;height:454" fillcolor="#669" stroked="f" strokecolor="#669" strokeweight="1pt">
              <v:fill opacity="46531f" color2="#ccdaec" o:opacity2="54395f" rotate="t" focusposition=".5,.5" focussize="" focus="100%" type="gradient"/>
              <v:textbox style="mso-next-textbox:#_x0000_s3079" inset=",0,,0">
                <w:txbxContent>
                  <w:p w:rsidR="00046EA7" w:rsidRPr="005D72A2" w:rsidRDefault="00046EA7" w:rsidP="005D72A2">
                    <w:pPr>
                      <w:autoSpaceDE w:val="0"/>
                      <w:autoSpaceDN w:val="0"/>
                      <w:adjustRightInd w:val="0"/>
                      <w:spacing w:before="60"/>
                      <w:ind w:left="-142"/>
                      <w:jc w:val="both"/>
                      <w:rPr>
                        <w:rFonts w:ascii="Candara" w:hAnsi="Candara" w:cs="Bookman Old Style"/>
                        <w:b/>
                        <w:i/>
                        <w:shadow/>
                        <w:color w:val="333399"/>
                        <w:sz w:val="44"/>
                        <w:szCs w:val="28"/>
                        <w:lang w:val="pt-BR"/>
                      </w:rPr>
                    </w:pPr>
                    <w:r w:rsidRPr="005D72A2">
                      <w:rPr>
                        <w:rFonts w:ascii="Candara" w:hAnsi="Candara"/>
                        <w:b/>
                        <w:i/>
                        <w:shadow/>
                        <w:color w:val="333399"/>
                        <w:sz w:val="44"/>
                        <w:szCs w:val="28"/>
                        <w:lang w:val="pt-BR"/>
                      </w:rPr>
                      <w:t xml:space="preserve"> </w:t>
                    </w:r>
                    <w:r w:rsidRPr="005D72A2">
                      <w:rPr>
                        <w:rFonts w:ascii="Candara" w:hAnsi="Candara"/>
                        <w:b/>
                        <w:i/>
                        <w:shadow/>
                        <w:color w:val="333399"/>
                        <w:sz w:val="44"/>
                        <w:szCs w:val="28"/>
                        <w:lang w:val="pt-BR"/>
                      </w:rPr>
                      <w:t xml:space="preserve">5. </w:t>
                    </w:r>
                    <w:r w:rsidRPr="005D72A2">
                      <w:rPr>
                        <w:rFonts w:ascii="Candara" w:hAnsi="Candara"/>
                        <w:b/>
                        <w:shadow/>
                        <w:color w:val="333399"/>
                        <w:sz w:val="44"/>
                        <w:szCs w:val="28"/>
                        <w:lang w:val="pt-BR"/>
                      </w:rPr>
                      <w:t>Conclusões</w:t>
                    </w:r>
                  </w:p>
                  <w:p w:rsidR="00046EA7" w:rsidRPr="00C52C26" w:rsidRDefault="00046EA7" w:rsidP="006F2FA0">
                    <w:pPr>
                      <w:rPr>
                        <w:rFonts w:ascii="Candara" w:hAnsi="Candara"/>
                      </w:rPr>
                    </w:pPr>
                  </w:p>
                </w:txbxContent>
              </v:textbox>
            </v:shape>
            <v:shape id="_x0000_s3080" type="#_x0000_t32" style="position:absolute;left:1678;top:3952;width:8538;height:0" o:connectortype="straight" strokecolor="#339" strokeweight="1.5pt"/>
          </v:group>
        </w:pict>
      </w:r>
    </w:p>
    <w:p w:rsidR="006F2FA0" w:rsidRPr="00751D14" w:rsidRDefault="006F2FA0" w:rsidP="006F2FA0">
      <w:pPr>
        <w:autoSpaceDE w:val="0"/>
        <w:autoSpaceDN w:val="0"/>
        <w:adjustRightInd w:val="0"/>
        <w:jc w:val="both"/>
        <w:rPr>
          <w:rFonts w:ascii="Trebuchet MS" w:hAnsi="Trebuchet MS" w:cs="Bookman Old Style"/>
          <w:b/>
        </w:rPr>
      </w:pPr>
    </w:p>
    <w:p w:rsidR="00BA6BCE" w:rsidRPr="00751D14" w:rsidRDefault="00BA6BCE" w:rsidP="00BA6BCE">
      <w:pPr>
        <w:autoSpaceDE w:val="0"/>
        <w:autoSpaceDN w:val="0"/>
        <w:adjustRightInd w:val="0"/>
        <w:ind w:firstLine="720"/>
        <w:jc w:val="both"/>
        <w:rPr>
          <w:rFonts w:ascii="Trebuchet MS" w:hAnsi="Trebuchet MS"/>
          <w:sz w:val="18"/>
          <w:szCs w:val="18"/>
        </w:rPr>
      </w:pPr>
    </w:p>
    <w:p w:rsidR="00A95EC7" w:rsidRPr="005D72A2" w:rsidRDefault="009A7CEB" w:rsidP="00C37E87">
      <w:pPr>
        <w:autoSpaceDE w:val="0"/>
        <w:autoSpaceDN w:val="0"/>
        <w:adjustRightInd w:val="0"/>
        <w:spacing w:line="360" w:lineRule="auto"/>
        <w:ind w:firstLine="426"/>
        <w:jc w:val="both"/>
        <w:rPr>
          <w:rFonts w:ascii="Trebuchet MS" w:hAnsi="Trebuchet MS"/>
          <w:sz w:val="20"/>
          <w:szCs w:val="20"/>
        </w:rPr>
      </w:pPr>
      <w:r w:rsidRPr="005D72A2">
        <w:rPr>
          <w:rFonts w:ascii="Trebuchet MS" w:hAnsi="Trebuchet MS"/>
          <w:sz w:val="20"/>
          <w:szCs w:val="20"/>
        </w:rPr>
        <w:t xml:space="preserve">Com o presente </w:t>
      </w:r>
      <w:r w:rsidR="00A95EC7" w:rsidRPr="005D72A2">
        <w:rPr>
          <w:rFonts w:ascii="Trebuchet MS" w:hAnsi="Trebuchet MS"/>
          <w:sz w:val="20"/>
          <w:szCs w:val="20"/>
        </w:rPr>
        <w:t>trabalho de investigação</w:t>
      </w:r>
      <w:r w:rsidR="009742F6" w:rsidRPr="005D72A2">
        <w:rPr>
          <w:rFonts w:ascii="Trebuchet MS" w:hAnsi="Trebuchet MS"/>
          <w:sz w:val="20"/>
          <w:szCs w:val="20"/>
        </w:rPr>
        <w:t xml:space="preserve"> </w:t>
      </w:r>
      <w:r w:rsidR="00C309B0">
        <w:rPr>
          <w:rFonts w:ascii="Trebuchet MS" w:hAnsi="Trebuchet MS"/>
          <w:sz w:val="20"/>
          <w:szCs w:val="20"/>
        </w:rPr>
        <w:t xml:space="preserve">podemos concluir </w:t>
      </w:r>
      <w:proofErr w:type="gramStart"/>
      <w:r w:rsidR="00C309B0">
        <w:rPr>
          <w:rFonts w:ascii="Trebuchet MS" w:hAnsi="Trebuchet MS"/>
          <w:sz w:val="20"/>
          <w:szCs w:val="20"/>
        </w:rPr>
        <w:t>que</w:t>
      </w:r>
      <w:proofErr w:type="gramEnd"/>
      <w:r w:rsidR="009742F6" w:rsidRPr="005D72A2">
        <w:rPr>
          <w:rFonts w:ascii="Trebuchet MS" w:hAnsi="Trebuchet MS"/>
          <w:sz w:val="20"/>
          <w:szCs w:val="20"/>
        </w:rPr>
        <w:t>:</w:t>
      </w:r>
    </w:p>
    <w:p w:rsidR="00094544" w:rsidRPr="005D72A2" w:rsidRDefault="00A95EC7" w:rsidP="00C37E87">
      <w:pPr>
        <w:autoSpaceDE w:val="0"/>
        <w:autoSpaceDN w:val="0"/>
        <w:adjustRightInd w:val="0"/>
        <w:spacing w:line="360" w:lineRule="auto"/>
        <w:ind w:firstLine="720"/>
        <w:jc w:val="both"/>
        <w:rPr>
          <w:rFonts w:ascii="Trebuchet MS" w:hAnsi="Trebuchet MS"/>
          <w:sz w:val="20"/>
          <w:szCs w:val="20"/>
        </w:rPr>
      </w:pPr>
      <w:r w:rsidRPr="005D72A2">
        <w:rPr>
          <w:rFonts w:ascii="Trebuchet MS" w:hAnsi="Trebuchet MS"/>
          <w:sz w:val="20"/>
          <w:szCs w:val="20"/>
        </w:rPr>
        <w:t>-</w:t>
      </w:r>
      <w:r w:rsidR="009742F6" w:rsidRPr="005D72A2">
        <w:rPr>
          <w:rFonts w:ascii="Trebuchet MS" w:hAnsi="Trebuchet MS"/>
          <w:sz w:val="20"/>
          <w:szCs w:val="20"/>
        </w:rPr>
        <w:t xml:space="preserve"> </w:t>
      </w:r>
      <w:proofErr w:type="gramStart"/>
      <w:r w:rsidR="00C309B0">
        <w:rPr>
          <w:rFonts w:ascii="Trebuchet MS" w:hAnsi="Trebuchet MS"/>
          <w:sz w:val="20"/>
          <w:szCs w:val="20"/>
        </w:rPr>
        <w:t>foi</w:t>
      </w:r>
      <w:proofErr w:type="gramEnd"/>
      <w:r w:rsidR="00C309B0">
        <w:rPr>
          <w:rFonts w:ascii="Trebuchet MS" w:hAnsi="Trebuchet MS"/>
          <w:sz w:val="20"/>
          <w:szCs w:val="20"/>
        </w:rPr>
        <w:t xml:space="preserve"> possível </w:t>
      </w:r>
      <w:r w:rsidR="009A7CEB" w:rsidRPr="005D72A2">
        <w:rPr>
          <w:rFonts w:ascii="Trebuchet MS" w:hAnsi="Trebuchet MS"/>
          <w:sz w:val="20"/>
          <w:szCs w:val="20"/>
        </w:rPr>
        <w:t xml:space="preserve">o </w:t>
      </w:r>
      <w:r w:rsidR="00094544" w:rsidRPr="005D72A2">
        <w:rPr>
          <w:rFonts w:ascii="Trebuchet MS" w:hAnsi="Trebuchet MS"/>
          <w:sz w:val="20"/>
          <w:szCs w:val="20"/>
        </w:rPr>
        <w:t xml:space="preserve">estabelecimento de um modelo experimental de </w:t>
      </w:r>
      <w:r w:rsidR="00CF34B5" w:rsidRPr="005D72A2">
        <w:rPr>
          <w:rFonts w:ascii="Trebuchet MS" w:hAnsi="Trebuchet MS"/>
          <w:sz w:val="20"/>
          <w:szCs w:val="20"/>
        </w:rPr>
        <w:t xml:space="preserve">isquémia cerebral </w:t>
      </w:r>
      <w:r w:rsidR="00194A32" w:rsidRPr="005D72A2">
        <w:rPr>
          <w:rFonts w:ascii="Trebuchet MS" w:hAnsi="Trebuchet MS"/>
          <w:i/>
          <w:sz w:val="20"/>
          <w:szCs w:val="20"/>
        </w:rPr>
        <w:t xml:space="preserve">in vitro </w:t>
      </w:r>
      <w:r w:rsidR="00094544" w:rsidRPr="005D72A2">
        <w:rPr>
          <w:rFonts w:ascii="Trebuchet MS" w:hAnsi="Trebuchet MS"/>
          <w:sz w:val="20"/>
          <w:szCs w:val="20"/>
        </w:rPr>
        <w:t xml:space="preserve">, </w:t>
      </w:r>
      <w:r w:rsidR="00CF34B5" w:rsidRPr="005D72A2">
        <w:rPr>
          <w:rFonts w:ascii="Trebuchet MS" w:hAnsi="Trebuchet MS"/>
          <w:sz w:val="20"/>
          <w:szCs w:val="20"/>
        </w:rPr>
        <w:t>com fatias de hipocampo de cérebros de ratos adultos;</w:t>
      </w:r>
    </w:p>
    <w:p w:rsidR="00CF34B5" w:rsidRPr="005D72A2" w:rsidRDefault="006E0D91" w:rsidP="00C37E87">
      <w:pPr>
        <w:autoSpaceDE w:val="0"/>
        <w:autoSpaceDN w:val="0"/>
        <w:adjustRightInd w:val="0"/>
        <w:spacing w:line="360" w:lineRule="auto"/>
        <w:ind w:firstLine="720"/>
        <w:jc w:val="both"/>
        <w:rPr>
          <w:rFonts w:ascii="Trebuchet MS" w:hAnsi="Trebuchet MS"/>
          <w:sz w:val="20"/>
          <w:szCs w:val="20"/>
        </w:rPr>
      </w:pPr>
      <w:r w:rsidRPr="005D72A2">
        <w:rPr>
          <w:rFonts w:ascii="Trebuchet MS" w:hAnsi="Trebuchet MS"/>
          <w:sz w:val="20"/>
          <w:szCs w:val="20"/>
        </w:rPr>
        <w:t>-</w:t>
      </w:r>
      <w:r w:rsidR="00CF34B5" w:rsidRPr="005D72A2">
        <w:rPr>
          <w:rFonts w:ascii="Trebuchet MS" w:hAnsi="Trebuchet MS"/>
          <w:sz w:val="20"/>
          <w:szCs w:val="20"/>
        </w:rPr>
        <w:t xml:space="preserve"> </w:t>
      </w:r>
      <w:proofErr w:type="gramStart"/>
      <w:r w:rsidR="00C309B0">
        <w:rPr>
          <w:rFonts w:ascii="Trebuchet MS" w:hAnsi="Trebuchet MS"/>
          <w:sz w:val="20"/>
          <w:szCs w:val="20"/>
        </w:rPr>
        <w:t>foi</w:t>
      </w:r>
      <w:proofErr w:type="gramEnd"/>
      <w:r w:rsidR="00C309B0">
        <w:rPr>
          <w:rFonts w:ascii="Trebuchet MS" w:hAnsi="Trebuchet MS"/>
          <w:sz w:val="20"/>
          <w:szCs w:val="20"/>
        </w:rPr>
        <w:t xml:space="preserve"> possível </w:t>
      </w:r>
      <w:r w:rsidR="00CF34B5" w:rsidRPr="005D72A2">
        <w:rPr>
          <w:rFonts w:ascii="Trebuchet MS" w:hAnsi="Trebuchet MS"/>
          <w:sz w:val="20"/>
          <w:szCs w:val="20"/>
        </w:rPr>
        <w:t>a  implementação de um sistema de perfusão adequado ao modelo exp</w:t>
      </w:r>
      <w:r w:rsidR="00CF34B5" w:rsidRPr="005D72A2">
        <w:rPr>
          <w:rFonts w:ascii="Trebuchet MS" w:hAnsi="Trebuchet MS"/>
          <w:sz w:val="20"/>
          <w:szCs w:val="20"/>
        </w:rPr>
        <w:t>e</w:t>
      </w:r>
      <w:r w:rsidR="00CF34B5" w:rsidRPr="005D72A2">
        <w:rPr>
          <w:rFonts w:ascii="Trebuchet MS" w:hAnsi="Trebuchet MS"/>
          <w:sz w:val="20"/>
          <w:szCs w:val="20"/>
        </w:rPr>
        <w:t>rimental;</w:t>
      </w:r>
    </w:p>
    <w:p w:rsidR="00CF34B5" w:rsidRPr="005D72A2" w:rsidRDefault="00B45FBE" w:rsidP="00C37E87">
      <w:pPr>
        <w:autoSpaceDE w:val="0"/>
        <w:autoSpaceDN w:val="0"/>
        <w:adjustRightInd w:val="0"/>
        <w:spacing w:line="360" w:lineRule="auto"/>
        <w:ind w:firstLine="720"/>
        <w:jc w:val="both"/>
        <w:rPr>
          <w:rFonts w:ascii="Trebuchet MS" w:hAnsi="Trebuchet MS"/>
          <w:sz w:val="20"/>
          <w:szCs w:val="20"/>
        </w:rPr>
      </w:pPr>
      <w:r w:rsidRPr="005D72A2">
        <w:rPr>
          <w:rFonts w:ascii="Trebuchet MS" w:hAnsi="Trebuchet MS"/>
          <w:sz w:val="20"/>
          <w:szCs w:val="20"/>
        </w:rPr>
        <w:t xml:space="preserve">- </w:t>
      </w:r>
      <w:proofErr w:type="gramStart"/>
      <w:r w:rsidR="00C309B0">
        <w:rPr>
          <w:rFonts w:ascii="Trebuchet MS" w:hAnsi="Trebuchet MS"/>
          <w:sz w:val="20"/>
          <w:szCs w:val="20"/>
        </w:rPr>
        <w:t>o</w:t>
      </w:r>
      <w:proofErr w:type="gramEnd"/>
      <w:r w:rsidR="00CF34B5" w:rsidRPr="005D72A2">
        <w:rPr>
          <w:rFonts w:ascii="Trebuchet MS" w:hAnsi="Trebuchet MS"/>
          <w:sz w:val="20"/>
          <w:szCs w:val="20"/>
        </w:rPr>
        <w:t xml:space="preserve"> pré-condicionamento isquémico, com dois breves insultos</w:t>
      </w:r>
      <w:r w:rsidR="00653778" w:rsidRPr="005D72A2">
        <w:rPr>
          <w:rFonts w:ascii="Trebuchet MS" w:hAnsi="Trebuchet MS"/>
          <w:sz w:val="20"/>
          <w:szCs w:val="20"/>
        </w:rPr>
        <w:t xml:space="preserve"> isquémicos</w:t>
      </w:r>
      <w:r w:rsidR="00CF34B5" w:rsidRPr="005D72A2">
        <w:rPr>
          <w:rFonts w:ascii="Trebuchet MS" w:hAnsi="Trebuchet MS"/>
          <w:sz w:val="20"/>
          <w:szCs w:val="20"/>
        </w:rPr>
        <w:t xml:space="preserve"> subletais, </w:t>
      </w:r>
      <w:r w:rsidR="00653778" w:rsidRPr="005D72A2">
        <w:rPr>
          <w:rFonts w:ascii="Trebuchet MS" w:hAnsi="Trebuchet MS"/>
          <w:sz w:val="20"/>
          <w:szCs w:val="20"/>
        </w:rPr>
        <w:t>conferiu</w:t>
      </w:r>
      <w:r w:rsidR="00CF34B5" w:rsidRPr="005D72A2">
        <w:rPr>
          <w:rFonts w:ascii="Trebuchet MS" w:hAnsi="Trebuchet MS"/>
          <w:sz w:val="20"/>
          <w:szCs w:val="20"/>
        </w:rPr>
        <w:t xml:space="preserve"> neuroprotecção perante um insulto isquémico</w:t>
      </w:r>
      <w:r w:rsidR="00653778" w:rsidRPr="005D72A2">
        <w:rPr>
          <w:rFonts w:ascii="Trebuchet MS" w:hAnsi="Trebuchet MS"/>
          <w:sz w:val="20"/>
          <w:szCs w:val="20"/>
        </w:rPr>
        <w:t xml:space="preserve"> grave</w:t>
      </w:r>
      <w:r w:rsidR="00CF34B5" w:rsidRPr="005D72A2">
        <w:rPr>
          <w:rFonts w:ascii="Trebuchet MS" w:hAnsi="Trebuchet MS"/>
          <w:sz w:val="20"/>
          <w:szCs w:val="20"/>
        </w:rPr>
        <w:t xml:space="preserve"> de 20minutos de duração</w:t>
      </w:r>
      <w:r w:rsidR="00C309B0">
        <w:rPr>
          <w:rFonts w:ascii="Trebuchet MS" w:hAnsi="Trebuchet MS"/>
          <w:sz w:val="20"/>
          <w:szCs w:val="20"/>
        </w:rPr>
        <w:t>;</w:t>
      </w:r>
    </w:p>
    <w:p w:rsidR="00653778" w:rsidRPr="005D72A2" w:rsidRDefault="00653778" w:rsidP="00C37E87">
      <w:pPr>
        <w:autoSpaceDE w:val="0"/>
        <w:autoSpaceDN w:val="0"/>
        <w:adjustRightInd w:val="0"/>
        <w:spacing w:line="360" w:lineRule="auto"/>
        <w:ind w:firstLine="720"/>
        <w:jc w:val="both"/>
        <w:rPr>
          <w:rFonts w:ascii="Trebuchet MS" w:hAnsi="Trebuchet MS"/>
          <w:sz w:val="20"/>
          <w:szCs w:val="20"/>
        </w:rPr>
      </w:pPr>
      <w:r w:rsidRPr="005D72A2">
        <w:rPr>
          <w:rFonts w:ascii="Trebuchet MS" w:hAnsi="Trebuchet MS"/>
          <w:sz w:val="20"/>
          <w:szCs w:val="20"/>
        </w:rPr>
        <w:t xml:space="preserve">- </w:t>
      </w:r>
      <w:proofErr w:type="gramStart"/>
      <w:r w:rsidRPr="005D72A2">
        <w:rPr>
          <w:rFonts w:ascii="Trebuchet MS" w:hAnsi="Trebuchet MS"/>
          <w:sz w:val="20"/>
          <w:szCs w:val="20"/>
        </w:rPr>
        <w:t>o</w:t>
      </w:r>
      <w:proofErr w:type="gramEnd"/>
      <w:r w:rsidRPr="005D72A2">
        <w:rPr>
          <w:rFonts w:ascii="Trebuchet MS" w:hAnsi="Trebuchet MS"/>
          <w:sz w:val="20"/>
          <w:szCs w:val="20"/>
        </w:rPr>
        <w:t xml:space="preserve"> pré-condicionamento químico com CPA 10</w:t>
      </w:r>
      <w:r w:rsidRPr="005D72A2">
        <w:rPr>
          <w:rFonts w:ascii="Trebuchet MS" w:hAnsi="Trebuchet MS"/>
          <w:sz w:val="20"/>
          <w:szCs w:val="20"/>
        </w:rPr>
        <w:sym w:font="Symbol" w:char="F06D"/>
      </w:r>
      <w:r w:rsidRPr="005D72A2">
        <w:rPr>
          <w:rFonts w:ascii="Trebuchet MS" w:hAnsi="Trebuchet MS"/>
          <w:sz w:val="20"/>
          <w:szCs w:val="20"/>
        </w:rPr>
        <w:t xml:space="preserve">M durante 20 minutos </w:t>
      </w:r>
      <w:r w:rsidR="00C309B0">
        <w:rPr>
          <w:rFonts w:ascii="Trebuchet MS" w:hAnsi="Trebuchet MS"/>
          <w:sz w:val="20"/>
          <w:szCs w:val="20"/>
        </w:rPr>
        <w:t xml:space="preserve">poderá </w:t>
      </w:r>
      <w:r w:rsidRPr="005D72A2">
        <w:rPr>
          <w:rFonts w:ascii="Trebuchet MS" w:hAnsi="Trebuchet MS"/>
          <w:sz w:val="20"/>
          <w:szCs w:val="20"/>
        </w:rPr>
        <w:t>conferi</w:t>
      </w:r>
      <w:r w:rsidR="00C309B0">
        <w:rPr>
          <w:rFonts w:ascii="Trebuchet MS" w:hAnsi="Trebuchet MS"/>
          <w:sz w:val="20"/>
          <w:szCs w:val="20"/>
        </w:rPr>
        <w:t>r</w:t>
      </w:r>
      <w:r w:rsidRPr="005D72A2">
        <w:rPr>
          <w:rFonts w:ascii="Trebuchet MS" w:hAnsi="Trebuchet MS"/>
          <w:sz w:val="20"/>
          <w:szCs w:val="20"/>
        </w:rPr>
        <w:t xml:space="preserve"> neuroprotecção perante um insulto isquémico de 20minutos, através do TTC;</w:t>
      </w:r>
    </w:p>
    <w:p w:rsidR="00ED012E" w:rsidRPr="005D72A2" w:rsidRDefault="00ED012E" w:rsidP="00C37E87">
      <w:pPr>
        <w:autoSpaceDE w:val="0"/>
        <w:autoSpaceDN w:val="0"/>
        <w:adjustRightInd w:val="0"/>
        <w:spacing w:line="360" w:lineRule="auto"/>
        <w:ind w:firstLine="720"/>
        <w:jc w:val="both"/>
        <w:rPr>
          <w:rFonts w:ascii="Trebuchet MS" w:hAnsi="Trebuchet MS"/>
          <w:sz w:val="20"/>
          <w:szCs w:val="20"/>
        </w:rPr>
      </w:pPr>
      <w:r w:rsidRPr="005D72A2">
        <w:rPr>
          <w:rFonts w:ascii="Trebuchet MS" w:hAnsi="Trebuchet MS"/>
          <w:sz w:val="20"/>
          <w:szCs w:val="20"/>
        </w:rPr>
        <w:t xml:space="preserve">- </w:t>
      </w:r>
      <w:proofErr w:type="gramStart"/>
      <w:r w:rsidRPr="005D72A2">
        <w:rPr>
          <w:rFonts w:ascii="Trebuchet MS" w:hAnsi="Trebuchet MS"/>
          <w:sz w:val="20"/>
          <w:szCs w:val="20"/>
        </w:rPr>
        <w:t>o</w:t>
      </w:r>
      <w:proofErr w:type="gramEnd"/>
      <w:r w:rsidRPr="005D72A2">
        <w:rPr>
          <w:rFonts w:ascii="Trebuchet MS" w:hAnsi="Trebuchet MS"/>
          <w:sz w:val="20"/>
          <w:szCs w:val="20"/>
        </w:rPr>
        <w:t xml:space="preserve"> efeito neuroprotector promovido pelo pré-condicionamento com agonistas select</w:t>
      </w:r>
      <w:r w:rsidRPr="005D72A2">
        <w:rPr>
          <w:rFonts w:ascii="Trebuchet MS" w:hAnsi="Trebuchet MS"/>
          <w:sz w:val="20"/>
          <w:szCs w:val="20"/>
        </w:rPr>
        <w:t>i</w:t>
      </w:r>
      <w:r w:rsidRPr="005D72A2">
        <w:rPr>
          <w:rFonts w:ascii="Trebuchet MS" w:hAnsi="Trebuchet MS"/>
          <w:sz w:val="20"/>
          <w:szCs w:val="20"/>
        </w:rPr>
        <w:t>vos da adenosina (CPA)</w:t>
      </w:r>
      <w:r w:rsidR="00C309B0">
        <w:rPr>
          <w:rFonts w:ascii="Trebuchet MS" w:hAnsi="Trebuchet MS"/>
          <w:sz w:val="20"/>
          <w:szCs w:val="20"/>
        </w:rPr>
        <w:t xml:space="preserve"> poderá </w:t>
      </w:r>
      <w:r w:rsidRPr="005D72A2">
        <w:rPr>
          <w:rFonts w:ascii="Trebuchet MS" w:hAnsi="Trebuchet MS"/>
          <w:sz w:val="20"/>
          <w:szCs w:val="20"/>
        </w:rPr>
        <w:t>mimetiza</w:t>
      </w:r>
      <w:r w:rsidR="00C309B0">
        <w:rPr>
          <w:rFonts w:ascii="Trebuchet MS" w:hAnsi="Trebuchet MS"/>
          <w:sz w:val="20"/>
          <w:szCs w:val="20"/>
        </w:rPr>
        <w:t>r</w:t>
      </w:r>
      <w:r w:rsidRPr="005D72A2">
        <w:rPr>
          <w:rFonts w:ascii="Trebuchet MS" w:hAnsi="Trebuchet MS"/>
          <w:sz w:val="20"/>
          <w:szCs w:val="20"/>
        </w:rPr>
        <w:t xml:space="preserve"> parcialmente o efeito promovido pelo IPC na ind</w:t>
      </w:r>
      <w:r w:rsidRPr="005D72A2">
        <w:rPr>
          <w:rFonts w:ascii="Trebuchet MS" w:hAnsi="Trebuchet MS"/>
          <w:sz w:val="20"/>
          <w:szCs w:val="20"/>
        </w:rPr>
        <w:t>u</w:t>
      </w:r>
      <w:r w:rsidR="00EC6AA8">
        <w:rPr>
          <w:rFonts w:ascii="Trebuchet MS" w:hAnsi="Trebuchet MS"/>
          <w:sz w:val="20"/>
          <w:szCs w:val="20"/>
        </w:rPr>
        <w:t>ção de tolerância isquémica;</w:t>
      </w:r>
    </w:p>
    <w:p w:rsidR="00653778" w:rsidRPr="005D72A2" w:rsidRDefault="00653778" w:rsidP="00C37E87">
      <w:pPr>
        <w:autoSpaceDE w:val="0"/>
        <w:autoSpaceDN w:val="0"/>
        <w:adjustRightInd w:val="0"/>
        <w:spacing w:line="360" w:lineRule="auto"/>
        <w:ind w:firstLine="720"/>
        <w:jc w:val="both"/>
        <w:rPr>
          <w:rFonts w:ascii="Trebuchet MS" w:hAnsi="Trebuchet MS"/>
          <w:sz w:val="20"/>
          <w:szCs w:val="20"/>
        </w:rPr>
      </w:pPr>
      <w:r w:rsidRPr="005D72A2">
        <w:rPr>
          <w:rFonts w:ascii="Trebuchet MS" w:hAnsi="Trebuchet MS"/>
          <w:sz w:val="20"/>
          <w:szCs w:val="20"/>
        </w:rPr>
        <w:t xml:space="preserve">- </w:t>
      </w:r>
      <w:proofErr w:type="gramStart"/>
      <w:r w:rsidR="00BD341E">
        <w:rPr>
          <w:rFonts w:ascii="Trebuchet MS" w:hAnsi="Trebuchet MS"/>
          <w:sz w:val="20"/>
          <w:szCs w:val="20"/>
        </w:rPr>
        <w:t>um</w:t>
      </w:r>
      <w:proofErr w:type="gramEnd"/>
      <w:r w:rsidR="00BD341E">
        <w:rPr>
          <w:rFonts w:ascii="Trebuchet MS" w:hAnsi="Trebuchet MS"/>
          <w:sz w:val="20"/>
          <w:szCs w:val="20"/>
        </w:rPr>
        <w:t xml:space="preserve"> período de 1hora e 30 minutos </w:t>
      </w:r>
      <w:r w:rsidR="00EC6AA8">
        <w:rPr>
          <w:rFonts w:ascii="Trebuchet MS" w:hAnsi="Trebuchet MS"/>
          <w:sz w:val="20"/>
          <w:szCs w:val="20"/>
        </w:rPr>
        <w:t>após aplicação de um insulto isquémico neurot</w:t>
      </w:r>
      <w:r w:rsidR="00EC6AA8">
        <w:rPr>
          <w:rFonts w:ascii="Trebuchet MS" w:hAnsi="Trebuchet MS"/>
          <w:sz w:val="20"/>
          <w:szCs w:val="20"/>
        </w:rPr>
        <w:t>ó</w:t>
      </w:r>
      <w:r w:rsidR="00EC6AA8">
        <w:rPr>
          <w:rFonts w:ascii="Trebuchet MS" w:hAnsi="Trebuchet MS"/>
          <w:sz w:val="20"/>
          <w:szCs w:val="20"/>
        </w:rPr>
        <w:t>xico de 20 minutos não foi suficiente para induzir activação de caspase-3 no nosso modelo experimental;</w:t>
      </w:r>
    </w:p>
    <w:p w:rsidR="00ED012E" w:rsidRPr="005D72A2" w:rsidRDefault="002C65DB" w:rsidP="00C37E87">
      <w:pPr>
        <w:autoSpaceDE w:val="0"/>
        <w:autoSpaceDN w:val="0"/>
        <w:adjustRightInd w:val="0"/>
        <w:spacing w:line="360" w:lineRule="auto"/>
        <w:ind w:firstLine="720"/>
        <w:jc w:val="both"/>
        <w:rPr>
          <w:rFonts w:ascii="Trebuchet MS" w:hAnsi="Trebuchet MS"/>
          <w:sz w:val="20"/>
          <w:szCs w:val="20"/>
        </w:rPr>
      </w:pPr>
      <w:r>
        <w:rPr>
          <w:rFonts w:ascii="Trebuchet MS" w:hAnsi="Trebuchet MS"/>
          <w:sz w:val="20"/>
          <w:szCs w:val="20"/>
        </w:rPr>
        <w:t xml:space="preserve">- </w:t>
      </w:r>
      <w:proofErr w:type="gramStart"/>
      <w:r>
        <w:rPr>
          <w:rFonts w:ascii="Trebuchet MS" w:hAnsi="Trebuchet MS"/>
          <w:sz w:val="20"/>
          <w:szCs w:val="20"/>
        </w:rPr>
        <w:t>r</w:t>
      </w:r>
      <w:r w:rsidR="00ED012E" w:rsidRPr="005D72A2">
        <w:rPr>
          <w:rFonts w:ascii="Trebuchet MS" w:hAnsi="Trebuchet MS"/>
          <w:sz w:val="20"/>
          <w:szCs w:val="20"/>
        </w:rPr>
        <w:t>elativamente</w:t>
      </w:r>
      <w:proofErr w:type="gramEnd"/>
      <w:r w:rsidR="00ED012E" w:rsidRPr="005D72A2">
        <w:rPr>
          <w:rFonts w:ascii="Trebuchet MS" w:hAnsi="Trebuchet MS"/>
          <w:sz w:val="20"/>
          <w:szCs w:val="20"/>
        </w:rPr>
        <w:t xml:space="preserve"> à duração do efeito promovido pelo pré-condicionamento, não sab</w:t>
      </w:r>
      <w:r w:rsidR="00ED012E" w:rsidRPr="005D72A2">
        <w:rPr>
          <w:rFonts w:ascii="Trebuchet MS" w:hAnsi="Trebuchet MS"/>
          <w:sz w:val="20"/>
          <w:szCs w:val="20"/>
        </w:rPr>
        <w:t>e</w:t>
      </w:r>
      <w:r w:rsidR="00ED012E" w:rsidRPr="005D72A2">
        <w:rPr>
          <w:rFonts w:ascii="Trebuchet MS" w:hAnsi="Trebuchet MS"/>
          <w:sz w:val="20"/>
          <w:szCs w:val="20"/>
        </w:rPr>
        <w:t>mos se se trata de um efeito momentâneo de curta duração (transitório) ou tardio (prolong</w:t>
      </w:r>
      <w:r w:rsidR="00ED012E" w:rsidRPr="005D72A2">
        <w:rPr>
          <w:rFonts w:ascii="Trebuchet MS" w:hAnsi="Trebuchet MS"/>
          <w:sz w:val="20"/>
          <w:szCs w:val="20"/>
        </w:rPr>
        <w:t>a</w:t>
      </w:r>
      <w:r w:rsidR="00ED012E" w:rsidRPr="005D72A2">
        <w:rPr>
          <w:rFonts w:ascii="Trebuchet MS" w:hAnsi="Trebuchet MS"/>
          <w:sz w:val="20"/>
          <w:szCs w:val="20"/>
        </w:rPr>
        <w:t>do).</w:t>
      </w:r>
    </w:p>
    <w:p w:rsidR="00B45FBE" w:rsidRPr="005D72A2" w:rsidRDefault="00B45FBE" w:rsidP="00C37E87">
      <w:pPr>
        <w:autoSpaceDE w:val="0"/>
        <w:autoSpaceDN w:val="0"/>
        <w:adjustRightInd w:val="0"/>
        <w:spacing w:line="360" w:lineRule="auto"/>
        <w:ind w:firstLine="720"/>
        <w:jc w:val="both"/>
        <w:rPr>
          <w:rFonts w:ascii="Trebuchet MS" w:hAnsi="Trebuchet MS" w:cs="Bookman Old Style"/>
          <w:sz w:val="20"/>
          <w:szCs w:val="20"/>
        </w:rPr>
      </w:pPr>
    </w:p>
    <w:p w:rsidR="00453252" w:rsidRPr="00F133D4" w:rsidRDefault="00CC40B1" w:rsidP="00C37E87">
      <w:pPr>
        <w:autoSpaceDE w:val="0"/>
        <w:autoSpaceDN w:val="0"/>
        <w:adjustRightInd w:val="0"/>
        <w:spacing w:line="360" w:lineRule="auto"/>
        <w:ind w:firstLine="720"/>
        <w:jc w:val="both"/>
        <w:rPr>
          <w:rFonts w:ascii="Trebuchet MS" w:hAnsi="Trebuchet MS" w:cs="Bookman Old Style"/>
          <w:sz w:val="20"/>
          <w:szCs w:val="20"/>
        </w:rPr>
      </w:pPr>
      <w:r w:rsidRPr="005D72A2">
        <w:rPr>
          <w:rFonts w:ascii="Trebuchet MS" w:hAnsi="Trebuchet MS" w:cs="Bookman Old Style"/>
          <w:sz w:val="20"/>
          <w:szCs w:val="20"/>
        </w:rPr>
        <w:t xml:space="preserve">Em suma, </w:t>
      </w:r>
      <w:r w:rsidR="00C37E87" w:rsidRPr="005D72A2">
        <w:rPr>
          <w:rFonts w:ascii="Trebuchet MS" w:hAnsi="Trebuchet MS" w:cs="Bookman Old Style"/>
          <w:sz w:val="20"/>
          <w:szCs w:val="20"/>
        </w:rPr>
        <w:t>conclui-se</w:t>
      </w:r>
      <w:r w:rsidR="009A7CEB" w:rsidRPr="005D72A2">
        <w:rPr>
          <w:rFonts w:ascii="Trebuchet MS" w:hAnsi="Trebuchet MS" w:cs="Bookman Old Style"/>
          <w:sz w:val="20"/>
          <w:szCs w:val="20"/>
        </w:rPr>
        <w:t xml:space="preserve"> que </w:t>
      </w:r>
      <w:r w:rsidR="0007764D" w:rsidRPr="005D72A2">
        <w:rPr>
          <w:rFonts w:ascii="Trebuchet MS" w:hAnsi="Trebuchet MS" w:cs="Bookman Old Style"/>
          <w:sz w:val="20"/>
          <w:szCs w:val="20"/>
        </w:rPr>
        <w:t xml:space="preserve">o </w:t>
      </w:r>
      <w:r w:rsidR="0007764D" w:rsidRPr="00CF5C9D">
        <w:rPr>
          <w:rFonts w:ascii="Trebuchet MS" w:hAnsi="Trebuchet MS" w:cs="Bookman Old Style"/>
          <w:sz w:val="20"/>
          <w:szCs w:val="20"/>
          <w:u w:val="single"/>
        </w:rPr>
        <w:t>pré-condicionamento isquémico</w:t>
      </w:r>
      <w:r w:rsidR="0007764D" w:rsidRPr="00F133D4">
        <w:rPr>
          <w:rFonts w:ascii="Trebuchet MS" w:hAnsi="Trebuchet MS" w:cs="Bookman Old Style"/>
          <w:sz w:val="20"/>
          <w:szCs w:val="20"/>
        </w:rPr>
        <w:t xml:space="preserve"> e </w:t>
      </w:r>
      <w:r w:rsidR="00F133D4">
        <w:rPr>
          <w:rFonts w:ascii="Trebuchet MS" w:hAnsi="Trebuchet MS" w:cs="Bookman Old Style"/>
          <w:sz w:val="20"/>
          <w:szCs w:val="20"/>
        </w:rPr>
        <w:t xml:space="preserve">provavelmente, </w:t>
      </w:r>
      <w:r w:rsidR="00CF5C9D">
        <w:rPr>
          <w:rFonts w:ascii="Trebuchet MS" w:hAnsi="Trebuchet MS" w:cs="Bookman Old Style"/>
          <w:sz w:val="20"/>
          <w:szCs w:val="20"/>
        </w:rPr>
        <w:t xml:space="preserve">embora </w:t>
      </w:r>
      <w:r w:rsidR="00F133D4">
        <w:rPr>
          <w:rFonts w:ascii="Trebuchet MS" w:hAnsi="Trebuchet MS" w:cs="Bookman Old Style"/>
          <w:sz w:val="20"/>
          <w:szCs w:val="20"/>
        </w:rPr>
        <w:t xml:space="preserve">em menor grau o </w:t>
      </w:r>
      <w:r w:rsidR="00F133D4" w:rsidRPr="00CF5C9D">
        <w:rPr>
          <w:rFonts w:ascii="Trebuchet MS" w:hAnsi="Trebuchet MS" w:cs="Bookman Old Style"/>
          <w:sz w:val="20"/>
          <w:szCs w:val="20"/>
          <w:u w:val="single"/>
        </w:rPr>
        <w:t xml:space="preserve">pré-condicionamento </w:t>
      </w:r>
      <w:r w:rsidR="0007764D" w:rsidRPr="00CF5C9D">
        <w:rPr>
          <w:rFonts w:ascii="Trebuchet MS" w:hAnsi="Trebuchet MS" w:cs="Bookman Old Style"/>
          <w:sz w:val="20"/>
          <w:szCs w:val="20"/>
          <w:u w:val="single"/>
        </w:rPr>
        <w:t>químico</w:t>
      </w:r>
      <w:r w:rsidR="00CF5C9D">
        <w:rPr>
          <w:rFonts w:ascii="Trebuchet MS" w:hAnsi="Trebuchet MS" w:cs="Bookman Old Style"/>
          <w:sz w:val="20"/>
          <w:szCs w:val="20"/>
          <w:u w:val="single"/>
        </w:rPr>
        <w:t>,</w:t>
      </w:r>
      <w:r w:rsidR="00F133D4" w:rsidRPr="00CF5C9D">
        <w:rPr>
          <w:rFonts w:ascii="Trebuchet MS" w:hAnsi="Trebuchet MS" w:cs="Bookman Old Style"/>
          <w:sz w:val="20"/>
          <w:szCs w:val="20"/>
          <w:u w:val="single"/>
        </w:rPr>
        <w:t xml:space="preserve"> por activação dos A</w:t>
      </w:r>
      <w:r w:rsidR="00F133D4" w:rsidRPr="00CF5C9D">
        <w:rPr>
          <w:rFonts w:ascii="Trebuchet MS" w:hAnsi="Trebuchet MS" w:cs="Bookman Old Style"/>
          <w:sz w:val="20"/>
          <w:szCs w:val="20"/>
          <w:u w:val="single"/>
          <w:vertAlign w:val="subscript"/>
        </w:rPr>
        <w:t>1</w:t>
      </w:r>
      <w:r w:rsidR="00F133D4" w:rsidRPr="00CF5C9D">
        <w:rPr>
          <w:rFonts w:ascii="Trebuchet MS" w:hAnsi="Trebuchet MS" w:cs="Bookman Old Style"/>
          <w:sz w:val="20"/>
          <w:szCs w:val="20"/>
          <w:u w:val="single"/>
        </w:rPr>
        <w:t>Rs</w:t>
      </w:r>
      <w:r w:rsidR="00CF5C9D">
        <w:rPr>
          <w:rFonts w:ascii="Trebuchet MS" w:hAnsi="Trebuchet MS" w:cs="Bookman Old Style"/>
          <w:sz w:val="20"/>
          <w:szCs w:val="20"/>
          <w:u w:val="single"/>
        </w:rPr>
        <w:t>,</w:t>
      </w:r>
      <w:r w:rsidR="0007764D" w:rsidRPr="00F133D4">
        <w:rPr>
          <w:rFonts w:ascii="Trebuchet MS" w:hAnsi="Trebuchet MS" w:cs="Bookman Old Style"/>
          <w:sz w:val="20"/>
          <w:szCs w:val="20"/>
        </w:rPr>
        <w:t xml:space="preserve"> conferem </w:t>
      </w:r>
      <w:r w:rsidR="0007764D" w:rsidRPr="00CF5C9D">
        <w:rPr>
          <w:rFonts w:ascii="Trebuchet MS" w:hAnsi="Trebuchet MS" w:cs="Bookman Old Style"/>
          <w:b/>
          <w:sz w:val="20"/>
          <w:szCs w:val="20"/>
        </w:rPr>
        <w:t>neuropr</w:t>
      </w:r>
      <w:r w:rsidR="0007764D" w:rsidRPr="00CF5C9D">
        <w:rPr>
          <w:rFonts w:ascii="Trebuchet MS" w:hAnsi="Trebuchet MS" w:cs="Bookman Old Style"/>
          <w:b/>
          <w:sz w:val="20"/>
          <w:szCs w:val="20"/>
        </w:rPr>
        <w:t>o</w:t>
      </w:r>
      <w:r w:rsidR="0007764D" w:rsidRPr="00CF5C9D">
        <w:rPr>
          <w:rFonts w:ascii="Trebuchet MS" w:hAnsi="Trebuchet MS" w:cs="Bookman Old Style"/>
          <w:b/>
          <w:sz w:val="20"/>
          <w:szCs w:val="20"/>
        </w:rPr>
        <w:t xml:space="preserve">tecção perante a isquémia cerebral </w:t>
      </w:r>
      <w:proofErr w:type="gramStart"/>
      <w:r w:rsidR="00194A32" w:rsidRPr="00CF5C9D">
        <w:rPr>
          <w:rFonts w:ascii="Trebuchet MS" w:hAnsi="Trebuchet MS" w:cs="Bookman Old Style"/>
          <w:b/>
          <w:i/>
          <w:sz w:val="20"/>
          <w:szCs w:val="20"/>
        </w:rPr>
        <w:t>in vitro</w:t>
      </w:r>
      <w:proofErr w:type="gramEnd"/>
      <w:r w:rsidR="0007764D" w:rsidRPr="00F133D4">
        <w:rPr>
          <w:rFonts w:ascii="Trebuchet MS" w:hAnsi="Trebuchet MS" w:cs="Bookman Old Style"/>
          <w:sz w:val="20"/>
          <w:szCs w:val="20"/>
        </w:rPr>
        <w:t xml:space="preserve">. </w:t>
      </w:r>
    </w:p>
    <w:p w:rsidR="00653778" w:rsidRPr="00751D14" w:rsidRDefault="00653778" w:rsidP="00C37E87">
      <w:pPr>
        <w:autoSpaceDE w:val="0"/>
        <w:autoSpaceDN w:val="0"/>
        <w:adjustRightInd w:val="0"/>
        <w:spacing w:line="360" w:lineRule="auto"/>
        <w:ind w:firstLine="720"/>
        <w:jc w:val="both"/>
        <w:rPr>
          <w:rFonts w:ascii="Trebuchet MS" w:hAnsi="Trebuchet MS" w:cs="Bookman Old Style"/>
        </w:rPr>
      </w:pPr>
    </w:p>
    <w:p w:rsidR="00653778" w:rsidRPr="00751D14" w:rsidRDefault="00653778" w:rsidP="00C37E87">
      <w:pPr>
        <w:autoSpaceDE w:val="0"/>
        <w:autoSpaceDN w:val="0"/>
        <w:adjustRightInd w:val="0"/>
        <w:spacing w:line="360" w:lineRule="auto"/>
        <w:ind w:firstLine="720"/>
        <w:jc w:val="both"/>
        <w:rPr>
          <w:rFonts w:ascii="Trebuchet MS" w:hAnsi="Trebuchet MS" w:cs="Bookman Old Style"/>
        </w:rPr>
      </w:pPr>
    </w:p>
    <w:p w:rsidR="00653778" w:rsidRPr="00751D14" w:rsidRDefault="00653778" w:rsidP="00C37E87">
      <w:pPr>
        <w:autoSpaceDE w:val="0"/>
        <w:autoSpaceDN w:val="0"/>
        <w:adjustRightInd w:val="0"/>
        <w:spacing w:line="360" w:lineRule="auto"/>
        <w:ind w:firstLine="720"/>
        <w:jc w:val="both"/>
        <w:rPr>
          <w:rFonts w:ascii="Trebuchet MS" w:hAnsi="Trebuchet MS" w:cs="Bookman Old Style"/>
        </w:rPr>
      </w:pPr>
    </w:p>
    <w:p w:rsidR="00653778" w:rsidRDefault="00653778"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Default="00AA2E04" w:rsidP="00C37E87">
      <w:pPr>
        <w:autoSpaceDE w:val="0"/>
        <w:autoSpaceDN w:val="0"/>
        <w:adjustRightInd w:val="0"/>
        <w:spacing w:line="360" w:lineRule="auto"/>
        <w:ind w:firstLine="720"/>
        <w:jc w:val="both"/>
        <w:rPr>
          <w:rFonts w:ascii="Trebuchet MS" w:hAnsi="Trebuchet MS" w:cs="Bookman Old Style"/>
        </w:rPr>
      </w:pPr>
    </w:p>
    <w:p w:rsidR="00AA2E04" w:rsidRPr="00751D14" w:rsidRDefault="00AA2E04" w:rsidP="00C37E87">
      <w:pPr>
        <w:autoSpaceDE w:val="0"/>
        <w:autoSpaceDN w:val="0"/>
        <w:adjustRightInd w:val="0"/>
        <w:spacing w:line="360" w:lineRule="auto"/>
        <w:ind w:firstLine="720"/>
        <w:jc w:val="both"/>
        <w:rPr>
          <w:rFonts w:ascii="Trebuchet MS" w:hAnsi="Trebuchet MS" w:cs="Bookman Old Style"/>
        </w:rPr>
      </w:pPr>
    </w:p>
    <w:p w:rsidR="00E267D1" w:rsidRPr="00751D14" w:rsidRDefault="0035151F" w:rsidP="00E267D1">
      <w:pPr>
        <w:pStyle w:val="Corpodetexto"/>
        <w:spacing w:line="360" w:lineRule="auto"/>
        <w:rPr>
          <w:rFonts w:ascii="Trebuchet MS" w:hAnsi="Trebuchet MS"/>
        </w:rPr>
      </w:pPr>
      <w:r>
        <w:rPr>
          <w:rFonts w:ascii="Trebuchet MS" w:hAnsi="Trebuchet MS"/>
          <w:noProof/>
        </w:rPr>
        <w:lastRenderedPageBreak/>
        <w:pict>
          <v:group id="_x0000_s3087" style="position:absolute;left:0;text-align:left;margin-left:-1.15pt;margin-top:2.45pt;width:426.9pt;height:30.65pt;z-index:251664896" coordorigin="1678,3480" coordsize="8538,472">
            <v:shape id="_x0000_s3088" type="#_x0000_t202" style="position:absolute;left:1678;top:3480;width:8538;height:454" fillcolor="#669" stroked="f" strokecolor="#669" strokeweight="1pt">
              <v:fill opacity="46531f" color2="#ccdaec" o:opacity2="54395f" rotate="t" focusposition=".5,.5" focussize="" focus="100%" type="gradient"/>
              <v:textbox style="mso-next-textbox:#_x0000_s3088" inset=",0,,0">
                <w:txbxContent>
                  <w:p w:rsidR="00046EA7" w:rsidRPr="00AA2E04" w:rsidRDefault="00046EA7" w:rsidP="00AA2E04">
                    <w:pPr>
                      <w:autoSpaceDE w:val="0"/>
                      <w:autoSpaceDN w:val="0"/>
                      <w:adjustRightInd w:val="0"/>
                      <w:spacing w:before="60"/>
                      <w:ind w:left="-142"/>
                      <w:jc w:val="both"/>
                      <w:rPr>
                        <w:rFonts w:ascii="Trebuchet MS" w:hAnsi="Trebuchet MS" w:cs="Bookman Old Style"/>
                        <w:b/>
                        <w:i/>
                        <w:shadow/>
                        <w:color w:val="333399"/>
                        <w:sz w:val="44"/>
                        <w:szCs w:val="28"/>
                        <w:lang w:val="pt-BR"/>
                      </w:rPr>
                    </w:pPr>
                    <w:r w:rsidRPr="00AA2E04">
                      <w:rPr>
                        <w:rFonts w:ascii="Trebuchet MS" w:hAnsi="Trebuchet MS"/>
                        <w:b/>
                        <w:i/>
                        <w:shadow/>
                        <w:color w:val="333399"/>
                        <w:sz w:val="44"/>
                        <w:szCs w:val="28"/>
                        <w:lang w:val="pt-BR"/>
                      </w:rPr>
                      <w:t>6. Referências Bibliográficas</w:t>
                    </w:r>
                  </w:p>
                  <w:p w:rsidR="00046EA7" w:rsidRPr="00C52C26" w:rsidRDefault="00046EA7" w:rsidP="00E267D1">
                    <w:pPr>
                      <w:rPr>
                        <w:rFonts w:ascii="Candara" w:hAnsi="Candara"/>
                      </w:rPr>
                    </w:pPr>
                  </w:p>
                </w:txbxContent>
              </v:textbox>
            </v:shape>
            <v:shape id="_x0000_s3089" type="#_x0000_t32" style="position:absolute;left:1678;top:3952;width:8538;height:0" o:connectortype="straight" strokecolor="#339" strokeweight="1.5pt"/>
          </v:group>
        </w:pict>
      </w:r>
    </w:p>
    <w:p w:rsidR="00C6040C" w:rsidRPr="00751D14" w:rsidRDefault="00C6040C" w:rsidP="00D91CD8">
      <w:pPr>
        <w:jc w:val="both"/>
        <w:rPr>
          <w:rFonts w:ascii="Trebuchet MS" w:hAnsi="Trebuchet MS"/>
        </w:rPr>
      </w:pPr>
    </w:p>
    <w:p w:rsidR="00C6040C" w:rsidRPr="00751D14" w:rsidRDefault="00C6040C" w:rsidP="00D91CD8">
      <w:pPr>
        <w:jc w:val="both"/>
        <w:rPr>
          <w:rFonts w:ascii="Trebuchet MS" w:hAnsi="Trebuchet MS"/>
        </w:rPr>
      </w:pPr>
    </w:p>
    <w:tbl>
      <w:tblPr>
        <w:tblStyle w:val="Tabelacomgrelha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21"/>
      </w:tblGrid>
      <w:tr w:rsidR="00AF6EFC" w:rsidRPr="00AA2E04" w:rsidTr="00C14921">
        <w:tc>
          <w:tcPr>
            <w:tcW w:w="5000" w:type="pct"/>
            <w:vAlign w:val="center"/>
          </w:tcPr>
          <w:p w:rsidR="001B1530" w:rsidRDefault="001B1530"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Atochin, D. N., Clark, J., Demchenko, I. T., Moskowitz, M. A. and Huang, P. L. (2002). </w:t>
            </w:r>
            <w:r w:rsidRPr="00AA2E04">
              <w:rPr>
                <w:rFonts w:ascii="Trebuchet MS" w:hAnsi="Trebuchet MS"/>
                <w:bCs/>
                <w:sz w:val="20"/>
                <w:szCs w:val="20"/>
                <w:lang w:val="en-US"/>
              </w:rPr>
              <w:t xml:space="preserve">Rapid Cerebral Ischemic Preconditioning in Mice Deficient in Endothelial and Neuronal Nitric Oxide Synthases. </w:t>
            </w:r>
            <w:r w:rsidRPr="00AA2E04">
              <w:rPr>
                <w:rFonts w:ascii="Trebuchet MS" w:hAnsi="Trebuchet MS"/>
                <w:bCs/>
                <w:i/>
                <w:iCs/>
                <w:sz w:val="20"/>
                <w:szCs w:val="20"/>
                <w:lang w:val="en-US"/>
              </w:rPr>
              <w:t>Stroke</w:t>
            </w:r>
            <w:r w:rsidRPr="00AA2E04">
              <w:rPr>
                <w:rFonts w:ascii="Trebuchet MS" w:hAnsi="Trebuchet MS"/>
                <w:bCs/>
                <w:iCs/>
                <w:sz w:val="20"/>
                <w:szCs w:val="20"/>
                <w:lang w:val="en-US"/>
              </w:rPr>
              <w:t xml:space="preserve">, Volume </w:t>
            </w:r>
            <w:r w:rsidRPr="00AA2E04">
              <w:rPr>
                <w:rFonts w:ascii="Trebuchet MS" w:hAnsi="Trebuchet MS"/>
                <w:b/>
                <w:bCs/>
                <w:sz w:val="20"/>
                <w:szCs w:val="20"/>
                <w:lang w:val="en-US"/>
              </w:rPr>
              <w:t>34</w:t>
            </w:r>
            <w:r w:rsidRPr="00AA2E04">
              <w:rPr>
                <w:rFonts w:ascii="Trebuchet MS" w:hAnsi="Trebuchet MS"/>
                <w:bCs/>
                <w:sz w:val="20"/>
                <w:szCs w:val="20"/>
                <w:lang w:val="en-US"/>
              </w:rPr>
              <w:t>: 1299-1303.</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Auchampach, J. A. and Gross, G. J. (1993). Adenosine A1 receptors, K</w:t>
            </w:r>
            <w:r w:rsidRPr="00AA2E04">
              <w:rPr>
                <w:rFonts w:ascii="Trebuchet MS" w:hAnsi="Trebuchet MS"/>
                <w:sz w:val="20"/>
                <w:szCs w:val="20"/>
                <w:vertAlign w:val="superscript"/>
                <w:lang w:val="en-US"/>
              </w:rPr>
              <w:t>+</w:t>
            </w:r>
            <w:r w:rsidRPr="00AA2E04">
              <w:rPr>
                <w:rFonts w:ascii="Trebuchet MS" w:hAnsi="Trebuchet MS"/>
                <w:sz w:val="20"/>
                <w:szCs w:val="20"/>
                <w:vertAlign w:val="subscript"/>
                <w:lang w:val="en-US"/>
              </w:rPr>
              <w:t>ATP</w:t>
            </w:r>
            <w:r w:rsidRPr="00AA2E04">
              <w:rPr>
                <w:rFonts w:ascii="Trebuchet MS" w:hAnsi="Trebuchet MS"/>
                <w:sz w:val="20"/>
                <w:szCs w:val="20"/>
                <w:lang w:val="en-US"/>
              </w:rPr>
              <w:t xml:space="preserve"> channels, and ischemic preconditioning in dogs. </w:t>
            </w:r>
            <w:r w:rsidRPr="00AA2E04">
              <w:rPr>
                <w:rFonts w:ascii="Trebuchet MS" w:hAnsi="Trebuchet MS"/>
                <w:i/>
                <w:iCs/>
                <w:sz w:val="20"/>
                <w:szCs w:val="20"/>
                <w:lang w:val="en-US"/>
              </w:rPr>
              <w:t>Am. J Physiol.</w:t>
            </w:r>
            <w:r w:rsidRPr="00AA2E04">
              <w:rPr>
                <w:rFonts w:ascii="Trebuchet MS" w:hAnsi="Trebuchet MS"/>
                <w:iCs/>
                <w:sz w:val="20"/>
                <w:szCs w:val="20"/>
                <w:lang w:val="en-US"/>
              </w:rPr>
              <w:t xml:space="preserve">, Volume </w:t>
            </w:r>
            <w:r w:rsidRPr="00AA2E04">
              <w:rPr>
                <w:rFonts w:ascii="Trebuchet MS" w:hAnsi="Trebuchet MS"/>
                <w:b/>
                <w:sz w:val="20"/>
                <w:szCs w:val="20"/>
                <w:lang w:val="en-US"/>
              </w:rPr>
              <w:t>264</w:t>
            </w:r>
            <w:r w:rsidRPr="00AA2E04">
              <w:rPr>
                <w:rFonts w:ascii="Trebuchet MS" w:hAnsi="Trebuchet MS"/>
                <w:sz w:val="20"/>
                <w:szCs w:val="20"/>
                <w:lang w:val="en-US"/>
              </w:rPr>
              <w:t>: H1327-H1336.</w:t>
            </w:r>
          </w:p>
        </w:tc>
      </w:tr>
      <w:tr w:rsidR="00AF6EFC" w:rsidRPr="00AA2E04" w:rsidTr="00C14921">
        <w:tc>
          <w:tcPr>
            <w:tcW w:w="5000" w:type="pct"/>
            <w:vAlign w:val="center"/>
          </w:tcPr>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bCs/>
                <w:sz w:val="20"/>
                <w:szCs w:val="20"/>
                <w:lang w:val="en-US"/>
              </w:rPr>
            </w:pPr>
            <w:r w:rsidRPr="00AA2E04">
              <w:rPr>
                <w:rFonts w:ascii="Trebuchet MS" w:hAnsi="Trebuchet MS"/>
                <w:sz w:val="20"/>
                <w:szCs w:val="20"/>
                <w:lang w:val="en-US"/>
              </w:rPr>
              <w:t xml:space="preserve">Bederson, J. B., Pitts, L.H., Germano, S. M., Nishimura, M. C., Davis, R. L. and Bartkowski, H. M: (1986). </w:t>
            </w:r>
            <w:r w:rsidRPr="00AA2E04">
              <w:rPr>
                <w:rFonts w:ascii="Trebuchet MS" w:hAnsi="Trebuchet MS"/>
                <w:bCs/>
                <w:sz w:val="20"/>
                <w:szCs w:val="20"/>
                <w:lang w:val="en-US"/>
              </w:rPr>
              <w:t>Evaluation of 2</w:t>
            </w:r>
            <w:proofErr w:type="gramStart"/>
            <w:r w:rsidRPr="00AA2E04">
              <w:rPr>
                <w:rFonts w:ascii="Trebuchet MS" w:hAnsi="Trebuchet MS"/>
                <w:bCs/>
                <w:sz w:val="20"/>
                <w:szCs w:val="20"/>
                <w:lang w:val="en-US"/>
              </w:rPr>
              <w:t>,3,5</w:t>
            </w:r>
            <w:proofErr w:type="gramEnd"/>
            <w:r w:rsidRPr="00AA2E04">
              <w:rPr>
                <w:rFonts w:ascii="Trebuchet MS" w:hAnsi="Trebuchet MS"/>
                <w:bCs/>
                <w:sz w:val="20"/>
                <w:szCs w:val="20"/>
                <w:lang w:val="en-US"/>
              </w:rPr>
              <w:t>-triphenyltetrazolium chloride as a stain for detection and qua</w:t>
            </w:r>
            <w:r w:rsidRPr="00AA2E04">
              <w:rPr>
                <w:rFonts w:ascii="Trebuchet MS" w:hAnsi="Trebuchet MS"/>
                <w:bCs/>
                <w:sz w:val="20"/>
                <w:szCs w:val="20"/>
                <w:lang w:val="en-US"/>
              </w:rPr>
              <w:t>n</w:t>
            </w:r>
            <w:r w:rsidRPr="00AA2E04">
              <w:rPr>
                <w:rFonts w:ascii="Trebuchet MS" w:hAnsi="Trebuchet MS"/>
                <w:bCs/>
                <w:sz w:val="20"/>
                <w:szCs w:val="20"/>
                <w:lang w:val="en-US"/>
              </w:rPr>
              <w:t xml:space="preserve">tification of experimental cerebral infarction in rats. </w:t>
            </w:r>
            <w:r w:rsidRPr="00AA2E04">
              <w:rPr>
                <w:rFonts w:ascii="Trebuchet MS" w:hAnsi="Trebuchet MS"/>
                <w:i/>
                <w:iCs/>
                <w:sz w:val="20"/>
                <w:szCs w:val="20"/>
                <w:lang w:val="en-US"/>
              </w:rPr>
              <w:t>Stroke.</w:t>
            </w:r>
            <w:r w:rsidRPr="00AA2E04">
              <w:rPr>
                <w:rFonts w:ascii="Trebuchet MS" w:hAnsi="Trebuchet MS"/>
                <w:iCs/>
                <w:sz w:val="20"/>
                <w:szCs w:val="20"/>
                <w:lang w:val="en-US"/>
              </w:rPr>
              <w:t xml:space="preserve"> </w:t>
            </w:r>
            <w:r w:rsidRPr="00AA2E04">
              <w:rPr>
                <w:rFonts w:ascii="Trebuchet MS" w:hAnsi="Trebuchet MS"/>
                <w:b/>
                <w:sz w:val="20"/>
                <w:szCs w:val="20"/>
                <w:lang w:val="en-US"/>
              </w:rPr>
              <w:t>17</w:t>
            </w:r>
            <w:r w:rsidRPr="00AA2E04">
              <w:rPr>
                <w:rFonts w:ascii="Trebuchet MS" w:hAnsi="Trebuchet MS"/>
                <w:sz w:val="20"/>
                <w:szCs w:val="20"/>
                <w:lang w:val="en-US"/>
              </w:rPr>
              <w:t>:1304-1308.</w:t>
            </w:r>
          </w:p>
          <w:p w:rsidR="00AF6EFC" w:rsidRPr="00AA2E04" w:rsidRDefault="00AF6EFC" w:rsidP="00C14921">
            <w:pPr>
              <w:jc w:val="both"/>
              <w:rPr>
                <w:rFonts w:ascii="Trebuchet MS" w:hAnsi="Trebuchet MS" w:cs="Arial"/>
                <w:sz w:val="20"/>
                <w:szCs w:val="20"/>
                <w:shd w:val="clear" w:color="auto" w:fill="FFFFFF"/>
                <w:lang w:val="en-US"/>
              </w:rPr>
            </w:pPr>
          </w:p>
          <w:p w:rsidR="00AF6EFC" w:rsidRPr="00AA2E04" w:rsidRDefault="00AF6EFC" w:rsidP="00C14921">
            <w:pPr>
              <w:jc w:val="both"/>
              <w:rPr>
                <w:rFonts w:ascii="Trebuchet MS" w:hAnsi="Trebuchet MS" w:cs="Arial"/>
                <w:sz w:val="20"/>
                <w:szCs w:val="20"/>
                <w:lang w:val="en-US"/>
              </w:rPr>
            </w:pPr>
            <w:proofErr w:type="gramStart"/>
            <w:r w:rsidRPr="00AA2E04">
              <w:rPr>
                <w:rFonts w:ascii="Trebuchet MS" w:hAnsi="Trebuchet MS" w:cs="Arial"/>
                <w:sz w:val="20"/>
                <w:szCs w:val="20"/>
                <w:shd w:val="clear" w:color="auto" w:fill="FFFFFF"/>
                <w:lang w:val="en-US"/>
              </w:rPr>
              <w:t>Behl.,</w:t>
            </w:r>
            <w:proofErr w:type="gramEnd"/>
            <w:r w:rsidRPr="00AA2E04">
              <w:rPr>
                <w:rFonts w:ascii="Trebuchet MS" w:hAnsi="Trebuchet MS" w:cs="Arial"/>
                <w:sz w:val="20"/>
                <w:szCs w:val="20"/>
                <w:shd w:val="clear" w:color="auto" w:fill="FFFFFF"/>
                <w:lang w:val="en-US"/>
              </w:rPr>
              <w:t xml:space="preserve"> C (2000). Apoptosis and Alzheimer´s disease. </w:t>
            </w:r>
            <w:r w:rsidRPr="00AA2E04">
              <w:rPr>
                <w:rFonts w:ascii="Trebuchet MS" w:hAnsi="Trebuchet MS" w:cs="Arial"/>
                <w:i/>
                <w:sz w:val="20"/>
                <w:szCs w:val="20"/>
                <w:shd w:val="clear" w:color="auto" w:fill="FFFFFF"/>
                <w:lang w:val="en-US"/>
              </w:rPr>
              <w:t>J Neural Trans.</w:t>
            </w:r>
            <w:r w:rsidRPr="00AA2E04">
              <w:rPr>
                <w:rFonts w:ascii="Trebuchet MS" w:hAnsi="Trebuchet MS" w:cs="Arial"/>
                <w:sz w:val="20"/>
                <w:szCs w:val="20"/>
                <w:shd w:val="clear" w:color="auto" w:fill="FFFFFF"/>
                <w:lang w:val="en-US"/>
              </w:rPr>
              <w:t xml:space="preserve"> </w:t>
            </w:r>
            <w:r w:rsidRPr="00AA2E04">
              <w:rPr>
                <w:rFonts w:ascii="Trebuchet MS" w:hAnsi="Trebuchet MS" w:cs="Arial"/>
                <w:b/>
                <w:sz w:val="20"/>
                <w:szCs w:val="20"/>
                <w:shd w:val="clear" w:color="auto" w:fill="FFFFFF"/>
                <w:lang w:val="en-US"/>
              </w:rPr>
              <w:t>107</w:t>
            </w:r>
            <w:r w:rsidRPr="00AA2E04">
              <w:rPr>
                <w:rFonts w:ascii="Trebuchet MS" w:hAnsi="Trebuchet MS" w:cs="Arial"/>
                <w:sz w:val="20"/>
                <w:szCs w:val="20"/>
                <w:shd w:val="clear" w:color="auto" w:fill="FFFFFF"/>
                <w:lang w:val="en-US"/>
              </w:rPr>
              <w:t>: 1325 – 1344.</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Benedek, A., Móricz, K.</w:t>
            </w:r>
            <w:proofErr w:type="gramStart"/>
            <w:r w:rsidRPr="00AA2E04">
              <w:rPr>
                <w:rFonts w:ascii="Trebuchet MS" w:hAnsi="Trebuchet MS"/>
                <w:sz w:val="20"/>
                <w:szCs w:val="20"/>
                <w:lang w:val="en-US"/>
              </w:rPr>
              <w:t>,  Jurányi</w:t>
            </w:r>
            <w:proofErr w:type="gramEnd"/>
            <w:r w:rsidRPr="00AA2E04">
              <w:rPr>
                <w:rFonts w:ascii="Trebuchet MS" w:hAnsi="Trebuchet MS"/>
                <w:sz w:val="20"/>
                <w:szCs w:val="20"/>
                <w:lang w:val="en-US"/>
              </w:rPr>
              <w:t>, Z., Gigler, G.,  Lévay, G., Hársing Jr., L.G., Mátyusb, P., Szénási, G. and Albert, M. (2006). Use of TTC staining for the evaluation of tissue injury in the early phases of reperfusion after focal cerebral ischemia in rats. B</w:t>
            </w:r>
            <w:r w:rsidRPr="00AA2E04">
              <w:rPr>
                <w:rFonts w:ascii="Trebuchet MS" w:hAnsi="Trebuchet MS"/>
                <w:i/>
                <w:sz w:val="20"/>
                <w:szCs w:val="20"/>
                <w:lang w:val="en-US"/>
              </w:rPr>
              <w:t>rainResearch.</w:t>
            </w:r>
            <w:r w:rsidRPr="00AA2E04">
              <w:rPr>
                <w:rFonts w:ascii="Trebuchet MS" w:hAnsi="Trebuchet MS"/>
                <w:sz w:val="20"/>
                <w:szCs w:val="20"/>
                <w:lang w:val="en-US"/>
              </w:rPr>
              <w:t xml:space="preserve"> </w:t>
            </w:r>
            <w:r w:rsidRPr="00AA2E04">
              <w:rPr>
                <w:rFonts w:ascii="Trebuchet MS" w:hAnsi="Trebuchet MS"/>
                <w:b/>
                <w:sz w:val="20"/>
                <w:szCs w:val="20"/>
                <w:lang w:val="en-US"/>
              </w:rPr>
              <w:t>1 1 1 6</w:t>
            </w:r>
            <w:r w:rsidRPr="00AA2E04">
              <w:rPr>
                <w:rFonts w:ascii="Trebuchet MS" w:hAnsi="Trebuchet MS"/>
                <w:sz w:val="20"/>
                <w:szCs w:val="20"/>
                <w:lang w:val="en-US"/>
              </w:rPr>
              <w:t>: 1 5 9 – 1 6 5.</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Bullough, D. A., Zhang, C., Montag, A., Mullane, K. M. and Young, M. A. (1994). Adenosine-mediated Inhibition of Platelet Aggregation by Acadesine - A Novel Antithrombotic Mechanism </w:t>
            </w:r>
            <w:r w:rsidR="00194A32" w:rsidRPr="00AA2E04">
              <w:rPr>
                <w:rFonts w:ascii="Trebuchet MS" w:hAnsi="Trebuchet MS"/>
                <w:i/>
                <w:sz w:val="20"/>
                <w:szCs w:val="20"/>
                <w:lang w:val="en-US"/>
              </w:rPr>
              <w:t xml:space="preserve">In vitro </w:t>
            </w:r>
            <w:r w:rsidRPr="00AA2E04">
              <w:rPr>
                <w:rFonts w:ascii="Trebuchet MS" w:hAnsi="Trebuchet MS"/>
                <w:sz w:val="20"/>
                <w:szCs w:val="20"/>
                <w:lang w:val="en-US"/>
              </w:rPr>
              <w:t xml:space="preserve">and </w:t>
            </w:r>
            <w:r w:rsidR="00194A32" w:rsidRPr="00AA2E04">
              <w:rPr>
                <w:rFonts w:ascii="Trebuchet MS" w:hAnsi="Trebuchet MS"/>
                <w:i/>
                <w:sz w:val="20"/>
                <w:szCs w:val="20"/>
                <w:lang w:val="en-US"/>
              </w:rPr>
              <w:t xml:space="preserve">In </w:t>
            </w:r>
            <w:proofErr w:type="gramStart"/>
            <w:r w:rsidR="00194A32" w:rsidRPr="00AA2E04">
              <w:rPr>
                <w:rFonts w:ascii="Trebuchet MS" w:hAnsi="Trebuchet MS"/>
                <w:i/>
                <w:sz w:val="20"/>
                <w:szCs w:val="20"/>
                <w:lang w:val="en-US"/>
              </w:rPr>
              <w:t xml:space="preserve">vivo </w:t>
            </w:r>
            <w:r w:rsidRPr="00AA2E04">
              <w:rPr>
                <w:rFonts w:ascii="Trebuchet MS" w:hAnsi="Trebuchet MS"/>
                <w:sz w:val="20"/>
                <w:szCs w:val="20"/>
                <w:lang w:val="en-US"/>
              </w:rPr>
              <w:t>.</w:t>
            </w:r>
            <w:proofErr w:type="gramEnd"/>
            <w:r w:rsidRPr="00AA2E04">
              <w:rPr>
                <w:rFonts w:ascii="Trebuchet MS" w:hAnsi="Trebuchet MS"/>
                <w:sz w:val="20"/>
                <w:szCs w:val="20"/>
                <w:lang w:val="en-US"/>
              </w:rPr>
              <w:t xml:space="preserve"> </w:t>
            </w:r>
            <w:r w:rsidRPr="00AA2E04">
              <w:rPr>
                <w:rFonts w:ascii="Trebuchet MS" w:hAnsi="Trebuchet MS"/>
                <w:i/>
                <w:sz w:val="20"/>
                <w:szCs w:val="20"/>
                <w:lang w:val="en-US"/>
              </w:rPr>
              <w:t>The American Society for Clinical Investigation, Inc.</w:t>
            </w:r>
            <w:r w:rsidRPr="00AA2E04">
              <w:rPr>
                <w:rFonts w:ascii="Trebuchet MS" w:hAnsi="Trebuchet MS"/>
                <w:sz w:val="20"/>
                <w:szCs w:val="20"/>
                <w:lang w:val="en-US"/>
              </w:rPr>
              <w:t xml:space="preserve"> Volume </w:t>
            </w:r>
            <w:r w:rsidRPr="00AA2E04">
              <w:rPr>
                <w:rFonts w:ascii="Trebuchet MS" w:hAnsi="Trebuchet MS"/>
                <w:b/>
                <w:sz w:val="20"/>
                <w:szCs w:val="20"/>
                <w:lang w:val="en-US"/>
              </w:rPr>
              <w:t>94</w:t>
            </w:r>
            <w:r w:rsidRPr="00AA2E04">
              <w:rPr>
                <w:rFonts w:ascii="Trebuchet MS" w:hAnsi="Trebuchet MS"/>
                <w:sz w:val="20"/>
                <w:szCs w:val="20"/>
                <w:lang w:val="en-US"/>
              </w:rPr>
              <w:t>: 1524-1532.</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Busto, R., Dietrich, W.D., Globus, M.Y.-T., Ginsberg, M.D. (1989). Postischemic moderate h</w:t>
            </w:r>
            <w:r w:rsidRPr="00AA2E04">
              <w:rPr>
                <w:rFonts w:ascii="Trebuchet MS" w:hAnsi="Trebuchet MS"/>
                <w:sz w:val="20"/>
                <w:szCs w:val="20"/>
                <w:lang w:val="en-US"/>
              </w:rPr>
              <w:t>y</w:t>
            </w:r>
            <w:r w:rsidRPr="00AA2E04">
              <w:rPr>
                <w:rFonts w:ascii="Trebuchet MS" w:hAnsi="Trebuchet MS"/>
                <w:sz w:val="20"/>
                <w:szCs w:val="20"/>
                <w:lang w:val="en-US"/>
              </w:rPr>
              <w:t xml:space="preserve">pothermia inhibits CA1 hippocampal ischemic neuronal injury. </w:t>
            </w:r>
            <w:r w:rsidRPr="00AA2E04">
              <w:rPr>
                <w:rFonts w:ascii="Trebuchet MS" w:hAnsi="Trebuchet MS"/>
                <w:i/>
                <w:iCs/>
                <w:sz w:val="20"/>
                <w:szCs w:val="20"/>
                <w:lang w:val="en-US"/>
              </w:rPr>
              <w:t xml:space="preserve">Neurosci Lett. </w:t>
            </w:r>
            <w:r w:rsidRPr="00AA2E04">
              <w:rPr>
                <w:rFonts w:ascii="Trebuchet MS" w:hAnsi="Trebuchet MS"/>
                <w:b/>
                <w:sz w:val="20"/>
                <w:szCs w:val="20"/>
                <w:lang w:val="en-US"/>
              </w:rPr>
              <w:t>101</w:t>
            </w:r>
            <w:r w:rsidRPr="00AA2E04">
              <w:rPr>
                <w:rFonts w:ascii="Trebuchet MS" w:hAnsi="Trebuchet MS"/>
                <w:sz w:val="20"/>
                <w:szCs w:val="20"/>
                <w:lang w:val="en-US"/>
              </w:rPr>
              <w:t>:299-304.</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Busto, R., Dietrich, W.D., Globus, M.Y.-T., Valdes, I., Scheinberg, P., Ginsberg, M.D. (1987). Small differences in intraischemic brain temperature critically determine the extent of ischemic neuronal injury. </w:t>
            </w:r>
            <w:r w:rsidRPr="00AA2E04">
              <w:rPr>
                <w:rFonts w:ascii="Trebuchet MS" w:hAnsi="Trebuchet MS"/>
                <w:i/>
                <w:sz w:val="20"/>
                <w:szCs w:val="20"/>
                <w:lang w:val="en-US"/>
              </w:rPr>
              <w:t>J Cereb Blood Flow Metab</w:t>
            </w:r>
            <w:r w:rsidRPr="00AA2E04">
              <w:rPr>
                <w:rFonts w:ascii="Trebuchet MS" w:hAnsi="Trebuchet MS"/>
                <w:sz w:val="20"/>
                <w:szCs w:val="20"/>
                <w:lang w:val="en-US"/>
              </w:rPr>
              <w:t xml:space="preserve">. </w:t>
            </w:r>
            <w:r w:rsidRPr="00AA2E04">
              <w:rPr>
                <w:rFonts w:ascii="Trebuchet MS" w:hAnsi="Trebuchet MS"/>
                <w:b/>
                <w:sz w:val="20"/>
                <w:szCs w:val="20"/>
                <w:lang w:val="en-US"/>
              </w:rPr>
              <w:t>7</w:t>
            </w:r>
            <w:r w:rsidRPr="00AA2E04">
              <w:rPr>
                <w:rFonts w:ascii="Trebuchet MS" w:hAnsi="Trebuchet MS"/>
                <w:sz w:val="20"/>
                <w:szCs w:val="20"/>
                <w:lang w:val="en-US"/>
              </w:rPr>
              <w:t>:729-738.</w:t>
            </w:r>
          </w:p>
          <w:p w:rsidR="00B75287" w:rsidRPr="00AA2E04" w:rsidRDefault="00B75287"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color w:val="000000"/>
                <w:sz w:val="20"/>
                <w:szCs w:val="20"/>
                <w:lang w:val="en-US"/>
              </w:rPr>
              <w:t>Büyükuysal, R. L. (2005). Protein S100B release from rat brain slices during and after isch</w:t>
            </w:r>
            <w:r w:rsidRPr="00AA2E04">
              <w:rPr>
                <w:rFonts w:ascii="Trebuchet MS" w:hAnsi="Trebuchet MS"/>
                <w:color w:val="000000"/>
                <w:sz w:val="20"/>
                <w:szCs w:val="20"/>
                <w:lang w:val="en-US"/>
              </w:rPr>
              <w:t>e</w:t>
            </w:r>
            <w:r w:rsidRPr="00AA2E04">
              <w:rPr>
                <w:rFonts w:ascii="Trebuchet MS" w:hAnsi="Trebuchet MS"/>
                <w:color w:val="000000"/>
                <w:sz w:val="20"/>
                <w:szCs w:val="20"/>
                <w:lang w:val="en-US"/>
              </w:rPr>
              <w:t xml:space="preserve">mia: Comparison with lactate dehydrogenase leakage. </w:t>
            </w:r>
            <w:r w:rsidRPr="00AA2E04">
              <w:rPr>
                <w:rFonts w:ascii="Trebuchet MS" w:hAnsi="Trebuchet MS"/>
                <w:i/>
                <w:color w:val="000000"/>
                <w:sz w:val="20"/>
                <w:szCs w:val="20"/>
                <w:lang w:val="en-US"/>
              </w:rPr>
              <w:t xml:space="preserve">Neurochemistry International. </w:t>
            </w:r>
            <w:r w:rsidRPr="00AA2E04">
              <w:rPr>
                <w:rFonts w:ascii="Trebuchet MS" w:hAnsi="Trebuchet MS"/>
                <w:b/>
                <w:color w:val="000000"/>
                <w:sz w:val="20"/>
                <w:szCs w:val="20"/>
                <w:lang w:val="en-US"/>
              </w:rPr>
              <w:t>47</w:t>
            </w:r>
            <w:r w:rsidRPr="00AA2E04">
              <w:rPr>
                <w:rFonts w:ascii="Trebuchet MS" w:hAnsi="Trebuchet MS"/>
                <w:color w:val="000000"/>
                <w:sz w:val="20"/>
                <w:szCs w:val="20"/>
                <w:lang w:val="en-US"/>
              </w:rPr>
              <w:t>: 580–588.</w:t>
            </w:r>
          </w:p>
        </w:tc>
      </w:tr>
      <w:tr w:rsidR="001C7842" w:rsidRPr="00AA2E04" w:rsidTr="00C14921">
        <w:tc>
          <w:tcPr>
            <w:tcW w:w="5000" w:type="pct"/>
            <w:vAlign w:val="center"/>
          </w:tcPr>
          <w:p w:rsidR="001C7842" w:rsidRPr="00AA2E04" w:rsidRDefault="001C7842"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1C7842" w:rsidP="00C14921">
            <w:pPr>
              <w:jc w:val="both"/>
              <w:rPr>
                <w:rFonts w:ascii="Trebuchet MS" w:hAnsi="Trebuchet MS"/>
                <w:bCs/>
                <w:sz w:val="20"/>
                <w:szCs w:val="20"/>
                <w:lang w:val="en-US"/>
              </w:rPr>
            </w:pPr>
            <w:r w:rsidRPr="00AA2E04">
              <w:rPr>
                <w:rFonts w:ascii="Trebuchet MS" w:hAnsi="Trebuchet MS"/>
                <w:sz w:val="20"/>
                <w:szCs w:val="20"/>
              </w:rPr>
              <w:t xml:space="preserve">Cascalheira, J. F., Sebastião, A.M. and Ribeiro, J.A. (2002). </w:t>
            </w:r>
            <w:r w:rsidRPr="00AA2E04">
              <w:rPr>
                <w:rFonts w:ascii="Trebuchet MS" w:hAnsi="Trebuchet MS"/>
                <w:bCs/>
                <w:sz w:val="20"/>
                <w:szCs w:val="20"/>
                <w:lang w:val="en-US"/>
              </w:rPr>
              <w:t>Pertussis Toxin-Sensitive G Pr</w:t>
            </w:r>
            <w:r w:rsidRPr="00AA2E04">
              <w:rPr>
                <w:rFonts w:ascii="Trebuchet MS" w:hAnsi="Trebuchet MS"/>
                <w:bCs/>
                <w:sz w:val="20"/>
                <w:szCs w:val="20"/>
                <w:lang w:val="en-US"/>
              </w:rPr>
              <w:t>o</w:t>
            </w:r>
            <w:r w:rsidRPr="00AA2E04">
              <w:rPr>
                <w:rFonts w:ascii="Trebuchet MS" w:hAnsi="Trebuchet MS"/>
                <w:bCs/>
                <w:sz w:val="20"/>
                <w:szCs w:val="20"/>
                <w:lang w:val="en-US"/>
              </w:rPr>
              <w:t xml:space="preserve">teins Mediate the Inhibition of Basal Phosphoinositide Metabolism Caused by Adenosine A1 Receptors in Rat Hippocampal Slices. </w:t>
            </w:r>
            <w:r w:rsidRPr="00AA2E04">
              <w:rPr>
                <w:rFonts w:ascii="Trebuchet MS" w:hAnsi="Trebuchet MS"/>
                <w:i/>
                <w:iCs/>
                <w:sz w:val="20"/>
                <w:szCs w:val="20"/>
                <w:lang w:val="en-US" w:eastAsia="pt-PT"/>
              </w:rPr>
              <w:t xml:space="preserve">Neurochemical Research. </w:t>
            </w:r>
            <w:r w:rsidRPr="00AA2E04">
              <w:rPr>
                <w:rFonts w:ascii="Trebuchet MS" w:hAnsi="Trebuchet MS"/>
                <w:iCs/>
                <w:sz w:val="20"/>
                <w:szCs w:val="20"/>
                <w:lang w:val="en-US" w:eastAsia="pt-PT"/>
              </w:rPr>
              <w:t xml:space="preserve">Vol. </w:t>
            </w:r>
            <w:r w:rsidRPr="00AA2E04">
              <w:rPr>
                <w:rFonts w:ascii="Trebuchet MS" w:hAnsi="Trebuchet MS"/>
                <w:b/>
                <w:iCs/>
                <w:sz w:val="20"/>
                <w:szCs w:val="20"/>
                <w:lang w:val="en-US" w:eastAsia="pt-PT"/>
              </w:rPr>
              <w:t>27</w:t>
            </w:r>
            <w:r w:rsidRPr="00AA2E04">
              <w:rPr>
                <w:rFonts w:ascii="Trebuchet MS" w:hAnsi="Trebuchet MS"/>
                <w:iCs/>
                <w:sz w:val="20"/>
                <w:szCs w:val="20"/>
                <w:lang w:val="en-US" w:eastAsia="pt-PT"/>
              </w:rPr>
              <w:t>, Nº 12, pp. 1707–1711.</w:t>
            </w:r>
          </w:p>
          <w:p w:rsidR="001C7842" w:rsidRPr="00AA2E04" w:rsidRDefault="001C7842"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Centeno, J. M., Orti, M., Salom, J. B., Sick T. J. and Pérez-Pinzón, M. A. (1999). Nitric oxide is involved in anoxic preconditioning neuroprotection in rat hippocampal slices. </w:t>
            </w:r>
            <w:r w:rsidRPr="00AA2E04">
              <w:rPr>
                <w:rFonts w:ascii="Trebuchet MS" w:hAnsi="Trebuchet MS"/>
                <w:i/>
                <w:sz w:val="20"/>
                <w:szCs w:val="20"/>
                <w:lang w:val="en-US"/>
              </w:rPr>
              <w:t>Brain R</w:t>
            </w:r>
            <w:r w:rsidRPr="00AA2E04">
              <w:rPr>
                <w:rFonts w:ascii="Trebuchet MS" w:hAnsi="Trebuchet MS"/>
                <w:i/>
                <w:sz w:val="20"/>
                <w:szCs w:val="20"/>
                <w:lang w:val="en-US"/>
              </w:rPr>
              <w:t>e</w:t>
            </w:r>
            <w:r w:rsidRPr="00AA2E04">
              <w:rPr>
                <w:rFonts w:ascii="Trebuchet MS" w:hAnsi="Trebuchet MS"/>
                <w:i/>
                <w:sz w:val="20"/>
                <w:szCs w:val="20"/>
                <w:lang w:val="en-US"/>
              </w:rPr>
              <w:t>search.</w:t>
            </w:r>
            <w:r w:rsidRPr="00AA2E04">
              <w:rPr>
                <w:rFonts w:ascii="Trebuchet MS" w:hAnsi="Trebuchet MS"/>
                <w:sz w:val="20"/>
                <w:szCs w:val="20"/>
                <w:lang w:val="en-US"/>
              </w:rPr>
              <w:t xml:space="preserve"> </w:t>
            </w:r>
            <w:r w:rsidRPr="00AA2E04">
              <w:rPr>
                <w:rFonts w:ascii="Trebuchet MS" w:hAnsi="Trebuchet MS"/>
                <w:b/>
                <w:sz w:val="20"/>
                <w:szCs w:val="20"/>
                <w:lang w:val="en-US"/>
              </w:rPr>
              <w:t>836</w:t>
            </w:r>
            <w:r w:rsidRPr="00AA2E04">
              <w:rPr>
                <w:rFonts w:ascii="Trebuchet MS" w:hAnsi="Trebuchet MS"/>
                <w:sz w:val="20"/>
                <w:szCs w:val="20"/>
                <w:lang w:val="en-US"/>
              </w:rPr>
              <w:t>: 62–69.</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cs="MyriadMM-Light"/>
                <w:sz w:val="20"/>
                <w:szCs w:val="20"/>
                <w:lang w:val="en-US"/>
              </w:rPr>
            </w:pPr>
            <w:r w:rsidRPr="00AA2E04">
              <w:rPr>
                <w:rFonts w:ascii="Trebuchet MS" w:hAnsi="Trebuchet MS" w:cs="MyriadMM-SemiBold"/>
                <w:bCs/>
                <w:sz w:val="20"/>
                <w:szCs w:val="20"/>
                <w:lang w:val="en-US"/>
              </w:rPr>
              <w:t>Chong, Y.H., Shin, Y.J., Lee, E.O., Kayed, R., Glabe, C.G. and Tenner, A.J. (2006). ERK1/2 Activation Mediates A</w:t>
            </w:r>
            <w:r w:rsidRPr="00AA2E04">
              <w:rPr>
                <w:rFonts w:ascii="Trebuchet MS" w:hAnsi="Trebuchet MS" w:cs="MathematicalPi-Four"/>
                <w:sz w:val="20"/>
                <w:szCs w:val="20"/>
                <w:lang w:val="en-US"/>
              </w:rPr>
              <w:t xml:space="preserve">β </w:t>
            </w:r>
            <w:r w:rsidRPr="00AA2E04">
              <w:rPr>
                <w:rFonts w:ascii="Trebuchet MS" w:hAnsi="Trebuchet MS" w:cs="MyriadMM-SemiBold"/>
                <w:bCs/>
                <w:sz w:val="20"/>
                <w:szCs w:val="20"/>
                <w:lang w:val="en-US"/>
              </w:rPr>
              <w:t xml:space="preserve">Oligomer-induced Neurotoxicity via Caspase-3 Activation and Tau Cleavage in Rat Organotypic Hippocampal Slice Cultures. </w:t>
            </w:r>
            <w:r w:rsidRPr="00AA2E04">
              <w:rPr>
                <w:rFonts w:ascii="Trebuchet MS" w:hAnsi="Trebuchet MS" w:cs="MyriadMM-SemiBold"/>
                <w:bCs/>
                <w:i/>
                <w:sz w:val="20"/>
                <w:szCs w:val="20"/>
                <w:lang w:val="en-US"/>
              </w:rPr>
              <w:t xml:space="preserve">The Journal of Biological Chemistry. </w:t>
            </w:r>
            <w:r w:rsidRPr="00AA2E04">
              <w:rPr>
                <w:rFonts w:ascii="Trebuchet MS" w:hAnsi="Trebuchet MS" w:cs="MyriadMM-SemiBold"/>
                <w:bCs/>
                <w:sz w:val="20"/>
                <w:szCs w:val="20"/>
                <w:lang w:val="en-US"/>
              </w:rPr>
              <w:t>Vol</w:t>
            </w:r>
            <w:r w:rsidRPr="00AA2E04">
              <w:rPr>
                <w:rFonts w:ascii="Trebuchet MS" w:hAnsi="Trebuchet MS" w:cs="MyriadMM-Light"/>
                <w:sz w:val="20"/>
                <w:szCs w:val="20"/>
                <w:lang w:val="en-US"/>
              </w:rPr>
              <w:t xml:space="preserve">. </w:t>
            </w:r>
            <w:r w:rsidRPr="00AA2E04">
              <w:rPr>
                <w:rFonts w:ascii="Trebuchet MS" w:hAnsi="Trebuchet MS" w:cs="MyriadMM-Light"/>
                <w:b/>
                <w:sz w:val="20"/>
                <w:szCs w:val="20"/>
                <w:lang w:val="en-US"/>
              </w:rPr>
              <w:t>281</w:t>
            </w:r>
            <w:r w:rsidRPr="00AA2E04">
              <w:rPr>
                <w:rFonts w:ascii="Trebuchet MS" w:hAnsi="Trebuchet MS" w:cs="MyriadMM-Light"/>
                <w:sz w:val="20"/>
                <w:szCs w:val="20"/>
                <w:lang w:val="en-US"/>
              </w:rPr>
              <w:t>, Nº. 29: 20315–20325.</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Chopp, M., Welch, K.M., Tidwell, C.D. and Helpern, J.A. (1988). </w:t>
            </w:r>
            <w:r w:rsidRPr="00AA2E04">
              <w:rPr>
                <w:rFonts w:ascii="Trebuchet MS" w:hAnsi="Trebuchet MS"/>
                <w:bCs/>
                <w:sz w:val="20"/>
                <w:szCs w:val="20"/>
                <w:lang w:val="en-US"/>
              </w:rPr>
              <w:t>Global cerebral ischemia and intracellular pH during hyperglycemia and hypoglycemia in cats.</w:t>
            </w:r>
            <w:r w:rsidRPr="00AA2E04">
              <w:rPr>
                <w:rFonts w:ascii="Trebuchet MS" w:hAnsi="Trebuchet MS"/>
                <w:i/>
                <w:iCs/>
                <w:sz w:val="20"/>
                <w:szCs w:val="20"/>
                <w:lang w:val="en-US"/>
              </w:rPr>
              <w:t xml:space="preserve"> </w:t>
            </w:r>
            <w:r w:rsidRPr="00AA2E04">
              <w:rPr>
                <w:rFonts w:ascii="Trebuchet MS" w:hAnsi="Trebuchet MS"/>
                <w:bCs/>
                <w:i/>
                <w:iCs/>
                <w:sz w:val="20"/>
                <w:szCs w:val="20"/>
                <w:lang w:val="en-US"/>
              </w:rPr>
              <w:t xml:space="preserve">Stroke. </w:t>
            </w:r>
            <w:r w:rsidRPr="00AA2E04">
              <w:rPr>
                <w:rFonts w:ascii="Trebuchet MS" w:hAnsi="Trebuchet MS"/>
                <w:b/>
                <w:bCs/>
                <w:sz w:val="20"/>
                <w:szCs w:val="20"/>
                <w:lang w:val="en-US"/>
              </w:rPr>
              <w:t>19</w:t>
            </w:r>
            <w:r w:rsidRPr="00AA2E04">
              <w:rPr>
                <w:rFonts w:ascii="Trebuchet MS" w:hAnsi="Trebuchet MS"/>
                <w:bCs/>
                <w:sz w:val="20"/>
                <w:szCs w:val="20"/>
                <w:lang w:val="en-US"/>
              </w:rPr>
              <w:t>:1383-1387</w:t>
            </w:r>
            <w:r w:rsidRPr="00AA2E04">
              <w:rPr>
                <w:rFonts w:ascii="Trebuchet MS" w:hAnsi="Trebuchet MS"/>
                <w:b/>
                <w:bCs/>
                <w:sz w:val="20"/>
                <w:szCs w:val="20"/>
                <w:lang w:val="en-US"/>
              </w:rPr>
              <w:t>.</w:t>
            </w:r>
          </w:p>
          <w:p w:rsidR="00AF6EFC" w:rsidRPr="00AA2E04" w:rsidRDefault="00AF6EFC" w:rsidP="00C14921">
            <w:pPr>
              <w:jc w:val="both"/>
              <w:rPr>
                <w:rFonts w:ascii="Trebuchet MS" w:hAnsi="Trebuchet MS"/>
                <w:sz w:val="20"/>
                <w:szCs w:val="20"/>
                <w:lang w:val="en-US"/>
              </w:rPr>
            </w:pPr>
          </w:p>
          <w:p w:rsidR="00E52E72" w:rsidRPr="00AA2E04" w:rsidRDefault="00E52E72" w:rsidP="00C14921">
            <w:pPr>
              <w:jc w:val="both"/>
              <w:rPr>
                <w:rFonts w:ascii="Trebuchet MS" w:hAnsi="Trebuchet MS"/>
                <w:sz w:val="20"/>
                <w:szCs w:val="20"/>
              </w:rPr>
            </w:pPr>
            <w:r w:rsidRPr="00AA2E04">
              <w:rPr>
                <w:rFonts w:ascii="Trebuchet MS" w:hAnsi="Trebuchet MS"/>
                <w:sz w:val="20"/>
                <w:szCs w:val="20"/>
                <w:lang w:val="en-US"/>
              </w:rPr>
              <w:t xml:space="preserve">Cunha, A. C. (2005). Neuroprotection by adenosine in the brain: From A1 receptor activation to A2A receptor blockade. </w:t>
            </w:r>
            <w:r w:rsidRPr="00AA2E04">
              <w:rPr>
                <w:rFonts w:ascii="Trebuchet MS" w:hAnsi="Trebuchet MS"/>
                <w:i/>
                <w:sz w:val="20"/>
                <w:szCs w:val="20"/>
              </w:rPr>
              <w:t>Purinergic Signalling</w:t>
            </w:r>
            <w:r w:rsidRPr="00AA2E04">
              <w:rPr>
                <w:rFonts w:ascii="Trebuchet MS" w:hAnsi="Trebuchet MS"/>
                <w:sz w:val="20"/>
                <w:szCs w:val="20"/>
              </w:rPr>
              <w:t xml:space="preserve">. </w:t>
            </w:r>
            <w:r w:rsidRPr="00AA2E04">
              <w:rPr>
                <w:rFonts w:ascii="Trebuchet MS" w:hAnsi="Trebuchet MS"/>
                <w:b/>
                <w:sz w:val="20"/>
                <w:szCs w:val="20"/>
              </w:rPr>
              <w:t>1</w:t>
            </w:r>
            <w:r w:rsidRPr="00AA2E04">
              <w:rPr>
                <w:rFonts w:ascii="Trebuchet MS" w:hAnsi="Trebuchet MS"/>
                <w:sz w:val="20"/>
                <w:szCs w:val="20"/>
              </w:rPr>
              <w:t>: 111–</w:t>
            </w:r>
            <w:proofErr w:type="gramStart"/>
            <w:r w:rsidRPr="00AA2E04">
              <w:rPr>
                <w:rFonts w:ascii="Trebuchet MS" w:hAnsi="Trebuchet MS"/>
                <w:sz w:val="20"/>
                <w:szCs w:val="20"/>
              </w:rPr>
              <w:t>134.</w:t>
            </w:r>
            <w:proofErr w:type="gramEnd"/>
          </w:p>
          <w:p w:rsidR="00E52E72" w:rsidRPr="00AA2E04" w:rsidRDefault="00E52E72" w:rsidP="00C14921">
            <w:pPr>
              <w:jc w:val="both"/>
              <w:rPr>
                <w:rFonts w:ascii="Trebuchet MS" w:hAnsi="Trebuchet MS"/>
                <w:sz w:val="20"/>
                <w:szCs w:val="20"/>
              </w:rPr>
            </w:pPr>
          </w:p>
          <w:p w:rsidR="00AF6EFC" w:rsidRPr="00AA2E04" w:rsidRDefault="00AF6EFC" w:rsidP="00C14921">
            <w:pPr>
              <w:jc w:val="both"/>
              <w:rPr>
                <w:rFonts w:ascii="Trebuchet MS" w:hAnsi="Trebuchet MS"/>
                <w:sz w:val="20"/>
                <w:szCs w:val="20"/>
              </w:rPr>
            </w:pPr>
            <w:r w:rsidRPr="00AA2E04">
              <w:rPr>
                <w:rFonts w:ascii="Trebuchet MS" w:hAnsi="Trebuchet MS"/>
                <w:sz w:val="20"/>
                <w:szCs w:val="20"/>
              </w:rPr>
              <w:t xml:space="preserve">Cunha, R. A., Constantino, M. C., Sebastião, A. M. and Ribeiro, J. A. (1995). </w:t>
            </w:r>
            <w:r w:rsidRPr="00AA2E04">
              <w:rPr>
                <w:rFonts w:ascii="Trebuchet MS" w:hAnsi="Trebuchet MS"/>
                <w:sz w:val="20"/>
                <w:szCs w:val="20"/>
                <w:lang w:val="en-US"/>
              </w:rPr>
              <w:t xml:space="preserve">Modification of A1 and A2a adenosine receptor binding in aged striatum, hippocampus and cortex of the rat. </w:t>
            </w:r>
            <w:hyperlink r:id="rId59" w:tooltip="Neuroreport." w:history="1">
              <w:r w:rsidRPr="00AA2E04">
                <w:rPr>
                  <w:rFonts w:ascii="Trebuchet MS" w:hAnsi="Trebuchet MS"/>
                  <w:i/>
                  <w:sz w:val="20"/>
                  <w:szCs w:val="20"/>
                </w:rPr>
                <w:t>Neuroreport</w:t>
              </w:r>
              <w:r w:rsidRPr="00AA2E04">
                <w:rPr>
                  <w:rFonts w:ascii="Trebuchet MS" w:hAnsi="Trebuchet MS"/>
                  <w:sz w:val="20"/>
                  <w:szCs w:val="20"/>
                </w:rPr>
                <w:t>.</w:t>
              </w:r>
            </w:hyperlink>
            <w:r w:rsidRPr="00AA2E04">
              <w:rPr>
                <w:rFonts w:ascii="Trebuchet MS" w:hAnsi="Trebuchet MS"/>
                <w:sz w:val="20"/>
                <w:szCs w:val="20"/>
              </w:rPr>
              <w:t xml:space="preserve"> Volume </w:t>
            </w:r>
            <w:r w:rsidRPr="00AA2E04">
              <w:rPr>
                <w:rFonts w:ascii="Trebuchet MS" w:hAnsi="Trebuchet MS"/>
                <w:b/>
                <w:sz w:val="20"/>
                <w:szCs w:val="20"/>
              </w:rPr>
              <w:t>6 (11)</w:t>
            </w:r>
            <w:r w:rsidRPr="00AA2E04">
              <w:rPr>
                <w:rFonts w:ascii="Trebuchet MS" w:hAnsi="Trebuchet MS"/>
                <w:sz w:val="20"/>
                <w:szCs w:val="20"/>
              </w:rPr>
              <w:t>: 1583-8.</w:t>
            </w:r>
          </w:p>
          <w:p w:rsidR="00AF6EFC" w:rsidRPr="00AA2E04" w:rsidRDefault="00AF6EFC" w:rsidP="00C14921">
            <w:pPr>
              <w:jc w:val="both"/>
              <w:rPr>
                <w:rFonts w:ascii="Trebuchet MS" w:hAnsi="Trebuchet MS"/>
                <w:sz w:val="20"/>
                <w:szCs w:val="20"/>
              </w:rPr>
            </w:pPr>
          </w:p>
          <w:p w:rsidR="00AF6EFC" w:rsidRPr="00AA2E04" w:rsidRDefault="00AF6EFC" w:rsidP="00C14921">
            <w:pPr>
              <w:jc w:val="both"/>
              <w:rPr>
                <w:rFonts w:ascii="Trebuchet MS" w:hAnsi="Trebuchet MS"/>
                <w:sz w:val="20"/>
                <w:szCs w:val="20"/>
                <w:lang w:val="en-US"/>
              </w:rPr>
            </w:pPr>
            <w:r w:rsidRPr="00AA2E04">
              <w:rPr>
                <w:rFonts w:ascii="Trebuchet MS" w:hAnsi="Trebuchet MS" w:cs="HelveticaNeue-Bold"/>
                <w:bCs/>
                <w:sz w:val="20"/>
                <w:szCs w:val="20"/>
              </w:rPr>
              <w:t xml:space="preserve">Cunha, R. A., Sebastião, A. M. and Ribeiro, J. A. (1998). </w:t>
            </w:r>
            <w:r w:rsidRPr="00AA2E04">
              <w:rPr>
                <w:rFonts w:ascii="Trebuchet MS" w:hAnsi="Trebuchet MS"/>
                <w:bCs/>
                <w:sz w:val="20"/>
                <w:szCs w:val="20"/>
                <w:lang w:val="en-US"/>
              </w:rPr>
              <w:t xml:space="preserve">Inhibition by ATP of Hippocampal Synaptic Transmission Requires Localized Extracellular Catabolism by Ecto-Nucleotidases into Adenosine and Channeling to Adenosine A1 Receptors. </w:t>
            </w:r>
            <w:r w:rsidRPr="00AA2E04">
              <w:rPr>
                <w:rFonts w:ascii="Trebuchet MS" w:hAnsi="Trebuchet MS" w:cs="HelveticaNeue-Roman"/>
                <w:i/>
                <w:sz w:val="20"/>
                <w:szCs w:val="20"/>
                <w:lang w:val="en-US"/>
              </w:rPr>
              <w:t>The Journal of Neuroscience.</w:t>
            </w:r>
            <w:r w:rsidRPr="00AA2E04">
              <w:rPr>
                <w:rFonts w:ascii="Trebuchet MS" w:hAnsi="Trebuchet MS" w:cs="HelveticaNeue-Roman"/>
                <w:sz w:val="20"/>
                <w:szCs w:val="20"/>
                <w:lang w:val="en-US"/>
              </w:rPr>
              <w:t xml:space="preserve"> Volume </w:t>
            </w:r>
            <w:r w:rsidRPr="00AA2E04">
              <w:rPr>
                <w:rFonts w:ascii="Trebuchet MS" w:hAnsi="Trebuchet MS" w:cs="HelveticaNeue-Italic"/>
                <w:b/>
                <w:iCs/>
                <w:sz w:val="20"/>
                <w:szCs w:val="20"/>
                <w:lang w:val="en-US"/>
              </w:rPr>
              <w:t>18</w:t>
            </w:r>
            <w:r w:rsidRPr="00AA2E04">
              <w:rPr>
                <w:rFonts w:ascii="Trebuchet MS" w:hAnsi="Trebuchet MS" w:cs="HelveticaNeue-Roman"/>
                <w:b/>
                <w:sz w:val="20"/>
                <w:szCs w:val="20"/>
                <w:lang w:val="en-US"/>
              </w:rPr>
              <w:t>(6):</w:t>
            </w:r>
            <w:r w:rsidRPr="00AA2E04">
              <w:rPr>
                <w:rFonts w:ascii="Trebuchet MS" w:hAnsi="Trebuchet MS" w:cs="HelveticaNeue-Roman"/>
                <w:sz w:val="20"/>
                <w:szCs w:val="20"/>
                <w:lang w:val="en-US"/>
              </w:rPr>
              <w:t xml:space="preserve"> 1987–1995.</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autoSpaceDE w:val="0"/>
              <w:autoSpaceDN w:val="0"/>
              <w:adjustRightInd w:val="0"/>
              <w:jc w:val="both"/>
              <w:rPr>
                <w:rFonts w:ascii="Trebuchet MS" w:hAnsi="Trebuchet MS"/>
                <w:bCs/>
                <w:iCs/>
                <w:sz w:val="20"/>
                <w:szCs w:val="20"/>
                <w:lang w:val="en-US"/>
              </w:rPr>
            </w:pPr>
            <w:r w:rsidRPr="00AA2E04">
              <w:rPr>
                <w:rFonts w:ascii="Trebuchet MS" w:hAnsi="Trebuchet MS"/>
                <w:sz w:val="20"/>
                <w:szCs w:val="20"/>
                <w:lang w:val="en-US"/>
              </w:rPr>
              <w:lastRenderedPageBreak/>
              <w:t xml:space="preserve">Dahmani, S., Rouelle, D., Gressens, P. and Mantz, J. (2005). </w:t>
            </w:r>
            <w:r w:rsidRPr="00AA2E04">
              <w:rPr>
                <w:rFonts w:ascii="Trebuchet MS" w:hAnsi="Trebuchet MS"/>
                <w:bCs/>
                <w:iCs/>
                <w:sz w:val="20"/>
                <w:szCs w:val="20"/>
                <w:lang w:val="en-US"/>
              </w:rPr>
              <w:t xml:space="preserve">Effects of Dexmedetomidine on Hippocampal Focal Adhesion Kinase Tyrosine Phosphorylation in Physiologic and Ischemic Conditions. </w:t>
            </w:r>
            <w:r w:rsidRPr="00AA2E04">
              <w:rPr>
                <w:rFonts w:ascii="Trebuchet MS" w:hAnsi="Trebuchet MS"/>
                <w:bCs/>
                <w:i/>
                <w:iCs/>
                <w:sz w:val="20"/>
                <w:szCs w:val="20"/>
                <w:lang w:val="en-US"/>
              </w:rPr>
              <w:t>Anesthesiology</w:t>
            </w:r>
            <w:r w:rsidRPr="00AA2E04">
              <w:rPr>
                <w:rFonts w:ascii="Trebuchet MS" w:hAnsi="Trebuchet MS"/>
                <w:bCs/>
                <w:iCs/>
                <w:sz w:val="20"/>
                <w:szCs w:val="20"/>
                <w:lang w:val="en-US"/>
              </w:rPr>
              <w:t xml:space="preserve">. Vol. </w:t>
            </w:r>
            <w:r w:rsidRPr="00AA2E04">
              <w:rPr>
                <w:rFonts w:ascii="Trebuchet MS" w:hAnsi="Trebuchet MS"/>
                <w:b/>
                <w:bCs/>
                <w:iCs/>
                <w:sz w:val="20"/>
                <w:szCs w:val="20"/>
                <w:lang w:val="en-US"/>
              </w:rPr>
              <w:t>103</w:t>
            </w:r>
            <w:r w:rsidRPr="00AA2E04">
              <w:rPr>
                <w:rFonts w:ascii="Trebuchet MS" w:hAnsi="Trebuchet MS"/>
                <w:bCs/>
                <w:iCs/>
                <w:sz w:val="20"/>
                <w:szCs w:val="20"/>
                <w:lang w:val="en-US"/>
              </w:rPr>
              <w:t>:969–77.</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FC10E5" w:rsidP="00FC2D8F">
            <w:pPr>
              <w:shd w:val="clear" w:color="auto" w:fill="FFFFFF"/>
              <w:jc w:val="both"/>
              <w:rPr>
                <w:rFonts w:ascii="Trebuchet MS" w:hAnsi="Trebuchet MS"/>
                <w:sz w:val="20"/>
                <w:szCs w:val="20"/>
                <w:lang w:val="en-US" w:eastAsia="pt-PT"/>
              </w:rPr>
            </w:pPr>
            <w:r w:rsidRPr="00AA2E04">
              <w:rPr>
                <w:rFonts w:ascii="Trebuchet MS" w:hAnsi="Trebuchet MS" w:cs="Arial"/>
                <w:bCs/>
                <w:sz w:val="20"/>
                <w:szCs w:val="20"/>
                <w:lang w:val="en-US" w:eastAsia="pt-PT"/>
              </w:rPr>
              <w:t>Dale, N. and Frenguelli, B. G. (2009). Release of Adenosine and ATP During Ischemia and Ep</w:t>
            </w:r>
            <w:r w:rsidRPr="00AA2E04">
              <w:rPr>
                <w:rFonts w:ascii="Trebuchet MS" w:hAnsi="Trebuchet MS" w:cs="Arial"/>
                <w:bCs/>
                <w:sz w:val="20"/>
                <w:szCs w:val="20"/>
                <w:lang w:val="en-US" w:eastAsia="pt-PT"/>
              </w:rPr>
              <w:t>i</w:t>
            </w:r>
            <w:r w:rsidRPr="00AA2E04">
              <w:rPr>
                <w:rFonts w:ascii="Trebuchet MS" w:hAnsi="Trebuchet MS" w:cs="Arial"/>
                <w:bCs/>
                <w:sz w:val="20"/>
                <w:szCs w:val="20"/>
                <w:lang w:val="en-US" w:eastAsia="pt-PT"/>
              </w:rPr>
              <w:t xml:space="preserve">lepsy. </w:t>
            </w:r>
            <w:r w:rsidRPr="00AA2E04">
              <w:rPr>
                <w:rFonts w:ascii="Trebuchet MS" w:hAnsi="Trebuchet MS" w:cs="Arial"/>
                <w:bCs/>
                <w:i/>
                <w:sz w:val="20"/>
                <w:szCs w:val="20"/>
                <w:lang w:val="en-US" w:eastAsia="pt-PT"/>
              </w:rPr>
              <w:t>Current Neuropharmacology</w:t>
            </w:r>
            <w:r w:rsidRPr="00AA2E04">
              <w:rPr>
                <w:rFonts w:ascii="Trebuchet MS" w:hAnsi="Trebuchet MS" w:cs="Arial"/>
                <w:bCs/>
                <w:sz w:val="20"/>
                <w:szCs w:val="20"/>
                <w:lang w:val="en-US" w:eastAsia="pt-PT"/>
              </w:rPr>
              <w:t xml:space="preserve">. </w:t>
            </w:r>
            <w:r w:rsidRPr="00AA2E04">
              <w:rPr>
                <w:rFonts w:ascii="Trebuchet MS" w:hAnsi="Trebuchet MS" w:cs="Arial"/>
                <w:b/>
                <w:bCs/>
                <w:sz w:val="20"/>
                <w:szCs w:val="20"/>
                <w:lang w:val="en-US" w:eastAsia="pt-PT"/>
              </w:rPr>
              <w:t>7:</w:t>
            </w:r>
            <w:r w:rsidRPr="00AA2E04">
              <w:rPr>
                <w:rFonts w:ascii="Trebuchet MS" w:hAnsi="Trebuchet MS" w:cs="Arial"/>
                <w:bCs/>
                <w:sz w:val="20"/>
                <w:szCs w:val="20"/>
                <w:lang w:val="en-US" w:eastAsia="pt-PT"/>
              </w:rPr>
              <w:t xml:space="preserve"> 160-179.</w:t>
            </w:r>
          </w:p>
          <w:p w:rsidR="00AF6EFC" w:rsidRPr="00AA2E04" w:rsidRDefault="00AF6EFC" w:rsidP="00C14921">
            <w:pPr>
              <w:autoSpaceDE w:val="0"/>
              <w:autoSpaceDN w:val="0"/>
              <w:adjustRightInd w:val="0"/>
              <w:jc w:val="both"/>
              <w:rPr>
                <w:rFonts w:ascii="Trebuchet MS" w:hAnsi="Trebuchet MS"/>
                <w:sz w:val="20"/>
                <w:szCs w:val="20"/>
                <w:lang w:val="en-US"/>
              </w:rPr>
            </w:pPr>
          </w:p>
        </w:tc>
      </w:tr>
      <w:tr w:rsidR="00756EA8" w:rsidRPr="00AA2E04" w:rsidTr="00C14921">
        <w:tc>
          <w:tcPr>
            <w:tcW w:w="5000" w:type="pct"/>
            <w:vAlign w:val="center"/>
          </w:tcPr>
          <w:p w:rsidR="00FC2D8F" w:rsidRPr="00AA2E04" w:rsidRDefault="00FC2D8F" w:rsidP="00FC2D8F">
            <w:pPr>
              <w:shd w:val="clear" w:color="auto" w:fill="FFFFFF"/>
              <w:jc w:val="both"/>
              <w:rPr>
                <w:rFonts w:ascii="Trebuchet MS" w:hAnsi="Trebuchet MS"/>
                <w:i/>
                <w:vanish/>
                <w:sz w:val="20"/>
                <w:szCs w:val="20"/>
                <w:lang w:val="en-US" w:eastAsia="pt-PT"/>
              </w:rPr>
            </w:pPr>
            <w:r w:rsidRPr="00AA2E04">
              <w:rPr>
                <w:rFonts w:ascii="Trebuchet MS" w:hAnsi="Trebuchet MS" w:cs="Arial"/>
                <w:bCs/>
                <w:sz w:val="20"/>
                <w:szCs w:val="20"/>
                <w:lang w:val="en-US" w:eastAsia="pt-PT"/>
              </w:rPr>
              <w:t>Daval, J.-L., Nehling, A. and Nicolas, F. (1991). Physiological and pharmacological properties of adenosine: Therapeutic implications.</w:t>
            </w:r>
          </w:p>
          <w:p w:rsidR="00FC2D8F" w:rsidRDefault="00FC2D8F" w:rsidP="00FC2D8F">
            <w:pPr>
              <w:shd w:val="clear" w:color="auto" w:fill="FFFFFF"/>
              <w:jc w:val="both"/>
              <w:rPr>
                <w:rFonts w:ascii="Trebuchet MS" w:hAnsi="Trebuchet MS"/>
                <w:sz w:val="20"/>
                <w:szCs w:val="20"/>
                <w:lang w:val="en-US" w:eastAsia="pt-PT"/>
              </w:rPr>
            </w:pPr>
          </w:p>
          <w:p w:rsidR="00FC2D8F" w:rsidRDefault="00FC2D8F" w:rsidP="00FC2D8F">
            <w:pPr>
              <w:shd w:val="clear" w:color="auto" w:fill="FFFFFF"/>
              <w:jc w:val="both"/>
              <w:rPr>
                <w:rFonts w:ascii="Trebuchet MS" w:hAnsi="Trebuchet MS"/>
                <w:sz w:val="20"/>
                <w:szCs w:val="20"/>
                <w:lang w:val="en-US" w:eastAsia="pt-PT"/>
              </w:rPr>
            </w:pPr>
          </w:p>
          <w:p w:rsidR="00756EA8" w:rsidRDefault="00FC2D8F" w:rsidP="00FC2D8F">
            <w:pPr>
              <w:shd w:val="clear" w:color="auto" w:fill="FFFFFF"/>
              <w:jc w:val="both"/>
              <w:rPr>
                <w:rFonts w:ascii="Trebuchet MS" w:hAnsi="Trebuchet MS"/>
                <w:sz w:val="20"/>
                <w:szCs w:val="20"/>
                <w:lang w:val="en-US" w:eastAsia="pt-PT"/>
              </w:rPr>
            </w:pPr>
            <w:proofErr w:type="gramStart"/>
            <w:r>
              <w:rPr>
                <w:rFonts w:ascii="Trebuchet MS" w:hAnsi="Trebuchet MS"/>
                <w:sz w:val="20"/>
                <w:szCs w:val="20"/>
                <w:lang w:eastAsia="pt-PT"/>
              </w:rPr>
              <w:t>d</w:t>
            </w:r>
            <w:r w:rsidR="00756EA8" w:rsidRPr="00A344BD">
              <w:rPr>
                <w:rFonts w:ascii="Trebuchet MS" w:hAnsi="Trebuchet MS"/>
                <w:sz w:val="20"/>
                <w:szCs w:val="20"/>
                <w:lang w:eastAsia="pt-PT"/>
              </w:rPr>
              <w:t>e</w:t>
            </w:r>
            <w:proofErr w:type="gramEnd"/>
            <w:r w:rsidR="00756EA8" w:rsidRPr="00A344BD">
              <w:rPr>
                <w:rFonts w:ascii="Trebuchet MS" w:hAnsi="Trebuchet MS"/>
                <w:sz w:val="20"/>
                <w:szCs w:val="20"/>
                <w:lang w:eastAsia="pt-PT"/>
              </w:rPr>
              <w:t xml:space="preserve"> Jong, J.W., de Jonge, R., Keijzer, E. and Bradamante, S. (2000). </w:t>
            </w:r>
            <w:r w:rsidR="00756EA8" w:rsidRPr="00AA2E04">
              <w:rPr>
                <w:rFonts w:ascii="Trebuchet MS" w:hAnsi="Trebuchet MS"/>
                <w:sz w:val="20"/>
                <w:szCs w:val="20"/>
                <w:lang w:val="en-US" w:eastAsia="pt-PT"/>
              </w:rPr>
              <w:t xml:space="preserve">The role of adenosine in preconditioning. </w:t>
            </w:r>
            <w:r w:rsidR="00756EA8" w:rsidRPr="0016238F">
              <w:rPr>
                <w:rFonts w:ascii="Trebuchet MS" w:hAnsi="Trebuchet MS"/>
                <w:sz w:val="20"/>
                <w:szCs w:val="20"/>
                <w:lang w:val="en-US" w:eastAsia="pt-PT"/>
              </w:rPr>
              <w:t>Pharmacology &amp; Therapeutics. 87: 141–149</w:t>
            </w:r>
            <w:r>
              <w:rPr>
                <w:rFonts w:ascii="Trebuchet MS" w:hAnsi="Trebuchet MS"/>
                <w:sz w:val="20"/>
                <w:szCs w:val="20"/>
                <w:lang w:val="en-US" w:eastAsia="pt-PT"/>
              </w:rPr>
              <w:t>.</w:t>
            </w:r>
          </w:p>
          <w:p w:rsidR="00FC2D8F" w:rsidRPr="00AA2E04" w:rsidRDefault="00FC2D8F" w:rsidP="00FC2D8F">
            <w:pPr>
              <w:shd w:val="clear" w:color="auto" w:fill="FFFFFF"/>
              <w:jc w:val="both"/>
              <w:rPr>
                <w:rFonts w:ascii="Trebuchet MS" w:hAnsi="Trebuchet MS"/>
                <w:sz w:val="20"/>
                <w:szCs w:val="20"/>
                <w:lang w:val="en-US"/>
              </w:rPr>
            </w:pPr>
          </w:p>
        </w:tc>
      </w:tr>
      <w:tr w:rsidR="00756EA8" w:rsidRPr="00AA2E04" w:rsidTr="00C14921">
        <w:tc>
          <w:tcPr>
            <w:tcW w:w="5000" w:type="pct"/>
            <w:vAlign w:val="center"/>
          </w:tcPr>
          <w:p w:rsidR="00756EA8" w:rsidRPr="00AA2E04" w:rsidRDefault="00756EA8" w:rsidP="00C14921">
            <w:pPr>
              <w:autoSpaceDE w:val="0"/>
              <w:autoSpaceDN w:val="0"/>
              <w:adjustRightInd w:val="0"/>
              <w:jc w:val="both"/>
              <w:rPr>
                <w:rFonts w:ascii="Trebuchet MS" w:hAnsi="Trebuchet MS"/>
                <w:sz w:val="20"/>
                <w:szCs w:val="20"/>
                <w:lang w:val="en-US" w:eastAsia="pt-PT"/>
              </w:rPr>
            </w:pPr>
            <w:proofErr w:type="gramStart"/>
            <w:r w:rsidRPr="007F2337">
              <w:rPr>
                <w:rFonts w:ascii="Trebuchet MS" w:hAnsi="Trebuchet MS"/>
                <w:sz w:val="20"/>
                <w:szCs w:val="20"/>
                <w:lang w:eastAsia="pt-PT"/>
              </w:rPr>
              <w:t>de</w:t>
            </w:r>
            <w:proofErr w:type="gramEnd"/>
            <w:r w:rsidRPr="007F2337">
              <w:rPr>
                <w:rFonts w:ascii="Trebuchet MS" w:hAnsi="Trebuchet MS"/>
                <w:sz w:val="20"/>
                <w:szCs w:val="20"/>
                <w:lang w:eastAsia="pt-PT"/>
              </w:rPr>
              <w:t xml:space="preserve"> Mendonca, A. Sebastião, A.M. and Ribeiro, J. A. (2000). </w:t>
            </w:r>
            <w:r w:rsidRPr="00AA2E04">
              <w:rPr>
                <w:rFonts w:ascii="Trebuchet MS" w:hAnsi="Trebuchet MS"/>
                <w:sz w:val="20"/>
                <w:szCs w:val="20"/>
                <w:lang w:val="en-US" w:eastAsia="pt-PT"/>
              </w:rPr>
              <w:t>Adenosine: does it have a neur</w:t>
            </w:r>
            <w:r w:rsidRPr="00AA2E04">
              <w:rPr>
                <w:rFonts w:ascii="Trebuchet MS" w:hAnsi="Trebuchet MS"/>
                <w:sz w:val="20"/>
                <w:szCs w:val="20"/>
                <w:lang w:val="en-US" w:eastAsia="pt-PT"/>
              </w:rPr>
              <w:t>o</w:t>
            </w:r>
            <w:r w:rsidRPr="00AA2E04">
              <w:rPr>
                <w:rFonts w:ascii="Trebuchet MS" w:hAnsi="Trebuchet MS"/>
                <w:sz w:val="20"/>
                <w:szCs w:val="20"/>
                <w:lang w:val="en-US" w:eastAsia="pt-PT"/>
              </w:rPr>
              <w:t xml:space="preserve">protective role after all? </w:t>
            </w:r>
            <w:r w:rsidRPr="00AA2E04">
              <w:rPr>
                <w:rFonts w:ascii="Trebuchet MS" w:hAnsi="Trebuchet MS"/>
                <w:i/>
                <w:sz w:val="20"/>
                <w:szCs w:val="20"/>
                <w:lang w:val="en-US" w:eastAsia="pt-PT"/>
              </w:rPr>
              <w:t>Brain Research Reviews.</w:t>
            </w:r>
            <w:r w:rsidRPr="00AA2E04">
              <w:rPr>
                <w:rFonts w:ascii="Trebuchet MS" w:hAnsi="Trebuchet MS"/>
                <w:sz w:val="20"/>
                <w:szCs w:val="20"/>
                <w:lang w:val="en-US" w:eastAsia="pt-PT"/>
              </w:rPr>
              <w:t xml:space="preserve"> </w:t>
            </w:r>
            <w:r w:rsidRPr="00AA2E04">
              <w:rPr>
                <w:rFonts w:ascii="Trebuchet MS" w:hAnsi="Trebuchet MS"/>
                <w:b/>
                <w:sz w:val="20"/>
                <w:szCs w:val="20"/>
                <w:lang w:val="en-US" w:eastAsia="pt-PT"/>
              </w:rPr>
              <w:t>33:</w:t>
            </w:r>
            <w:r w:rsidRPr="00AA2E04">
              <w:rPr>
                <w:rFonts w:ascii="Trebuchet MS" w:hAnsi="Trebuchet MS"/>
                <w:sz w:val="20"/>
                <w:szCs w:val="20"/>
                <w:lang w:val="en-US" w:eastAsia="pt-PT"/>
              </w:rPr>
              <w:t>258–274.</w:t>
            </w:r>
          </w:p>
          <w:p w:rsidR="00756EA8" w:rsidRPr="00AA2E04" w:rsidRDefault="00756EA8" w:rsidP="00C14921">
            <w:pPr>
              <w:autoSpaceDE w:val="0"/>
              <w:autoSpaceDN w:val="0"/>
              <w:adjustRightInd w:val="0"/>
              <w:jc w:val="both"/>
              <w:rPr>
                <w:rFonts w:ascii="Trebuchet MS" w:hAnsi="Trebuchet MS"/>
                <w:sz w:val="20"/>
                <w:szCs w:val="20"/>
                <w:lang w:val="en-US"/>
              </w:rPr>
            </w:pPr>
          </w:p>
          <w:p w:rsidR="00756EA8" w:rsidRPr="00AA2E04" w:rsidRDefault="00756EA8"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Dietrich, W.D. (1992). The importance of brain temperature in cerebral injury. </w:t>
            </w:r>
            <w:r w:rsidRPr="00AA2E04">
              <w:rPr>
                <w:rFonts w:ascii="Trebuchet MS" w:hAnsi="Trebuchet MS"/>
                <w:i/>
                <w:sz w:val="20"/>
                <w:szCs w:val="20"/>
                <w:lang w:val="en-US"/>
              </w:rPr>
              <w:t>J Neurotra</w:t>
            </w:r>
            <w:r w:rsidRPr="00AA2E04">
              <w:rPr>
                <w:rFonts w:ascii="Trebuchet MS" w:hAnsi="Trebuchet MS"/>
                <w:i/>
                <w:sz w:val="20"/>
                <w:szCs w:val="20"/>
                <w:lang w:val="en-US"/>
              </w:rPr>
              <w:t>u</w:t>
            </w:r>
            <w:r w:rsidRPr="00AA2E04">
              <w:rPr>
                <w:rFonts w:ascii="Trebuchet MS" w:hAnsi="Trebuchet MS"/>
                <w:i/>
                <w:sz w:val="20"/>
                <w:szCs w:val="20"/>
                <w:lang w:val="en-US"/>
              </w:rPr>
              <w:t xml:space="preserve">ma. </w:t>
            </w:r>
            <w:r w:rsidRPr="00AA2E04">
              <w:rPr>
                <w:rFonts w:ascii="Trebuchet MS" w:hAnsi="Trebuchet MS"/>
                <w:b/>
                <w:sz w:val="20"/>
                <w:szCs w:val="20"/>
                <w:lang w:val="en-US"/>
              </w:rPr>
              <w:t>9</w:t>
            </w:r>
            <w:r w:rsidRPr="00AA2E04">
              <w:rPr>
                <w:rFonts w:ascii="Trebuchet MS" w:hAnsi="Trebuchet MS"/>
                <w:sz w:val="20"/>
                <w:szCs w:val="20"/>
                <w:lang w:val="en-US"/>
              </w:rPr>
              <w:t xml:space="preserve"> [Suppl 2]: 476-485.</w:t>
            </w:r>
          </w:p>
          <w:p w:rsidR="00756EA8" w:rsidRDefault="00756EA8" w:rsidP="00C14921">
            <w:pPr>
              <w:autoSpaceDE w:val="0"/>
              <w:autoSpaceDN w:val="0"/>
              <w:adjustRightInd w:val="0"/>
              <w:jc w:val="both"/>
              <w:rPr>
                <w:rFonts w:ascii="Trebuchet MS" w:hAnsi="Trebuchet MS"/>
                <w:sz w:val="20"/>
                <w:szCs w:val="20"/>
                <w:lang w:val="en-US"/>
              </w:rPr>
            </w:pPr>
          </w:p>
          <w:p w:rsidR="00756EA8" w:rsidRPr="00AA2E04" w:rsidRDefault="00756EA8"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Dietrich, W. D., Alonso, O., Busto, R., Globus, M. Y.-T. </w:t>
            </w:r>
            <w:proofErr w:type="gramStart"/>
            <w:r w:rsidRPr="00AA2E04">
              <w:rPr>
                <w:rFonts w:ascii="Trebuchet MS" w:hAnsi="Trebuchet MS"/>
                <w:sz w:val="20"/>
                <w:szCs w:val="20"/>
                <w:lang w:val="en-US"/>
              </w:rPr>
              <w:t>and</w:t>
            </w:r>
            <w:proofErr w:type="gramEnd"/>
            <w:r w:rsidRPr="00AA2E04">
              <w:rPr>
                <w:rFonts w:ascii="Trebuchet MS" w:hAnsi="Trebuchet MS"/>
                <w:sz w:val="20"/>
                <w:szCs w:val="20"/>
                <w:lang w:val="en-US"/>
              </w:rPr>
              <w:t xml:space="preserve"> Ginserberg, M.D. (1994). Post-traumatic brain hypothermia reduces histopathological damage following concussive brain injury in the rat. </w:t>
            </w:r>
            <w:r w:rsidRPr="00AA2E04">
              <w:rPr>
                <w:rFonts w:ascii="Trebuchet MS" w:hAnsi="Trebuchet MS"/>
                <w:i/>
                <w:sz w:val="20"/>
                <w:szCs w:val="20"/>
                <w:lang w:val="en-US"/>
              </w:rPr>
              <w:t>Acta Neuropathol</w:t>
            </w:r>
            <w:r w:rsidRPr="00AA2E04">
              <w:rPr>
                <w:rFonts w:ascii="Trebuchet MS" w:hAnsi="Trebuchet MS"/>
                <w:sz w:val="20"/>
                <w:szCs w:val="20"/>
                <w:lang w:val="en-US"/>
              </w:rPr>
              <w:t xml:space="preserve">. Volume </w:t>
            </w:r>
            <w:r w:rsidRPr="00AA2E04">
              <w:rPr>
                <w:rFonts w:ascii="Trebuchet MS" w:hAnsi="Trebuchet MS"/>
                <w:b/>
                <w:sz w:val="20"/>
                <w:szCs w:val="20"/>
                <w:lang w:val="en-US"/>
              </w:rPr>
              <w:t>87</w:t>
            </w:r>
            <w:r w:rsidRPr="00AA2E04">
              <w:rPr>
                <w:rFonts w:ascii="Trebuchet MS" w:hAnsi="Trebuchet MS"/>
                <w:sz w:val="20"/>
                <w:szCs w:val="20"/>
                <w:lang w:val="en-US"/>
              </w:rPr>
              <w:t>: 250-258.</w:t>
            </w:r>
          </w:p>
          <w:p w:rsidR="00756EA8" w:rsidRPr="00AA2E04" w:rsidRDefault="00756EA8" w:rsidP="00C14921">
            <w:pPr>
              <w:autoSpaceDE w:val="0"/>
              <w:autoSpaceDN w:val="0"/>
              <w:adjustRightInd w:val="0"/>
              <w:jc w:val="both"/>
              <w:rPr>
                <w:rFonts w:ascii="Trebuchet MS" w:hAnsi="Trebuchet MS"/>
                <w:sz w:val="20"/>
                <w:szCs w:val="20"/>
                <w:lang w:val="en-US"/>
              </w:rPr>
            </w:pPr>
          </w:p>
          <w:p w:rsidR="00756EA8" w:rsidRDefault="00756EA8"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Dietrich, W.D., Busto, R., Halley, M. and Valdes, I. (1990a). The importance of brain tempe</w:t>
            </w:r>
            <w:r w:rsidRPr="00AA2E04">
              <w:rPr>
                <w:rFonts w:ascii="Trebuchet MS" w:hAnsi="Trebuchet MS"/>
                <w:sz w:val="20"/>
                <w:szCs w:val="20"/>
                <w:lang w:val="en-US"/>
              </w:rPr>
              <w:t>r</w:t>
            </w:r>
            <w:r w:rsidRPr="00AA2E04">
              <w:rPr>
                <w:rFonts w:ascii="Trebuchet MS" w:hAnsi="Trebuchet MS"/>
                <w:sz w:val="20"/>
                <w:szCs w:val="20"/>
                <w:lang w:val="en-US"/>
              </w:rPr>
              <w:t xml:space="preserve">ature in alterations of the blood-brain barrier following cerebral ischemia. </w:t>
            </w:r>
            <w:r w:rsidRPr="00AA2E04">
              <w:rPr>
                <w:rFonts w:ascii="Trebuchet MS" w:hAnsi="Trebuchet MS"/>
                <w:i/>
                <w:sz w:val="20"/>
                <w:szCs w:val="20"/>
                <w:lang w:val="en-US"/>
              </w:rPr>
              <w:t xml:space="preserve">J Neuropathol Exp Neurol. </w:t>
            </w:r>
            <w:r w:rsidRPr="00AA2E04">
              <w:rPr>
                <w:rFonts w:ascii="Trebuchet MS" w:hAnsi="Trebuchet MS"/>
                <w:b/>
                <w:sz w:val="20"/>
                <w:szCs w:val="20"/>
                <w:lang w:val="en-US"/>
              </w:rPr>
              <w:t>49</w:t>
            </w:r>
            <w:r w:rsidRPr="00AA2E04">
              <w:rPr>
                <w:rFonts w:ascii="Trebuchet MS" w:hAnsi="Trebuchet MS"/>
                <w:sz w:val="20"/>
                <w:szCs w:val="20"/>
                <w:lang w:val="en-US"/>
              </w:rPr>
              <w:t>:486-497.</w:t>
            </w:r>
          </w:p>
          <w:p w:rsidR="00756EA8" w:rsidRPr="00AA2E04" w:rsidRDefault="00756EA8" w:rsidP="00C14921">
            <w:pPr>
              <w:autoSpaceDE w:val="0"/>
              <w:autoSpaceDN w:val="0"/>
              <w:adjustRightInd w:val="0"/>
              <w:jc w:val="both"/>
              <w:rPr>
                <w:rFonts w:ascii="Trebuchet MS" w:hAnsi="Trebuchet MS"/>
                <w:sz w:val="20"/>
                <w:szCs w:val="20"/>
                <w:lang w:val="en-US"/>
              </w:rPr>
            </w:pPr>
          </w:p>
          <w:p w:rsidR="00756EA8" w:rsidRPr="00AA2E04" w:rsidRDefault="00756EA8" w:rsidP="00C14921">
            <w:pPr>
              <w:autoSpaceDE w:val="0"/>
              <w:autoSpaceDN w:val="0"/>
              <w:adjustRightInd w:val="0"/>
              <w:jc w:val="both"/>
              <w:rPr>
                <w:rFonts w:ascii="Trebuchet MS" w:hAnsi="Trebuchet MS"/>
                <w:bCs/>
                <w:sz w:val="20"/>
                <w:szCs w:val="20"/>
                <w:lang w:val="en-US"/>
              </w:rPr>
            </w:pPr>
            <w:r w:rsidRPr="00AA2E04">
              <w:rPr>
                <w:rFonts w:ascii="Trebuchet MS" w:hAnsi="Trebuchet MS"/>
                <w:sz w:val="20"/>
                <w:szCs w:val="20"/>
                <w:lang w:val="en-US"/>
              </w:rPr>
              <w:t>Dietrich, W.D., Busto, R., Valdes, I. and Loor, Y. (1990b).</w:t>
            </w:r>
            <w:r w:rsidRPr="00AA2E04">
              <w:rPr>
                <w:rFonts w:ascii="Trebuchet MS" w:hAnsi="Trebuchet MS"/>
                <w:bCs/>
                <w:sz w:val="20"/>
                <w:szCs w:val="20"/>
                <w:lang w:val="en-US"/>
              </w:rPr>
              <w:t xml:space="preserve">Effects of normothermic versus mild hyperthermic forebrain ischemia in rats. </w:t>
            </w:r>
            <w:r w:rsidRPr="00AA2E04">
              <w:rPr>
                <w:rFonts w:ascii="Trebuchet MS" w:hAnsi="Trebuchet MS"/>
                <w:i/>
                <w:iCs/>
                <w:sz w:val="20"/>
                <w:szCs w:val="20"/>
                <w:lang w:val="en-US"/>
              </w:rPr>
              <w:t>Stroke</w:t>
            </w:r>
            <w:r w:rsidRPr="00AA2E04">
              <w:rPr>
                <w:rFonts w:ascii="Trebuchet MS" w:hAnsi="Trebuchet MS"/>
                <w:sz w:val="20"/>
                <w:szCs w:val="20"/>
                <w:lang w:val="en-US"/>
              </w:rPr>
              <w:t xml:space="preserve">. </w:t>
            </w:r>
            <w:r w:rsidRPr="00AA2E04">
              <w:rPr>
                <w:rFonts w:ascii="Trebuchet MS" w:hAnsi="Trebuchet MS"/>
                <w:b/>
                <w:sz w:val="20"/>
                <w:szCs w:val="20"/>
                <w:lang w:val="en-US"/>
              </w:rPr>
              <w:t>21</w:t>
            </w:r>
            <w:r w:rsidRPr="00AA2E04">
              <w:rPr>
                <w:rFonts w:ascii="Trebuchet MS" w:hAnsi="Trebuchet MS"/>
                <w:sz w:val="20"/>
                <w:szCs w:val="20"/>
                <w:lang w:val="en-US"/>
              </w:rPr>
              <w:t>:1318-1325.</w:t>
            </w:r>
          </w:p>
          <w:p w:rsidR="00756EA8" w:rsidRPr="00AA2E04" w:rsidRDefault="00756EA8" w:rsidP="00C14921">
            <w:pPr>
              <w:jc w:val="both"/>
              <w:rPr>
                <w:rFonts w:ascii="Trebuchet MS" w:hAnsi="Trebuchet MS"/>
                <w:bCs/>
                <w:sz w:val="20"/>
                <w:szCs w:val="20"/>
                <w:lang w:val="en-US" w:eastAsia="pt-PT"/>
              </w:rPr>
            </w:pPr>
          </w:p>
          <w:p w:rsidR="00756EA8" w:rsidRPr="00AA2E04" w:rsidRDefault="00756EA8" w:rsidP="00C14921">
            <w:pPr>
              <w:jc w:val="both"/>
              <w:rPr>
                <w:rFonts w:ascii="Trebuchet MS" w:hAnsi="Trebuchet MS"/>
                <w:sz w:val="20"/>
                <w:szCs w:val="20"/>
                <w:lang w:val="en-US" w:eastAsia="pt-PT"/>
              </w:rPr>
            </w:pPr>
            <w:r w:rsidRPr="00AA2E04">
              <w:rPr>
                <w:rFonts w:ascii="Trebuchet MS" w:hAnsi="Trebuchet MS"/>
                <w:bCs/>
                <w:sz w:val="20"/>
                <w:szCs w:val="20"/>
                <w:lang w:val="en-US" w:eastAsia="pt-PT"/>
              </w:rPr>
              <w:t>Dirnagl, U., Simon, R. P. and Hallenbeck, J. M. (2003).</w:t>
            </w:r>
            <w:r w:rsidRPr="00AA2E04">
              <w:rPr>
                <w:rFonts w:ascii="Trebuchet MS" w:hAnsi="Trebuchet MS" w:cs="Arial"/>
                <w:bCs/>
                <w:sz w:val="20"/>
                <w:szCs w:val="20"/>
                <w:lang w:val="en-US" w:eastAsia="pt-PT"/>
              </w:rPr>
              <w:t xml:space="preserve"> Ischemic tolerance and endogenous neuroprotection. </w:t>
            </w:r>
            <w:hyperlink r:id="rId60" w:history="1">
              <w:r w:rsidRPr="00AA2E04">
                <w:rPr>
                  <w:rFonts w:ascii="Trebuchet MS" w:hAnsi="Trebuchet MS"/>
                  <w:bCs/>
                  <w:i/>
                  <w:sz w:val="20"/>
                  <w:szCs w:val="20"/>
                  <w:lang w:val="en-US" w:eastAsia="pt-PT"/>
                </w:rPr>
                <w:t>Trends in Neurosciences</w:t>
              </w:r>
            </w:hyperlink>
            <w:r w:rsidRPr="00AA2E04">
              <w:rPr>
                <w:rFonts w:ascii="Trebuchet MS" w:hAnsi="Trebuchet MS"/>
                <w:i/>
                <w:sz w:val="20"/>
                <w:szCs w:val="20"/>
                <w:lang w:val="en-US" w:eastAsia="pt-PT"/>
              </w:rPr>
              <w:t>.</w:t>
            </w:r>
            <w:r w:rsidRPr="00AA2E04">
              <w:rPr>
                <w:rFonts w:ascii="Trebuchet MS" w:hAnsi="Trebuchet MS"/>
                <w:sz w:val="20"/>
                <w:szCs w:val="20"/>
                <w:lang w:val="en-US" w:eastAsia="pt-PT"/>
              </w:rPr>
              <w:t xml:space="preserve"> Volume </w:t>
            </w:r>
            <w:r w:rsidRPr="00AA2E04">
              <w:rPr>
                <w:rFonts w:ascii="Trebuchet MS" w:hAnsi="Trebuchet MS"/>
                <w:b/>
                <w:sz w:val="20"/>
                <w:szCs w:val="20"/>
                <w:lang w:val="en-US" w:eastAsia="pt-PT"/>
              </w:rPr>
              <w:t>26</w:t>
            </w:r>
            <w:r w:rsidRPr="00AA2E04">
              <w:rPr>
                <w:rFonts w:ascii="Trebuchet MS" w:hAnsi="Trebuchet MS"/>
                <w:sz w:val="20"/>
                <w:szCs w:val="20"/>
                <w:lang w:val="en-US" w:eastAsia="pt-PT"/>
              </w:rPr>
              <w:t>, Issue 5: 248-254.</w:t>
            </w:r>
          </w:p>
          <w:p w:rsidR="00756EA8" w:rsidRDefault="00756EA8" w:rsidP="00C14921">
            <w:pPr>
              <w:jc w:val="both"/>
              <w:rPr>
                <w:rFonts w:ascii="Trebuchet MS" w:hAnsi="Trebuchet MS"/>
                <w:sz w:val="20"/>
                <w:szCs w:val="20"/>
                <w:lang w:val="en-US" w:eastAsia="pt-PT"/>
              </w:rPr>
            </w:pPr>
          </w:p>
          <w:p w:rsidR="00756EA8" w:rsidRPr="00AA2E04" w:rsidRDefault="00756EA8" w:rsidP="00C14921">
            <w:pPr>
              <w:jc w:val="both"/>
              <w:rPr>
                <w:rFonts w:ascii="Trebuchet MS" w:hAnsi="Trebuchet MS"/>
                <w:sz w:val="20"/>
                <w:szCs w:val="20"/>
                <w:lang w:val="en-US" w:eastAsia="pt-PT"/>
              </w:rPr>
            </w:pPr>
            <w:r w:rsidRPr="00AA2E04">
              <w:rPr>
                <w:rFonts w:ascii="Trebuchet MS" w:hAnsi="Trebuchet MS"/>
                <w:sz w:val="20"/>
                <w:szCs w:val="20"/>
                <w:lang w:val="en-US" w:eastAsia="pt-PT"/>
              </w:rPr>
              <w:t xml:space="preserve">Dong, W., Gao, D., Lin, H., Zhang, X., Li, N. and Li, F. (2008). New insights into mechanism for the effect of resveratrol preconditioning against cerebral ischemic stroke: Possible role of matrix metalloprotease-9. </w:t>
            </w:r>
            <w:r w:rsidRPr="00AA2E04">
              <w:rPr>
                <w:rFonts w:ascii="Trebuchet MS" w:hAnsi="Trebuchet MS"/>
                <w:i/>
                <w:sz w:val="20"/>
                <w:szCs w:val="20"/>
                <w:lang w:val="en-US" w:eastAsia="pt-PT"/>
              </w:rPr>
              <w:t>Medical Hypotheses</w:t>
            </w:r>
            <w:r w:rsidRPr="00AA2E04">
              <w:rPr>
                <w:rFonts w:ascii="Trebuchet MS" w:hAnsi="Trebuchet MS"/>
                <w:sz w:val="20"/>
                <w:szCs w:val="20"/>
                <w:lang w:val="en-US" w:eastAsia="pt-PT"/>
              </w:rPr>
              <w:t xml:space="preserve">. </w:t>
            </w:r>
            <w:r w:rsidRPr="00AA2E04">
              <w:rPr>
                <w:rFonts w:ascii="Trebuchet MS" w:hAnsi="Trebuchet MS"/>
                <w:b/>
                <w:sz w:val="20"/>
                <w:szCs w:val="20"/>
                <w:lang w:val="en-US" w:eastAsia="pt-PT"/>
              </w:rPr>
              <w:t>70</w:t>
            </w:r>
            <w:r w:rsidRPr="00AA2E04">
              <w:rPr>
                <w:rFonts w:ascii="Trebuchet MS" w:hAnsi="Trebuchet MS"/>
                <w:sz w:val="20"/>
                <w:szCs w:val="20"/>
                <w:lang w:val="en-US" w:eastAsia="pt-PT"/>
              </w:rPr>
              <w:t>: 52–55.</w:t>
            </w:r>
          </w:p>
          <w:p w:rsidR="00756EA8" w:rsidRPr="00AA2E04" w:rsidRDefault="00756EA8" w:rsidP="00C14921">
            <w:pPr>
              <w:jc w:val="both"/>
              <w:rPr>
                <w:rFonts w:ascii="Trebuchet MS" w:hAnsi="Trebuchet MS"/>
                <w:sz w:val="20"/>
                <w:szCs w:val="20"/>
                <w:lang w:val="en-US" w:eastAsia="pt-PT"/>
              </w:rPr>
            </w:pPr>
          </w:p>
          <w:p w:rsidR="00756EA8" w:rsidRPr="00AA2E04" w:rsidRDefault="00756EA8" w:rsidP="00C14921">
            <w:pPr>
              <w:autoSpaceDE w:val="0"/>
              <w:autoSpaceDN w:val="0"/>
              <w:adjustRightInd w:val="0"/>
              <w:jc w:val="both"/>
              <w:rPr>
                <w:rFonts w:ascii="Trebuchet MS" w:hAnsi="Trebuchet MS" w:cs="AdvTimes"/>
                <w:sz w:val="20"/>
                <w:szCs w:val="20"/>
                <w:lang w:val="en-US"/>
              </w:rPr>
            </w:pPr>
            <w:r w:rsidRPr="00AA2E04">
              <w:rPr>
                <w:rFonts w:ascii="Trebuchet MS" w:hAnsi="Trebuchet MS" w:cs="AdvTimes"/>
                <w:sz w:val="20"/>
                <w:szCs w:val="20"/>
                <w:lang w:val="en-US"/>
              </w:rPr>
              <w:t>Dunwiddie, T. V. and Diao, L. (1994).</w:t>
            </w:r>
            <w:r w:rsidRPr="00AA2E04">
              <w:rPr>
                <w:rFonts w:ascii="Trebuchet MS" w:hAnsi="Trebuchet MS" w:cs="Arial"/>
                <w:kern w:val="36"/>
                <w:sz w:val="20"/>
                <w:szCs w:val="20"/>
                <w:lang w:val="en-US" w:eastAsia="pt-PT"/>
              </w:rPr>
              <w:t xml:space="preserve"> </w:t>
            </w:r>
            <w:r w:rsidRPr="00AA2E04">
              <w:rPr>
                <w:rFonts w:ascii="Trebuchet MS" w:hAnsi="Trebuchet MS" w:cs="AdvTimes"/>
                <w:sz w:val="20"/>
                <w:szCs w:val="20"/>
                <w:lang w:val="en-US"/>
              </w:rPr>
              <w:t xml:space="preserve">Extracellular adenosine concentrations in hippocampal brain slices and the tonic inhibitory modulation of evoked excitatory responses. </w:t>
            </w:r>
            <w:hyperlink r:id="rId61" w:tooltip="The Journal of pharmacology and experimental therapeutics." w:history="1">
              <w:r w:rsidRPr="00AA2E04">
                <w:rPr>
                  <w:rFonts w:ascii="Trebuchet MS" w:hAnsi="Trebuchet MS" w:cs="AdvTimes"/>
                  <w:i/>
                  <w:sz w:val="20"/>
                  <w:szCs w:val="20"/>
                  <w:lang w:val="en-US"/>
                </w:rPr>
                <w:t>J Pharmacol Exp Ther</w:t>
              </w:r>
              <w:r w:rsidRPr="00AA2E04">
                <w:rPr>
                  <w:rFonts w:ascii="Trebuchet MS" w:hAnsi="Trebuchet MS" w:cs="AdvTimes"/>
                  <w:sz w:val="20"/>
                  <w:szCs w:val="20"/>
                  <w:lang w:val="en-US"/>
                </w:rPr>
                <w:t>.</w:t>
              </w:r>
            </w:hyperlink>
            <w:r w:rsidRPr="00AA2E04">
              <w:rPr>
                <w:rFonts w:ascii="Trebuchet MS" w:hAnsi="Trebuchet MS" w:cs="AdvTimes"/>
                <w:sz w:val="20"/>
                <w:szCs w:val="20"/>
                <w:lang w:val="en-US"/>
              </w:rPr>
              <w:t xml:space="preserve"> Volume </w:t>
            </w:r>
            <w:r w:rsidRPr="00AA2E04">
              <w:rPr>
                <w:rFonts w:ascii="Trebuchet MS" w:hAnsi="Trebuchet MS" w:cs="AdvTimes"/>
                <w:b/>
                <w:sz w:val="20"/>
                <w:szCs w:val="20"/>
                <w:lang w:val="en-US"/>
              </w:rPr>
              <w:t>268(2)</w:t>
            </w:r>
            <w:r w:rsidRPr="00AA2E04">
              <w:rPr>
                <w:rFonts w:ascii="Trebuchet MS" w:hAnsi="Trebuchet MS" w:cs="AdvTimes"/>
                <w:sz w:val="20"/>
                <w:szCs w:val="20"/>
                <w:lang w:val="en-US"/>
              </w:rPr>
              <w:t>: 537-45.</w:t>
            </w:r>
          </w:p>
          <w:p w:rsidR="00756EA8" w:rsidRPr="00AA2E04" w:rsidRDefault="00756EA8" w:rsidP="00C14921">
            <w:pPr>
              <w:autoSpaceDE w:val="0"/>
              <w:autoSpaceDN w:val="0"/>
              <w:adjustRightInd w:val="0"/>
              <w:jc w:val="both"/>
              <w:rPr>
                <w:rFonts w:ascii="Trebuchet MS" w:hAnsi="Trebuchet MS"/>
                <w:sz w:val="20"/>
                <w:szCs w:val="20"/>
                <w:lang w:val="en-US"/>
              </w:rPr>
            </w:pPr>
          </w:p>
        </w:tc>
      </w:tr>
      <w:tr w:rsidR="00AF6EFC" w:rsidRPr="00AA2E04" w:rsidTr="00C14921">
        <w:tc>
          <w:tcPr>
            <w:tcW w:w="5000" w:type="pct"/>
            <w:vAlign w:val="center"/>
          </w:tcPr>
          <w:p w:rsidR="00FE0970" w:rsidRPr="00AA2E04" w:rsidRDefault="00FE0970" w:rsidP="00C14921">
            <w:pPr>
              <w:jc w:val="both"/>
              <w:rPr>
                <w:rFonts w:ascii="Trebuchet MS" w:hAnsi="Trebuchet MS"/>
                <w:sz w:val="20"/>
                <w:szCs w:val="20"/>
                <w:lang w:val="en-US"/>
              </w:rPr>
            </w:pPr>
            <w:r w:rsidRPr="00AA2E04">
              <w:rPr>
                <w:rFonts w:ascii="Trebuchet MS" w:hAnsi="Trebuchet MS"/>
                <w:sz w:val="20"/>
                <w:szCs w:val="20"/>
                <w:lang w:val="en-US"/>
              </w:rPr>
              <w:t xml:space="preserve">Eadie, M.J., Tyrer, J.H., Kukums, J.R. and Hooper, W.D.  (1970) </w:t>
            </w:r>
            <w:r w:rsidRPr="00AA2E04">
              <w:rPr>
                <w:rFonts w:ascii="Trebuchet MS" w:hAnsi="Trebuchet MS"/>
                <w:bCs/>
                <w:sz w:val="20"/>
                <w:szCs w:val="20"/>
                <w:lang w:val="en-US"/>
              </w:rPr>
              <w:t xml:space="preserve">Aspects of Tetrazolium Salt Reduction Relevant to Quantitative Histochemistry, </w:t>
            </w:r>
            <w:r w:rsidRPr="00AA2E04">
              <w:rPr>
                <w:rFonts w:ascii="Trebuchet MS" w:hAnsi="Trebuchet MS"/>
                <w:i/>
                <w:sz w:val="20"/>
                <w:szCs w:val="20"/>
                <w:lang w:val="en-US"/>
              </w:rPr>
              <w:t>Histochemie.</w:t>
            </w:r>
            <w:r w:rsidRPr="00AA2E04">
              <w:rPr>
                <w:rFonts w:ascii="Trebuchet MS" w:hAnsi="Trebuchet MS"/>
                <w:sz w:val="20"/>
                <w:szCs w:val="20"/>
                <w:lang w:val="en-US"/>
              </w:rPr>
              <w:t xml:space="preserve"> </w:t>
            </w:r>
            <w:r w:rsidRPr="00AA2E04">
              <w:rPr>
                <w:rFonts w:ascii="Trebuchet MS" w:hAnsi="Trebuchet MS"/>
                <w:b/>
                <w:sz w:val="20"/>
                <w:szCs w:val="20"/>
                <w:lang w:val="en-US"/>
              </w:rPr>
              <w:t>21</w:t>
            </w:r>
            <w:r w:rsidRPr="00AA2E04">
              <w:rPr>
                <w:rFonts w:ascii="Trebuchet MS" w:hAnsi="Trebuchet MS"/>
                <w:sz w:val="20"/>
                <w:szCs w:val="20"/>
                <w:lang w:val="en-US"/>
              </w:rPr>
              <w:t>: 170-180.</w:t>
            </w:r>
          </w:p>
          <w:p w:rsidR="009C7751" w:rsidRPr="00AA2E04" w:rsidRDefault="009C7751"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Eschke, D., Brand, A., Scheibler, P., Hess, S., Eger, K., Allgaier, C. and Nieber, K. (2001). E</w:t>
            </w:r>
            <w:r w:rsidRPr="00AA2E04">
              <w:rPr>
                <w:rFonts w:ascii="Trebuchet MS" w:hAnsi="Trebuchet MS"/>
                <w:sz w:val="20"/>
                <w:szCs w:val="20"/>
                <w:lang w:val="en-US"/>
              </w:rPr>
              <w:t>f</w:t>
            </w:r>
            <w:r w:rsidRPr="00AA2E04">
              <w:rPr>
                <w:rFonts w:ascii="Trebuchet MS" w:hAnsi="Trebuchet MS"/>
                <w:sz w:val="20"/>
                <w:szCs w:val="20"/>
                <w:lang w:val="en-US"/>
              </w:rPr>
              <w:t xml:space="preserve">fect of an adenosine A1 receptor agonist and novel pyrimidoindole on membrane properties and neurotransmitter release in rat cortical and hippocampal neurons. </w:t>
            </w:r>
            <w:r w:rsidRPr="00AA2E04">
              <w:rPr>
                <w:rFonts w:ascii="Trebuchet MS" w:hAnsi="Trebuchet MS"/>
                <w:i/>
                <w:sz w:val="20"/>
                <w:szCs w:val="20"/>
                <w:lang w:val="en-US"/>
              </w:rPr>
              <w:t>Neurochemistry Inte</w:t>
            </w:r>
            <w:r w:rsidRPr="00AA2E04">
              <w:rPr>
                <w:rFonts w:ascii="Trebuchet MS" w:hAnsi="Trebuchet MS"/>
                <w:i/>
                <w:sz w:val="20"/>
                <w:szCs w:val="20"/>
                <w:lang w:val="en-US"/>
              </w:rPr>
              <w:t>r</w:t>
            </w:r>
            <w:r w:rsidRPr="00AA2E04">
              <w:rPr>
                <w:rFonts w:ascii="Trebuchet MS" w:hAnsi="Trebuchet MS"/>
                <w:i/>
                <w:sz w:val="20"/>
                <w:szCs w:val="20"/>
                <w:lang w:val="en-US"/>
              </w:rPr>
              <w:t>national</w:t>
            </w:r>
            <w:r w:rsidRPr="00AA2E04">
              <w:rPr>
                <w:rFonts w:ascii="Trebuchet MS" w:hAnsi="Trebuchet MS"/>
                <w:sz w:val="20"/>
                <w:szCs w:val="20"/>
                <w:lang w:val="en-US"/>
              </w:rPr>
              <w:t xml:space="preserve">, Vol. </w:t>
            </w:r>
            <w:r w:rsidRPr="00AA2E04">
              <w:rPr>
                <w:rFonts w:ascii="Trebuchet MS" w:hAnsi="Trebuchet MS"/>
                <w:b/>
                <w:sz w:val="20"/>
                <w:szCs w:val="20"/>
                <w:lang w:val="en-US"/>
              </w:rPr>
              <w:t>38</w:t>
            </w:r>
            <w:r w:rsidRPr="00AA2E04">
              <w:rPr>
                <w:rFonts w:ascii="Trebuchet MS" w:hAnsi="Trebuchet MS"/>
                <w:sz w:val="20"/>
                <w:szCs w:val="20"/>
                <w:lang w:val="en-US"/>
              </w:rPr>
              <w:t>, 391-398.</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autoSpaceDE w:val="0"/>
              <w:autoSpaceDN w:val="0"/>
              <w:adjustRightInd w:val="0"/>
              <w:jc w:val="both"/>
              <w:rPr>
                <w:rFonts w:ascii="Trebuchet MS" w:hAnsi="Trebuchet MS" w:cs="Times-Roman"/>
                <w:sz w:val="20"/>
                <w:szCs w:val="20"/>
                <w:lang w:val="en-US"/>
              </w:rPr>
            </w:pPr>
            <w:r w:rsidRPr="00AA2E04">
              <w:rPr>
                <w:rFonts w:ascii="Trebuchet MS" w:hAnsi="Trebuchet MS"/>
                <w:bCs/>
                <w:sz w:val="20"/>
                <w:szCs w:val="20"/>
                <w:lang w:val="en-US"/>
              </w:rPr>
              <w:t xml:space="preserve">Fatokun, </w:t>
            </w:r>
            <w:r w:rsidRPr="00AA2E04">
              <w:rPr>
                <w:rFonts w:ascii="Trebuchet MS" w:hAnsi="Trebuchet MS"/>
                <w:bCs/>
                <w:caps/>
                <w:sz w:val="20"/>
                <w:szCs w:val="20"/>
                <w:lang w:val="en-US"/>
              </w:rPr>
              <w:t>A. A., S</w:t>
            </w:r>
            <w:r w:rsidRPr="00AA2E04">
              <w:rPr>
                <w:rFonts w:ascii="Trebuchet MS" w:hAnsi="Trebuchet MS" w:cs="Times-Roman"/>
                <w:sz w:val="20"/>
                <w:szCs w:val="20"/>
                <w:lang w:val="en-US"/>
              </w:rPr>
              <w:t>tone</w:t>
            </w:r>
            <w:r w:rsidRPr="00AA2E04">
              <w:rPr>
                <w:rFonts w:ascii="Trebuchet MS" w:hAnsi="Trebuchet MS"/>
                <w:bCs/>
                <w:caps/>
                <w:sz w:val="20"/>
                <w:szCs w:val="20"/>
                <w:lang w:val="en-US"/>
              </w:rPr>
              <w:t xml:space="preserve">, T. w. </w:t>
            </w:r>
            <w:r w:rsidRPr="00AA2E04">
              <w:rPr>
                <w:rFonts w:ascii="Trebuchet MS" w:hAnsi="Trebuchet MS" w:cs="Times-Roman"/>
                <w:sz w:val="20"/>
                <w:szCs w:val="20"/>
                <w:lang w:val="en-US"/>
              </w:rPr>
              <w:t xml:space="preserve">and Smith, R. A. (2008). </w:t>
            </w:r>
            <w:r w:rsidRPr="00AA2E04">
              <w:rPr>
                <w:rFonts w:ascii="Trebuchet MS" w:hAnsi="Trebuchet MS"/>
                <w:bCs/>
                <w:sz w:val="20"/>
                <w:szCs w:val="20"/>
                <w:lang w:val="en-US"/>
              </w:rPr>
              <w:t>Adenosine receptor ligands protect against a combination of apoptotic and necrotic cell death in cerebellar granule neurons</w:t>
            </w:r>
            <w:r w:rsidRPr="00AA2E04">
              <w:rPr>
                <w:rFonts w:ascii="Trebuchet MS" w:hAnsi="Trebuchet MS"/>
                <w:bCs/>
                <w:i/>
                <w:sz w:val="20"/>
                <w:szCs w:val="20"/>
                <w:lang w:val="en-US"/>
              </w:rPr>
              <w:t xml:space="preserve">. </w:t>
            </w:r>
            <w:r w:rsidRPr="00AA2E04">
              <w:rPr>
                <w:rFonts w:ascii="Trebuchet MS" w:hAnsi="Trebuchet MS" w:cs="Times-Roman"/>
                <w:i/>
                <w:sz w:val="20"/>
                <w:szCs w:val="20"/>
                <w:lang w:val="en-US"/>
              </w:rPr>
              <w:t>Exp Brain Res.</w:t>
            </w:r>
            <w:r w:rsidRPr="00AA2E04">
              <w:rPr>
                <w:rFonts w:ascii="Trebuchet MS" w:hAnsi="Trebuchet MS" w:cs="Times-Roman"/>
                <w:sz w:val="20"/>
                <w:szCs w:val="20"/>
                <w:lang w:val="en-US"/>
              </w:rPr>
              <w:t xml:space="preserve"> Volume </w:t>
            </w:r>
            <w:r w:rsidRPr="00AA2E04">
              <w:rPr>
                <w:rFonts w:ascii="Trebuchet MS" w:hAnsi="Trebuchet MS" w:cs="Times-Roman"/>
                <w:b/>
                <w:sz w:val="20"/>
                <w:szCs w:val="20"/>
                <w:lang w:val="en-US"/>
              </w:rPr>
              <w:t>186</w:t>
            </w:r>
            <w:r w:rsidRPr="00AA2E04">
              <w:rPr>
                <w:rFonts w:ascii="Trebuchet MS" w:hAnsi="Trebuchet MS" w:cs="Times-Roman"/>
                <w:sz w:val="20"/>
                <w:szCs w:val="20"/>
                <w:lang w:val="en-US"/>
              </w:rPr>
              <w:t>: 151–160.</w:t>
            </w:r>
          </w:p>
          <w:p w:rsidR="00D77C96" w:rsidRPr="00AA2E04" w:rsidRDefault="00D77C96" w:rsidP="00C14921">
            <w:pPr>
              <w:autoSpaceDE w:val="0"/>
              <w:autoSpaceDN w:val="0"/>
              <w:adjustRightInd w:val="0"/>
              <w:jc w:val="both"/>
              <w:rPr>
                <w:rFonts w:ascii="Trebuchet MS" w:hAnsi="Trebuchet MS" w:cs="Times-Roman"/>
                <w:sz w:val="20"/>
                <w:szCs w:val="20"/>
                <w:lang w:val="en-US"/>
              </w:rPr>
            </w:pPr>
          </w:p>
          <w:p w:rsidR="00AF6EFC" w:rsidRPr="00C87882" w:rsidRDefault="00D77C96" w:rsidP="00C14921">
            <w:pPr>
              <w:autoSpaceDE w:val="0"/>
              <w:autoSpaceDN w:val="0"/>
              <w:adjustRightInd w:val="0"/>
              <w:jc w:val="both"/>
              <w:rPr>
                <w:rFonts w:ascii="Trebuchet MS" w:hAnsi="Trebuchet MS" w:cs="Times-Roman"/>
                <w:sz w:val="20"/>
                <w:szCs w:val="20"/>
              </w:rPr>
            </w:pPr>
            <w:r w:rsidRPr="00AA2E04">
              <w:rPr>
                <w:rFonts w:ascii="Trebuchet MS" w:hAnsi="Trebuchet MS" w:cs="NewCenturySchlbk-Roman"/>
                <w:sz w:val="20"/>
                <w:szCs w:val="20"/>
                <w:lang w:val="en-US" w:eastAsia="pt-PT"/>
              </w:rPr>
              <w:lastRenderedPageBreak/>
              <w:t xml:space="preserve">Feoktistov, I. and Biaggiono, I. (1997). </w:t>
            </w:r>
            <w:r w:rsidRPr="00AA2E04">
              <w:rPr>
                <w:rFonts w:ascii="Trebuchet MS" w:hAnsi="Trebuchet MS" w:cs="NewCenturySchlbk-Roman"/>
                <w:bCs/>
                <w:sz w:val="20"/>
                <w:szCs w:val="20"/>
                <w:lang w:val="en-US" w:eastAsia="pt-PT"/>
              </w:rPr>
              <w:t>Adenosine A2B Receptors.</w:t>
            </w:r>
            <w:r w:rsidRPr="00AA2E04">
              <w:rPr>
                <w:rFonts w:ascii="Trebuchet MS" w:hAnsi="Trebuchet MS" w:cs="NewCenturySchlbk-Roman"/>
                <w:b/>
                <w:bCs/>
                <w:sz w:val="20"/>
                <w:szCs w:val="20"/>
                <w:lang w:val="en-US" w:eastAsia="pt-PT"/>
              </w:rPr>
              <w:t xml:space="preserve"> </w:t>
            </w:r>
            <w:r w:rsidRPr="00AA2E04">
              <w:rPr>
                <w:rFonts w:ascii="Trebuchet MS" w:hAnsi="Trebuchet MS" w:cs="NewCenturySchlbk-Roman"/>
                <w:i/>
                <w:sz w:val="20"/>
                <w:szCs w:val="20"/>
                <w:lang w:val="en-US" w:eastAsia="pt-PT"/>
              </w:rPr>
              <w:t>The American Society for Pharmacology and Experimental Therapeutics</w:t>
            </w:r>
            <w:r w:rsidRPr="00AA2E04">
              <w:rPr>
                <w:rFonts w:ascii="Trebuchet MS" w:hAnsi="Trebuchet MS" w:cs="NewCenturySchlbk-Roman"/>
                <w:sz w:val="20"/>
                <w:szCs w:val="20"/>
                <w:lang w:val="en-US" w:eastAsia="pt-PT"/>
              </w:rPr>
              <w:t>.</w:t>
            </w:r>
            <w:r w:rsidRPr="00AA2E04">
              <w:rPr>
                <w:rFonts w:ascii="Trebuchet MS" w:hAnsi="Trebuchet MS"/>
                <w:sz w:val="20"/>
                <w:szCs w:val="20"/>
                <w:lang w:val="en-US"/>
              </w:rPr>
              <w:t xml:space="preserve"> </w:t>
            </w:r>
            <w:r w:rsidRPr="00C87882">
              <w:rPr>
                <w:rFonts w:ascii="Trebuchet MS" w:hAnsi="Trebuchet MS" w:cs="NewCenturySchlbk-Roman"/>
                <w:sz w:val="20"/>
                <w:szCs w:val="20"/>
                <w:lang w:eastAsia="pt-PT"/>
              </w:rPr>
              <w:t xml:space="preserve">Vol. </w:t>
            </w:r>
            <w:r w:rsidRPr="00C87882">
              <w:rPr>
                <w:rFonts w:ascii="Trebuchet MS" w:hAnsi="Trebuchet MS" w:cs="NewCenturySchlbk-Roman"/>
                <w:b/>
                <w:sz w:val="20"/>
                <w:szCs w:val="20"/>
                <w:lang w:eastAsia="pt-PT"/>
              </w:rPr>
              <w:t>49:</w:t>
            </w:r>
            <w:r w:rsidRPr="00C87882">
              <w:rPr>
                <w:rFonts w:ascii="Trebuchet MS" w:hAnsi="Trebuchet MS" w:cs="NewCenturySchlbk-Roman"/>
                <w:sz w:val="20"/>
                <w:szCs w:val="20"/>
                <w:lang w:eastAsia="pt-PT"/>
              </w:rPr>
              <w:t xml:space="preserve"> Nº 4.</w:t>
            </w:r>
          </w:p>
          <w:p w:rsidR="00D77C96" w:rsidRPr="00C87882" w:rsidRDefault="00D77C96" w:rsidP="00C14921">
            <w:pPr>
              <w:autoSpaceDE w:val="0"/>
              <w:autoSpaceDN w:val="0"/>
              <w:adjustRightInd w:val="0"/>
              <w:jc w:val="both"/>
              <w:rPr>
                <w:rFonts w:ascii="Trebuchet MS" w:hAnsi="Trebuchet MS" w:cs="Times-Roman"/>
                <w:sz w:val="20"/>
                <w:szCs w:val="20"/>
              </w:rPr>
            </w:pPr>
          </w:p>
          <w:p w:rsidR="00AF6EFC" w:rsidRPr="00AA2E04" w:rsidRDefault="00AF6EFC" w:rsidP="00C14921">
            <w:pPr>
              <w:autoSpaceDE w:val="0"/>
              <w:autoSpaceDN w:val="0"/>
              <w:adjustRightInd w:val="0"/>
              <w:jc w:val="both"/>
              <w:rPr>
                <w:rFonts w:ascii="Trebuchet MS" w:hAnsi="Trebuchet MS" w:cs="Times-Roman"/>
                <w:sz w:val="20"/>
                <w:szCs w:val="20"/>
                <w:lang w:val="en-US"/>
              </w:rPr>
            </w:pPr>
            <w:r w:rsidRPr="00AA2E04">
              <w:rPr>
                <w:rFonts w:ascii="Trebuchet MS" w:hAnsi="Trebuchet MS" w:cs="Times-Roman"/>
                <w:sz w:val="20"/>
                <w:szCs w:val="20"/>
              </w:rPr>
              <w:t xml:space="preserve">Fernández, O. S. L., Ajamieh, H. H., Berlanga, J., Menéndez, S., Viebahn-Hánsler, R., Re, L. and Carmona, A. M. (2008). </w:t>
            </w:r>
            <w:r w:rsidRPr="00AA2E04">
              <w:rPr>
                <w:rFonts w:ascii="Trebuchet MS" w:hAnsi="Trebuchet MS" w:cs="Times-Roman"/>
                <w:sz w:val="20"/>
                <w:szCs w:val="20"/>
                <w:lang w:val="en-US"/>
              </w:rPr>
              <w:t>Ozone oxidative preconditioning is mediated by A1 adenosine r</w:t>
            </w:r>
            <w:r w:rsidRPr="00AA2E04">
              <w:rPr>
                <w:rFonts w:ascii="Trebuchet MS" w:hAnsi="Trebuchet MS" w:cs="Times-Roman"/>
                <w:sz w:val="20"/>
                <w:szCs w:val="20"/>
                <w:lang w:val="en-US"/>
              </w:rPr>
              <w:t>e</w:t>
            </w:r>
            <w:r w:rsidRPr="00AA2E04">
              <w:rPr>
                <w:rFonts w:ascii="Trebuchet MS" w:hAnsi="Trebuchet MS" w:cs="Times-Roman"/>
                <w:sz w:val="20"/>
                <w:szCs w:val="20"/>
                <w:lang w:val="en-US"/>
              </w:rPr>
              <w:t xml:space="preserve">ceptors in a rat model of liver ischemia/reperfusion. </w:t>
            </w:r>
            <w:r w:rsidRPr="00AA2E04">
              <w:rPr>
                <w:rFonts w:ascii="Trebuchet MS" w:hAnsi="Trebuchet MS" w:cs="Times-Roman"/>
                <w:i/>
                <w:sz w:val="20"/>
                <w:szCs w:val="20"/>
                <w:lang w:val="en-US"/>
              </w:rPr>
              <w:t>European Society for Organ Transplant</w:t>
            </w:r>
            <w:r w:rsidRPr="00AA2E04">
              <w:rPr>
                <w:rFonts w:ascii="Trebuchet MS" w:hAnsi="Trebuchet MS" w:cs="Times-Roman"/>
                <w:i/>
                <w:sz w:val="20"/>
                <w:szCs w:val="20"/>
                <w:lang w:val="en-US"/>
              </w:rPr>
              <w:t>a</w:t>
            </w:r>
            <w:r w:rsidRPr="00AA2E04">
              <w:rPr>
                <w:rFonts w:ascii="Trebuchet MS" w:hAnsi="Trebuchet MS" w:cs="Times-Roman"/>
                <w:i/>
                <w:sz w:val="20"/>
                <w:szCs w:val="20"/>
                <w:lang w:val="en-US"/>
              </w:rPr>
              <w:t>tion</w:t>
            </w:r>
            <w:r w:rsidRPr="00AA2E04">
              <w:rPr>
                <w:rFonts w:ascii="Trebuchet MS" w:hAnsi="Trebuchet MS" w:cs="Times-Roman"/>
                <w:sz w:val="20"/>
                <w:szCs w:val="20"/>
                <w:lang w:val="en-US"/>
              </w:rPr>
              <w:t xml:space="preserve">. Volume </w:t>
            </w:r>
            <w:r w:rsidRPr="00AA2E04">
              <w:rPr>
                <w:rFonts w:ascii="Trebuchet MS" w:hAnsi="Trebuchet MS" w:cs="Times-Roman"/>
                <w:b/>
                <w:sz w:val="20"/>
                <w:szCs w:val="20"/>
                <w:lang w:val="en-US"/>
              </w:rPr>
              <w:t>21</w:t>
            </w:r>
            <w:r w:rsidRPr="00AA2E04">
              <w:rPr>
                <w:rFonts w:ascii="Trebuchet MS" w:hAnsi="Trebuchet MS" w:cs="Times-Roman"/>
                <w:sz w:val="20"/>
                <w:szCs w:val="20"/>
                <w:lang w:val="en-US"/>
              </w:rPr>
              <w:t>: 39–48.</w:t>
            </w:r>
          </w:p>
          <w:p w:rsidR="00106437" w:rsidRPr="00AA2E04" w:rsidRDefault="00106437" w:rsidP="00C14921">
            <w:pPr>
              <w:jc w:val="both"/>
              <w:rPr>
                <w:rFonts w:ascii="Trebuchet MS" w:hAnsi="Trebuchet MS"/>
                <w:sz w:val="20"/>
                <w:szCs w:val="20"/>
                <w:lang w:val="en-US"/>
              </w:rPr>
            </w:pPr>
          </w:p>
        </w:tc>
      </w:tr>
      <w:tr w:rsidR="00AF6EFC" w:rsidRPr="00AA2E04" w:rsidTr="00C14921">
        <w:tc>
          <w:tcPr>
            <w:tcW w:w="5000" w:type="pct"/>
            <w:vAlign w:val="center"/>
          </w:tcPr>
          <w:p w:rsidR="00106437" w:rsidRPr="00AA2E04" w:rsidRDefault="00106437" w:rsidP="00C14921">
            <w:pPr>
              <w:autoSpaceDE w:val="0"/>
              <w:autoSpaceDN w:val="0"/>
              <w:adjustRightInd w:val="0"/>
              <w:jc w:val="both"/>
              <w:rPr>
                <w:rFonts w:ascii="Trebuchet MS" w:hAnsi="Trebuchet MS"/>
                <w:bCs/>
                <w:sz w:val="20"/>
                <w:szCs w:val="20"/>
                <w:lang w:val="en-US"/>
              </w:rPr>
            </w:pPr>
            <w:r w:rsidRPr="00AA2E04">
              <w:rPr>
                <w:rFonts w:ascii="Trebuchet MS" w:hAnsi="Trebuchet MS"/>
                <w:bCs/>
                <w:sz w:val="20"/>
                <w:szCs w:val="20"/>
                <w:lang w:val="en-US"/>
              </w:rPr>
              <w:lastRenderedPageBreak/>
              <w:t xml:space="preserve">Fredholm, B.B., Arslan, G., Halldner, L., Kull, B., Schulte, G. and Wasserman, W. </w:t>
            </w:r>
            <w:r w:rsidRPr="00AA2E04">
              <w:rPr>
                <w:rFonts w:ascii="Trebuchet MS" w:hAnsi="Trebuchet MS"/>
                <w:sz w:val="20"/>
                <w:szCs w:val="20"/>
                <w:lang w:val="en-US" w:eastAsia="pt-PT"/>
              </w:rPr>
              <w:t xml:space="preserve">(2000). </w:t>
            </w:r>
            <w:r w:rsidRPr="00AA2E04">
              <w:rPr>
                <w:rFonts w:ascii="Trebuchet MS" w:hAnsi="Trebuchet MS"/>
                <w:bCs/>
                <w:sz w:val="20"/>
                <w:szCs w:val="20"/>
                <w:lang w:val="en-US"/>
              </w:rPr>
              <w:t xml:space="preserve">Structure and function of adenosine receptors and their genes. </w:t>
            </w:r>
            <w:r w:rsidRPr="00AA2E04">
              <w:rPr>
                <w:rFonts w:ascii="Trebuchet MS" w:hAnsi="Trebuchet MS"/>
                <w:i/>
                <w:sz w:val="20"/>
                <w:szCs w:val="20"/>
                <w:lang w:val="en-US" w:eastAsia="pt-PT"/>
              </w:rPr>
              <w:t>Naunyn-Schmiedeberg’s Arch Pharmacol.</w:t>
            </w:r>
            <w:r w:rsidRPr="00AA2E04">
              <w:rPr>
                <w:rFonts w:ascii="Trebuchet MS" w:hAnsi="Trebuchet MS"/>
                <w:sz w:val="20"/>
                <w:szCs w:val="20"/>
                <w:lang w:val="en-US" w:eastAsia="pt-PT"/>
              </w:rPr>
              <w:t xml:space="preserve"> </w:t>
            </w:r>
            <w:r w:rsidRPr="00AA2E04">
              <w:rPr>
                <w:rFonts w:ascii="Trebuchet MS" w:hAnsi="Trebuchet MS"/>
                <w:b/>
                <w:sz w:val="20"/>
                <w:szCs w:val="20"/>
                <w:lang w:val="en-US" w:eastAsia="pt-PT"/>
              </w:rPr>
              <w:t>362</w:t>
            </w:r>
            <w:r w:rsidRPr="00AA2E04">
              <w:rPr>
                <w:rFonts w:ascii="Trebuchet MS" w:hAnsi="Trebuchet MS"/>
                <w:sz w:val="20"/>
                <w:szCs w:val="20"/>
                <w:lang w:val="en-US" w:eastAsia="pt-PT"/>
              </w:rPr>
              <w:t>: 364–374.</w:t>
            </w:r>
          </w:p>
          <w:p w:rsidR="00106437" w:rsidRPr="00AA2E04" w:rsidRDefault="00106437" w:rsidP="00C14921">
            <w:pPr>
              <w:autoSpaceDE w:val="0"/>
              <w:autoSpaceDN w:val="0"/>
              <w:adjustRightInd w:val="0"/>
              <w:jc w:val="both"/>
              <w:rPr>
                <w:rFonts w:ascii="Trebuchet MS" w:hAnsi="Trebuchet MS"/>
                <w:bCs/>
                <w:sz w:val="20"/>
                <w:szCs w:val="20"/>
                <w:lang w:val="en-US"/>
              </w:rPr>
            </w:pPr>
          </w:p>
          <w:p w:rsidR="00AF6EFC" w:rsidRPr="00AA2E04" w:rsidRDefault="00AF6EFC" w:rsidP="00C14921">
            <w:pPr>
              <w:autoSpaceDE w:val="0"/>
              <w:autoSpaceDN w:val="0"/>
              <w:adjustRightInd w:val="0"/>
              <w:jc w:val="both"/>
              <w:rPr>
                <w:rFonts w:ascii="Trebuchet MS" w:hAnsi="Trebuchet MS"/>
                <w:bCs/>
                <w:sz w:val="20"/>
                <w:szCs w:val="20"/>
                <w:lang w:val="en-US"/>
              </w:rPr>
            </w:pPr>
            <w:r w:rsidRPr="00AA2E04">
              <w:rPr>
                <w:rFonts w:ascii="Trebuchet MS" w:hAnsi="Trebuchet MS"/>
                <w:bCs/>
                <w:sz w:val="20"/>
                <w:szCs w:val="20"/>
                <w:lang w:val="en-US"/>
              </w:rPr>
              <w:t>Gage, A. T. and Staton, P. K. (1996). Hypoxia triggers neuroprotective alterations in hipp</w:t>
            </w:r>
            <w:r w:rsidRPr="00AA2E04">
              <w:rPr>
                <w:rFonts w:ascii="Trebuchet MS" w:hAnsi="Trebuchet MS"/>
                <w:bCs/>
                <w:sz w:val="20"/>
                <w:szCs w:val="20"/>
                <w:lang w:val="en-US"/>
              </w:rPr>
              <w:t>o</w:t>
            </w:r>
            <w:r w:rsidRPr="00AA2E04">
              <w:rPr>
                <w:rFonts w:ascii="Trebuchet MS" w:hAnsi="Trebuchet MS"/>
                <w:bCs/>
                <w:sz w:val="20"/>
                <w:szCs w:val="20"/>
                <w:lang w:val="en-US"/>
              </w:rPr>
              <w:t xml:space="preserve">campal gene expression via a heme-containing sensor. </w:t>
            </w:r>
            <w:r w:rsidRPr="00AA2E04">
              <w:rPr>
                <w:rFonts w:ascii="Trebuchet MS" w:hAnsi="Trebuchet MS"/>
                <w:bCs/>
                <w:i/>
                <w:sz w:val="20"/>
                <w:szCs w:val="20"/>
                <w:lang w:val="en-US"/>
              </w:rPr>
              <w:t>Brain Research</w:t>
            </w:r>
            <w:r w:rsidRPr="00AA2E04">
              <w:rPr>
                <w:rFonts w:ascii="Trebuchet MS" w:hAnsi="Trebuchet MS"/>
                <w:bCs/>
                <w:sz w:val="20"/>
                <w:szCs w:val="20"/>
                <w:lang w:val="en-US"/>
              </w:rPr>
              <w:t xml:space="preserve">. Vol. </w:t>
            </w:r>
            <w:r w:rsidRPr="00AA2E04">
              <w:rPr>
                <w:rFonts w:ascii="Trebuchet MS" w:hAnsi="Trebuchet MS"/>
                <w:b/>
                <w:bCs/>
                <w:sz w:val="20"/>
                <w:szCs w:val="20"/>
                <w:lang w:val="en-US"/>
              </w:rPr>
              <w:t>719</w:t>
            </w:r>
            <w:r w:rsidRPr="00AA2E04">
              <w:rPr>
                <w:rFonts w:ascii="Trebuchet MS" w:hAnsi="Trebuchet MS"/>
                <w:bCs/>
                <w:sz w:val="20"/>
                <w:szCs w:val="20"/>
                <w:lang w:val="en-US"/>
              </w:rPr>
              <w:t>: 172-178.</w:t>
            </w:r>
          </w:p>
          <w:p w:rsidR="00AF6EFC" w:rsidRPr="00AA2E04" w:rsidRDefault="00AF6EFC" w:rsidP="00C14921">
            <w:pPr>
              <w:autoSpaceDE w:val="0"/>
              <w:autoSpaceDN w:val="0"/>
              <w:adjustRightInd w:val="0"/>
              <w:jc w:val="both"/>
              <w:rPr>
                <w:rFonts w:ascii="Trebuchet MS" w:hAnsi="Trebuchet MS"/>
                <w:bCs/>
                <w:sz w:val="20"/>
                <w:szCs w:val="20"/>
                <w:lang w:val="en-US"/>
              </w:rPr>
            </w:pPr>
          </w:p>
          <w:p w:rsidR="00AF6EFC" w:rsidRPr="00AA2E04" w:rsidRDefault="00AF6EFC" w:rsidP="00C14921">
            <w:pPr>
              <w:shd w:val="clear" w:color="auto" w:fill="FFFFFF"/>
              <w:jc w:val="both"/>
              <w:rPr>
                <w:rFonts w:ascii="Trebuchet MS" w:hAnsi="Trebuchet MS" w:cs="Arial"/>
                <w:bCs/>
                <w:sz w:val="20"/>
                <w:szCs w:val="20"/>
                <w:lang w:val="en-US" w:eastAsia="pt-PT"/>
              </w:rPr>
            </w:pPr>
            <w:r w:rsidRPr="00AA2E04">
              <w:rPr>
                <w:rFonts w:ascii="Trebuchet MS" w:hAnsi="Trebuchet MS"/>
                <w:bCs/>
                <w:sz w:val="20"/>
                <w:szCs w:val="20"/>
                <w:lang w:val="en-US" w:eastAsia="pt-PT"/>
              </w:rPr>
              <w:t>Gebhardt</w:t>
            </w:r>
            <w:r w:rsidRPr="00AA2E04">
              <w:rPr>
                <w:rFonts w:ascii="Trebuchet MS" w:hAnsi="Trebuchet MS" w:cs="Arial"/>
                <w:bCs/>
                <w:sz w:val="20"/>
                <w:szCs w:val="20"/>
                <w:lang w:val="en-US" w:eastAsia="pt-PT"/>
              </w:rPr>
              <w:t xml:space="preserve">, C. and Heinemann, U. (1999). Anoxic decrease in potassium outward currents of hippocampal cultured neurons in absence and presence of dithionite. </w:t>
            </w:r>
            <w:r w:rsidRPr="00AA2E04">
              <w:rPr>
                <w:rFonts w:ascii="Trebuchet MS" w:hAnsi="Trebuchet MS" w:cs="Arial"/>
                <w:bCs/>
                <w:i/>
                <w:sz w:val="20"/>
                <w:szCs w:val="20"/>
                <w:lang w:val="en-US" w:eastAsia="pt-PT"/>
              </w:rPr>
              <w:t>Brain Research.</w:t>
            </w:r>
            <w:r w:rsidRPr="00AA2E04">
              <w:rPr>
                <w:rFonts w:ascii="Trebuchet MS" w:hAnsi="Trebuchet MS" w:cs="Arial"/>
                <w:bCs/>
                <w:sz w:val="20"/>
                <w:szCs w:val="20"/>
                <w:lang w:val="en-US" w:eastAsia="pt-PT"/>
              </w:rPr>
              <w:t xml:space="preserve"> Volume </w:t>
            </w:r>
            <w:r w:rsidRPr="00AA2E04">
              <w:rPr>
                <w:rFonts w:ascii="Trebuchet MS" w:hAnsi="Trebuchet MS" w:cs="Arial"/>
                <w:b/>
                <w:bCs/>
                <w:sz w:val="20"/>
                <w:szCs w:val="20"/>
                <w:lang w:val="en-US" w:eastAsia="pt-PT"/>
              </w:rPr>
              <w:t>837</w:t>
            </w:r>
            <w:r w:rsidRPr="00AA2E04">
              <w:rPr>
                <w:rFonts w:ascii="Trebuchet MS" w:hAnsi="Trebuchet MS" w:cs="Arial"/>
                <w:bCs/>
                <w:sz w:val="20"/>
                <w:szCs w:val="20"/>
                <w:lang w:val="en-US" w:eastAsia="pt-PT"/>
              </w:rPr>
              <w:t>, Issues 1-2: 270-276.</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Goldberg, M. P., Strasser, U. and Dugan, L. L. (1997). Techniques for assessing neuroprote</w:t>
            </w:r>
            <w:r w:rsidRPr="00AA2E04">
              <w:rPr>
                <w:rFonts w:ascii="Trebuchet MS" w:hAnsi="Trebuchet MS"/>
                <w:sz w:val="20"/>
                <w:szCs w:val="20"/>
                <w:lang w:val="en-US"/>
              </w:rPr>
              <w:t>c</w:t>
            </w:r>
            <w:r w:rsidRPr="00AA2E04">
              <w:rPr>
                <w:rFonts w:ascii="Trebuchet MS" w:hAnsi="Trebuchet MS"/>
                <w:sz w:val="20"/>
                <w:szCs w:val="20"/>
                <w:lang w:val="en-US"/>
              </w:rPr>
              <w:t xml:space="preserve">tive drugs </w:t>
            </w:r>
            <w:r w:rsidR="00194A32" w:rsidRPr="00AA2E04">
              <w:rPr>
                <w:rFonts w:ascii="Trebuchet MS" w:hAnsi="Trebuchet MS"/>
                <w:i/>
                <w:sz w:val="20"/>
                <w:szCs w:val="20"/>
                <w:lang w:val="en-US"/>
              </w:rPr>
              <w:t xml:space="preserve">in </w:t>
            </w:r>
            <w:proofErr w:type="gramStart"/>
            <w:r w:rsidR="00194A32" w:rsidRPr="00AA2E04">
              <w:rPr>
                <w:rFonts w:ascii="Trebuchet MS" w:hAnsi="Trebuchet MS"/>
                <w:i/>
                <w:sz w:val="20"/>
                <w:szCs w:val="20"/>
                <w:lang w:val="en-US"/>
              </w:rPr>
              <w:t xml:space="preserve">vitro </w:t>
            </w:r>
            <w:r w:rsidRPr="00AA2E04">
              <w:rPr>
                <w:rFonts w:ascii="Trebuchet MS" w:hAnsi="Trebuchet MS"/>
                <w:sz w:val="20"/>
                <w:szCs w:val="20"/>
                <w:lang w:val="en-US"/>
              </w:rPr>
              <w:t>,</w:t>
            </w:r>
            <w:proofErr w:type="gramEnd"/>
            <w:r w:rsidRPr="00AA2E04">
              <w:rPr>
                <w:rFonts w:ascii="Trebuchet MS" w:hAnsi="Trebuchet MS"/>
                <w:sz w:val="20"/>
                <w:szCs w:val="20"/>
                <w:lang w:val="en-US"/>
              </w:rPr>
              <w:t xml:space="preserve"> edited by Green, A.R. and Cross, A. J., in Neuroprotective Agents and Cerebral Ischaemia. </w:t>
            </w:r>
            <w:r w:rsidRPr="00AA2E04">
              <w:rPr>
                <w:rFonts w:ascii="Trebuchet MS" w:hAnsi="Trebuchet MS"/>
                <w:i/>
                <w:sz w:val="20"/>
                <w:szCs w:val="20"/>
                <w:lang w:val="en-US"/>
              </w:rPr>
              <w:t>International Review of Neurobiology</w:t>
            </w:r>
            <w:r w:rsidRPr="00AA2E04">
              <w:rPr>
                <w:rFonts w:ascii="Trebuchet MS" w:hAnsi="Trebuchet MS"/>
                <w:sz w:val="20"/>
                <w:szCs w:val="20"/>
                <w:lang w:val="en-US"/>
              </w:rPr>
              <w:t xml:space="preserve">. Volume </w:t>
            </w:r>
            <w:r w:rsidRPr="00AA2E04">
              <w:rPr>
                <w:rFonts w:ascii="Trebuchet MS" w:hAnsi="Trebuchet MS"/>
                <w:b/>
                <w:sz w:val="20"/>
                <w:szCs w:val="20"/>
                <w:lang w:val="en-US"/>
              </w:rPr>
              <w:t>40</w:t>
            </w:r>
            <w:r w:rsidRPr="00AA2E04">
              <w:rPr>
                <w:rFonts w:ascii="Trebuchet MS" w:hAnsi="Trebuchet MS"/>
                <w:sz w:val="20"/>
                <w:szCs w:val="20"/>
                <w:lang w:val="en-US"/>
              </w:rPr>
              <w:t>, Chapter 4: 69-93.</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Gonzalez-Zulueta, M., Feldman, A. B., Klesse, L.J., Kalb, R.G., Dillman, J.F., Parada, L.F., Dawson, T. M. and Dawson, V. L. (2000). Requirement for nitric oxide activation of p21 (ras)/extracellular regulated kinase in neuronal ischemic preconditioning. </w:t>
            </w:r>
            <w:r w:rsidRPr="00AA2E04">
              <w:rPr>
                <w:rFonts w:ascii="Trebuchet MS" w:hAnsi="Trebuchet MS"/>
                <w:i/>
                <w:sz w:val="20"/>
                <w:szCs w:val="20"/>
                <w:lang w:val="en-US"/>
              </w:rPr>
              <w:t xml:space="preserve">Proc Natl Acad Sci USA. </w:t>
            </w:r>
            <w:r w:rsidRPr="00AA2E04">
              <w:rPr>
                <w:rFonts w:ascii="Trebuchet MS" w:hAnsi="Trebuchet MS"/>
                <w:sz w:val="20"/>
                <w:szCs w:val="20"/>
                <w:lang w:val="en-US"/>
              </w:rPr>
              <w:t xml:space="preserve">Volume </w:t>
            </w:r>
            <w:r w:rsidRPr="00AA2E04">
              <w:rPr>
                <w:rFonts w:ascii="Trebuchet MS" w:hAnsi="Trebuchet MS"/>
                <w:b/>
                <w:sz w:val="20"/>
                <w:szCs w:val="20"/>
                <w:lang w:val="en-US"/>
              </w:rPr>
              <w:t>97</w:t>
            </w:r>
            <w:r w:rsidRPr="00AA2E04">
              <w:rPr>
                <w:rFonts w:ascii="Trebuchet MS" w:hAnsi="Trebuchet MS"/>
                <w:sz w:val="20"/>
                <w:szCs w:val="20"/>
                <w:lang w:val="en-US"/>
              </w:rPr>
              <w:t>:436–441.</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shd w:val="clear" w:color="auto" w:fill="FFFFFF"/>
              <w:jc w:val="both"/>
              <w:rPr>
                <w:rFonts w:ascii="Trebuchet MS" w:hAnsi="Trebuchet MS" w:cs="Arial"/>
                <w:bCs/>
                <w:sz w:val="20"/>
                <w:szCs w:val="20"/>
                <w:lang w:val="en-US" w:eastAsia="pt-PT"/>
              </w:rPr>
            </w:pPr>
            <w:r w:rsidRPr="00AA2E04">
              <w:rPr>
                <w:rFonts w:ascii="Trebuchet MS" w:hAnsi="Trebuchet MS" w:cs="Arial"/>
                <w:bCs/>
                <w:sz w:val="20"/>
                <w:szCs w:val="20"/>
                <w:lang w:val="en-US" w:eastAsia="pt-PT"/>
              </w:rPr>
              <w:t>Green, E. J., Dietrich, W.D., van Dijk, F., Busto, R., Markgraf, C.G., McCabe, P.M., Ginsberg, M.D. and Schneiderman, N. (1992). Protective effects of neural hypothermia on behavior fo</w:t>
            </w:r>
            <w:r w:rsidRPr="00AA2E04">
              <w:rPr>
                <w:rFonts w:ascii="Trebuchet MS" w:hAnsi="Trebuchet MS" w:cs="Arial"/>
                <w:bCs/>
                <w:sz w:val="20"/>
                <w:szCs w:val="20"/>
                <w:lang w:val="en-US" w:eastAsia="pt-PT"/>
              </w:rPr>
              <w:t>l</w:t>
            </w:r>
            <w:r w:rsidRPr="00AA2E04">
              <w:rPr>
                <w:rFonts w:ascii="Trebuchet MS" w:hAnsi="Trebuchet MS" w:cs="Arial"/>
                <w:bCs/>
                <w:sz w:val="20"/>
                <w:szCs w:val="20"/>
                <w:lang w:val="en-US" w:eastAsia="pt-PT"/>
              </w:rPr>
              <w:t xml:space="preserve">lowing global cerebral ischemia. </w:t>
            </w:r>
            <w:r w:rsidRPr="00AA2E04">
              <w:rPr>
                <w:rFonts w:ascii="Trebuchet MS" w:hAnsi="Trebuchet MS" w:cs="Arial"/>
                <w:bCs/>
                <w:i/>
                <w:sz w:val="20"/>
                <w:szCs w:val="20"/>
                <w:lang w:val="en-US" w:eastAsia="pt-PT"/>
              </w:rPr>
              <w:t>Brain Res</w:t>
            </w:r>
            <w:r w:rsidRPr="00AA2E04">
              <w:rPr>
                <w:rFonts w:ascii="Trebuchet MS" w:hAnsi="Trebuchet MS" w:cs="Arial"/>
                <w:bCs/>
                <w:sz w:val="20"/>
                <w:szCs w:val="20"/>
                <w:lang w:val="en-US" w:eastAsia="pt-PT"/>
              </w:rPr>
              <w:t xml:space="preserve">. </w:t>
            </w:r>
            <w:r w:rsidRPr="00AA2E04">
              <w:rPr>
                <w:rFonts w:ascii="Trebuchet MS" w:hAnsi="Trebuchet MS" w:cs="Arial"/>
                <w:b/>
                <w:bCs/>
                <w:sz w:val="20"/>
                <w:szCs w:val="20"/>
                <w:lang w:val="en-US" w:eastAsia="pt-PT"/>
              </w:rPr>
              <w:t>580</w:t>
            </w:r>
            <w:r w:rsidRPr="00AA2E04">
              <w:rPr>
                <w:rFonts w:ascii="Trebuchet MS" w:hAnsi="Trebuchet MS" w:cs="Arial"/>
                <w:bCs/>
                <w:sz w:val="20"/>
                <w:szCs w:val="20"/>
                <w:lang w:val="en-US" w:eastAsia="pt-PT"/>
              </w:rPr>
              <w:t>:197-204.</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Gruber, H. E., Hoffer, M. E., McAllister, D. R., Laikind, P. K., Lane, T. A., Schmid-Schoenbein, G. W. and Engler, R. L. (1989). Increase adenosine concentration in blood from ischemia my</w:t>
            </w:r>
            <w:r w:rsidRPr="00AA2E04">
              <w:rPr>
                <w:rFonts w:ascii="Trebuchet MS" w:hAnsi="Trebuchet MS"/>
                <w:sz w:val="20"/>
                <w:szCs w:val="20"/>
                <w:lang w:val="en-US"/>
              </w:rPr>
              <w:t>o</w:t>
            </w:r>
            <w:r w:rsidRPr="00AA2E04">
              <w:rPr>
                <w:rFonts w:ascii="Trebuchet MS" w:hAnsi="Trebuchet MS"/>
                <w:sz w:val="20"/>
                <w:szCs w:val="20"/>
                <w:lang w:val="en-US"/>
              </w:rPr>
              <w:t xml:space="preserve">cardium by AICA riboside: effects on flow, granulocytes and injury. </w:t>
            </w:r>
            <w:r w:rsidRPr="00AA2E04">
              <w:rPr>
                <w:rFonts w:ascii="Trebuchet MS" w:hAnsi="Trebuchet MS"/>
                <w:i/>
                <w:sz w:val="20"/>
                <w:szCs w:val="20"/>
                <w:lang w:val="en-US"/>
              </w:rPr>
              <w:t>Circulation</w:t>
            </w:r>
            <w:r w:rsidRPr="00AA2E04">
              <w:rPr>
                <w:rFonts w:ascii="Trebuchet MS" w:hAnsi="Trebuchet MS"/>
                <w:sz w:val="20"/>
                <w:szCs w:val="20"/>
                <w:lang w:val="en-US"/>
              </w:rPr>
              <w:t xml:space="preserve">. Volume </w:t>
            </w:r>
            <w:r w:rsidRPr="00AA2E04">
              <w:rPr>
                <w:rFonts w:ascii="Trebuchet MS" w:hAnsi="Trebuchet MS"/>
                <w:b/>
                <w:sz w:val="20"/>
                <w:szCs w:val="20"/>
                <w:lang w:val="en-US"/>
              </w:rPr>
              <w:t>80</w:t>
            </w:r>
            <w:r w:rsidRPr="00AA2E04">
              <w:rPr>
                <w:rFonts w:ascii="Trebuchet MS" w:hAnsi="Trebuchet MS"/>
                <w:sz w:val="20"/>
                <w:szCs w:val="20"/>
                <w:lang w:val="en-US"/>
              </w:rPr>
              <w:t>:1400-1411.</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jc w:val="both"/>
              <w:rPr>
                <w:rFonts w:ascii="Trebuchet MS" w:hAnsi="Trebuchet MS" w:cs="AdvTT5843c571"/>
                <w:sz w:val="20"/>
                <w:szCs w:val="20"/>
                <w:lang w:val="en-US"/>
              </w:rPr>
            </w:pPr>
            <w:r w:rsidRPr="00AA2E04">
              <w:rPr>
                <w:rFonts w:ascii="Trebuchet MS" w:hAnsi="Trebuchet MS" w:cs="AdvTT5843c571"/>
                <w:sz w:val="20"/>
                <w:szCs w:val="20"/>
                <w:lang w:val="en-US"/>
              </w:rPr>
              <w:t xml:space="preserve">Hashimoto, T., Yonetani, Y. and Nakamura, H. (2003). Selective Brain Hypothermia Protects against Hypoxic-Ischemic Injury in Newborn Rats by Reducing Hydroxyl Radical Production. </w:t>
            </w:r>
            <w:r w:rsidRPr="00AA2E04">
              <w:rPr>
                <w:rFonts w:ascii="Trebuchet MS" w:hAnsi="Trebuchet MS" w:cs="TimesNewRoman"/>
                <w:i/>
                <w:sz w:val="20"/>
                <w:szCs w:val="20"/>
                <w:lang w:val="en-US"/>
              </w:rPr>
              <w:t>Kobe J. Med. Sci.</w:t>
            </w:r>
            <w:r w:rsidRPr="00AA2E04">
              <w:rPr>
                <w:rFonts w:ascii="Trebuchet MS" w:hAnsi="Trebuchet MS" w:cs="TimesNewRoman"/>
                <w:sz w:val="20"/>
                <w:szCs w:val="20"/>
                <w:lang w:val="en-US"/>
              </w:rPr>
              <w:t xml:space="preserve"> Vol. </w:t>
            </w:r>
            <w:r w:rsidRPr="00AA2E04">
              <w:rPr>
                <w:rFonts w:ascii="Trebuchet MS" w:hAnsi="Trebuchet MS" w:cs="TimesNewRoman"/>
                <w:b/>
                <w:sz w:val="20"/>
                <w:szCs w:val="20"/>
                <w:lang w:val="en-US"/>
              </w:rPr>
              <w:t>49</w:t>
            </w:r>
            <w:r w:rsidRPr="00AA2E04">
              <w:rPr>
                <w:rFonts w:ascii="Trebuchet MS" w:hAnsi="Trebuchet MS" w:cs="TimesNewRoman"/>
                <w:sz w:val="20"/>
                <w:szCs w:val="20"/>
                <w:lang w:val="en-US"/>
              </w:rPr>
              <w:t>, Nº 4, pp. 83-91.</w:t>
            </w:r>
          </w:p>
          <w:p w:rsidR="00AF6EFC" w:rsidRPr="00AA2E04" w:rsidRDefault="00AF6EFC" w:rsidP="00C14921">
            <w:pPr>
              <w:jc w:val="both"/>
              <w:rPr>
                <w:rFonts w:ascii="Trebuchet MS" w:hAnsi="Trebuchet MS" w:cs="AdvTT5843c571"/>
                <w:sz w:val="20"/>
                <w:szCs w:val="20"/>
                <w:lang w:val="en-US"/>
              </w:rPr>
            </w:pPr>
          </w:p>
          <w:p w:rsidR="00AF6EFC" w:rsidRPr="00AA2E04" w:rsidRDefault="00AF6EFC" w:rsidP="00C14921">
            <w:pPr>
              <w:jc w:val="both"/>
              <w:rPr>
                <w:rFonts w:ascii="Trebuchet MS" w:hAnsi="Trebuchet MS" w:cs="AdvTT5843c571"/>
                <w:sz w:val="20"/>
                <w:szCs w:val="20"/>
                <w:lang w:val="en-US"/>
              </w:rPr>
            </w:pPr>
            <w:r w:rsidRPr="00AA2E04">
              <w:rPr>
                <w:rFonts w:ascii="Trebuchet MS" w:hAnsi="Trebuchet MS" w:cs="AdvTT5843c571"/>
                <w:sz w:val="20"/>
                <w:szCs w:val="20"/>
                <w:lang w:val="en-US"/>
              </w:rPr>
              <w:t>Hassen, G. W., Tian, D., Ding, D. and Bergold, P. J. (2004). A new model of ischemic preco</w:t>
            </w:r>
            <w:r w:rsidRPr="00AA2E04">
              <w:rPr>
                <w:rFonts w:ascii="Trebuchet MS" w:hAnsi="Trebuchet MS" w:cs="AdvTT5843c571"/>
                <w:sz w:val="20"/>
                <w:szCs w:val="20"/>
                <w:lang w:val="en-US"/>
              </w:rPr>
              <w:t>n</w:t>
            </w:r>
            <w:r w:rsidRPr="00AA2E04">
              <w:rPr>
                <w:rFonts w:ascii="Trebuchet MS" w:hAnsi="Trebuchet MS" w:cs="AdvTT5843c571"/>
                <w:sz w:val="20"/>
                <w:szCs w:val="20"/>
                <w:lang w:val="en-US"/>
              </w:rPr>
              <w:t xml:space="preserve">ditioning using young adult hippocampal slices culture. </w:t>
            </w:r>
            <w:r w:rsidRPr="00AA2E04">
              <w:rPr>
                <w:rFonts w:ascii="Trebuchet MS" w:hAnsi="Trebuchet MS" w:cs="AdvTT5843c571"/>
                <w:i/>
                <w:sz w:val="20"/>
                <w:szCs w:val="20"/>
                <w:lang w:val="en-US"/>
              </w:rPr>
              <w:t>Brain Research Protocols.</w:t>
            </w:r>
            <w:r w:rsidRPr="00AA2E04">
              <w:rPr>
                <w:rFonts w:ascii="Trebuchet MS" w:hAnsi="Trebuchet MS" w:cs="AdvTT5843c571"/>
                <w:sz w:val="20"/>
                <w:szCs w:val="20"/>
                <w:lang w:val="en-US"/>
              </w:rPr>
              <w:t xml:space="preserve"> </w:t>
            </w:r>
            <w:r w:rsidRPr="00AA2E04">
              <w:rPr>
                <w:rFonts w:ascii="Trebuchet MS" w:hAnsi="Trebuchet MS" w:cs="AdvTT5843c571"/>
                <w:b/>
                <w:sz w:val="20"/>
                <w:szCs w:val="20"/>
                <w:lang w:val="en-US"/>
              </w:rPr>
              <w:t>13</w:t>
            </w:r>
            <w:r w:rsidRPr="00AA2E04">
              <w:rPr>
                <w:rFonts w:ascii="Trebuchet MS" w:hAnsi="Trebuchet MS" w:cs="AdvTT5843c571"/>
                <w:sz w:val="20"/>
                <w:szCs w:val="20"/>
                <w:lang w:val="en-US"/>
              </w:rPr>
              <w:t>: 135– 143.</w:t>
            </w:r>
          </w:p>
          <w:p w:rsidR="00AF6EFC" w:rsidRPr="00AA2E04" w:rsidRDefault="00AF6EFC" w:rsidP="00C14921">
            <w:pPr>
              <w:jc w:val="both"/>
              <w:rPr>
                <w:rFonts w:ascii="Trebuchet MS" w:hAnsi="Trebuchet MS" w:cs="AdvTT5843c571"/>
                <w:sz w:val="20"/>
                <w:szCs w:val="20"/>
                <w:lang w:val="en-US"/>
              </w:rPr>
            </w:pPr>
          </w:p>
          <w:p w:rsidR="00AF6EFC" w:rsidRPr="00AA2E04" w:rsidRDefault="00AF6EFC" w:rsidP="00C14921">
            <w:pPr>
              <w:autoSpaceDE w:val="0"/>
              <w:autoSpaceDN w:val="0"/>
              <w:adjustRightInd w:val="0"/>
              <w:jc w:val="both"/>
              <w:rPr>
                <w:rFonts w:ascii="Trebuchet MS" w:hAnsi="Trebuchet MS" w:cs="AdvTT5843c571"/>
                <w:sz w:val="20"/>
                <w:szCs w:val="20"/>
                <w:lang w:val="en-US"/>
              </w:rPr>
            </w:pPr>
            <w:r w:rsidRPr="00AA2E04">
              <w:rPr>
                <w:rFonts w:ascii="Trebuchet MS" w:hAnsi="Trebuchet MS" w:cs="AdvTT5843c571"/>
                <w:sz w:val="20"/>
                <w:szCs w:val="20"/>
                <w:lang w:val="en-US"/>
              </w:rPr>
              <w:t>Heurteaux, C., Lauritzen, I., Widmann, C. and Lazdunski, M. (1995). Essential role of aden</w:t>
            </w:r>
            <w:r w:rsidRPr="00AA2E04">
              <w:rPr>
                <w:rFonts w:ascii="Trebuchet MS" w:hAnsi="Trebuchet MS" w:cs="AdvTT5843c571"/>
                <w:sz w:val="20"/>
                <w:szCs w:val="20"/>
                <w:lang w:val="en-US"/>
              </w:rPr>
              <w:t>o</w:t>
            </w:r>
            <w:r w:rsidRPr="00AA2E04">
              <w:rPr>
                <w:rFonts w:ascii="Trebuchet MS" w:hAnsi="Trebuchet MS" w:cs="AdvTT5843c571"/>
                <w:sz w:val="20"/>
                <w:szCs w:val="20"/>
                <w:lang w:val="en-US"/>
              </w:rPr>
              <w:t>sine, adenosine A</w:t>
            </w:r>
            <w:r w:rsidR="00B75287" w:rsidRPr="00AA2E04">
              <w:rPr>
                <w:rFonts w:ascii="Trebuchet MS" w:hAnsi="Trebuchet MS" w:cs="AdvTT5843c571"/>
                <w:sz w:val="20"/>
                <w:szCs w:val="20"/>
                <w:lang w:val="en-US"/>
              </w:rPr>
              <w:t>1</w:t>
            </w:r>
            <w:r w:rsidRPr="00AA2E04">
              <w:rPr>
                <w:rFonts w:ascii="Trebuchet MS" w:hAnsi="Trebuchet MS" w:cs="AdvTT5843c571"/>
                <w:sz w:val="20"/>
                <w:szCs w:val="20"/>
                <w:lang w:val="en-US"/>
              </w:rPr>
              <w:t xml:space="preserve"> receptors, and ATP-sensitive K</w:t>
            </w:r>
            <w:r w:rsidRPr="00AA2E04">
              <w:rPr>
                <w:rFonts w:ascii="Trebuchet MS" w:hAnsi="Trebuchet MS" w:cs="AdvTT5843c571"/>
                <w:sz w:val="20"/>
                <w:szCs w:val="20"/>
                <w:vertAlign w:val="superscript"/>
                <w:lang w:val="en-US"/>
              </w:rPr>
              <w:t>+</w:t>
            </w:r>
            <w:r w:rsidRPr="00AA2E04">
              <w:rPr>
                <w:rFonts w:ascii="Trebuchet MS" w:hAnsi="Trebuchet MS" w:cs="AdvTT5843c571"/>
                <w:sz w:val="20"/>
                <w:szCs w:val="20"/>
                <w:lang w:val="en-US"/>
              </w:rPr>
              <w:t xml:space="preserve"> channels in cerebral ischemic precond</w:t>
            </w:r>
            <w:r w:rsidRPr="00AA2E04">
              <w:rPr>
                <w:rFonts w:ascii="Trebuchet MS" w:hAnsi="Trebuchet MS" w:cs="AdvTT5843c571"/>
                <w:sz w:val="20"/>
                <w:szCs w:val="20"/>
                <w:lang w:val="en-US"/>
              </w:rPr>
              <w:t>i</w:t>
            </w:r>
            <w:r w:rsidRPr="00AA2E04">
              <w:rPr>
                <w:rFonts w:ascii="Trebuchet MS" w:hAnsi="Trebuchet MS" w:cs="AdvTT5843c571"/>
                <w:sz w:val="20"/>
                <w:szCs w:val="20"/>
                <w:lang w:val="en-US"/>
              </w:rPr>
              <w:t xml:space="preserve">tioning (forebrain ischemia/gene expression). </w:t>
            </w:r>
            <w:r w:rsidRPr="00AA2E04">
              <w:rPr>
                <w:rFonts w:ascii="Trebuchet MS" w:hAnsi="Trebuchet MS" w:cs="AdvTT5843c571"/>
                <w:i/>
                <w:sz w:val="20"/>
                <w:szCs w:val="20"/>
                <w:lang w:val="en-US"/>
              </w:rPr>
              <w:t>Proc. Natl. Acad. Sci. USA.</w:t>
            </w:r>
            <w:r w:rsidRPr="00AA2E04">
              <w:rPr>
                <w:rFonts w:ascii="Trebuchet MS" w:hAnsi="Trebuchet MS" w:cs="AdvTT5843c571"/>
                <w:sz w:val="20"/>
                <w:szCs w:val="20"/>
                <w:lang w:val="en-US"/>
              </w:rPr>
              <w:t xml:space="preserve"> Vol. </w:t>
            </w:r>
            <w:r w:rsidRPr="00AA2E04">
              <w:rPr>
                <w:rFonts w:ascii="Trebuchet MS" w:hAnsi="Trebuchet MS" w:cs="AdvTT5843c571"/>
                <w:b/>
                <w:sz w:val="20"/>
                <w:szCs w:val="20"/>
                <w:lang w:val="en-US"/>
              </w:rPr>
              <w:t>92</w:t>
            </w:r>
            <w:r w:rsidRPr="00AA2E04">
              <w:rPr>
                <w:rFonts w:ascii="Trebuchet MS" w:hAnsi="Trebuchet MS" w:cs="AdvTT5843c571"/>
                <w:sz w:val="20"/>
                <w:szCs w:val="20"/>
                <w:lang w:val="en-US"/>
              </w:rPr>
              <w:t>: 4666-4670.</w:t>
            </w:r>
          </w:p>
          <w:p w:rsidR="00AF6EFC" w:rsidRPr="00AA2E04" w:rsidRDefault="00AF6EFC" w:rsidP="00C14921">
            <w:pPr>
              <w:autoSpaceDE w:val="0"/>
              <w:autoSpaceDN w:val="0"/>
              <w:adjustRightInd w:val="0"/>
              <w:jc w:val="both"/>
              <w:rPr>
                <w:rFonts w:ascii="Trebuchet MS" w:hAnsi="Trebuchet MS" w:cs="AdvTT5843c571"/>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cs="AdvTT5843c571"/>
                <w:sz w:val="20"/>
                <w:szCs w:val="20"/>
                <w:lang w:val="en-US"/>
              </w:rPr>
              <w:t>Huang, P. L. (2004).</w:t>
            </w:r>
            <w:r w:rsidRPr="00AA2E04">
              <w:rPr>
                <w:rFonts w:ascii="Trebuchet MS" w:hAnsi="Trebuchet MS"/>
                <w:sz w:val="20"/>
                <w:szCs w:val="20"/>
                <w:lang w:val="en-US"/>
              </w:rPr>
              <w:t xml:space="preserve"> Nitric oxide and cerebral ischemic preconditioning. </w:t>
            </w:r>
            <w:r w:rsidRPr="00AA2E04">
              <w:rPr>
                <w:rFonts w:ascii="Trebuchet MS" w:hAnsi="Trebuchet MS"/>
                <w:i/>
                <w:sz w:val="20"/>
                <w:szCs w:val="20"/>
                <w:lang w:val="en-US"/>
              </w:rPr>
              <w:t>Cell Calcium</w:t>
            </w:r>
            <w:r w:rsidRPr="00AA2E04">
              <w:rPr>
                <w:rFonts w:ascii="Trebuchet MS" w:hAnsi="Trebuchet MS"/>
                <w:sz w:val="20"/>
                <w:szCs w:val="20"/>
                <w:lang w:val="en-US"/>
              </w:rPr>
              <w:t xml:space="preserve">. Volume </w:t>
            </w:r>
            <w:r w:rsidRPr="00AA2E04">
              <w:rPr>
                <w:rFonts w:ascii="Trebuchet MS" w:hAnsi="Trebuchet MS"/>
                <w:b/>
                <w:sz w:val="20"/>
                <w:szCs w:val="20"/>
                <w:lang w:val="en-US"/>
              </w:rPr>
              <w:t>36</w:t>
            </w:r>
            <w:r w:rsidRPr="00AA2E04">
              <w:rPr>
                <w:rFonts w:ascii="Trebuchet MS" w:hAnsi="Trebuchet MS"/>
                <w:sz w:val="20"/>
                <w:szCs w:val="20"/>
                <w:lang w:val="en-US"/>
              </w:rPr>
              <w:t>: 323–329.</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rPr>
              <w:t xml:space="preserve">Izumi, Y., Izumi, M., Benz, A.M., Zorumski, C.F. (2001). </w:t>
            </w:r>
            <w:r w:rsidRPr="00AA2E04">
              <w:rPr>
                <w:rFonts w:ascii="Trebuchet MS" w:hAnsi="Trebuchet MS"/>
                <w:sz w:val="20"/>
                <w:szCs w:val="20"/>
                <w:lang w:val="en-US"/>
              </w:rPr>
              <w:t>Lactate dehydrogenase release is f</w:t>
            </w:r>
            <w:r w:rsidRPr="00AA2E04">
              <w:rPr>
                <w:rFonts w:ascii="Trebuchet MS" w:hAnsi="Trebuchet MS"/>
                <w:sz w:val="20"/>
                <w:szCs w:val="20"/>
                <w:lang w:val="en-US"/>
              </w:rPr>
              <w:t>a</w:t>
            </w:r>
            <w:r w:rsidRPr="00AA2E04">
              <w:rPr>
                <w:rFonts w:ascii="Trebuchet MS" w:hAnsi="Trebuchet MS"/>
                <w:sz w:val="20"/>
                <w:szCs w:val="20"/>
                <w:lang w:val="en-US"/>
              </w:rPr>
              <w:t xml:space="preserve">cilitated by brief sonication of rat hippocampal slices and isolated retinas following acute neuronal damage. </w:t>
            </w:r>
            <w:r w:rsidRPr="00AA2E04">
              <w:rPr>
                <w:rFonts w:ascii="Trebuchet MS" w:hAnsi="Trebuchet MS"/>
                <w:i/>
                <w:sz w:val="20"/>
                <w:szCs w:val="20"/>
                <w:lang w:val="en-US"/>
              </w:rPr>
              <w:t xml:space="preserve">J. Neurosci. Methods. </w:t>
            </w:r>
            <w:r w:rsidRPr="00AA2E04">
              <w:rPr>
                <w:rFonts w:ascii="Trebuchet MS" w:hAnsi="Trebuchet MS"/>
                <w:b/>
                <w:sz w:val="20"/>
                <w:szCs w:val="20"/>
                <w:lang w:val="en-US"/>
              </w:rPr>
              <w:t>108</w:t>
            </w:r>
            <w:r w:rsidRPr="00AA2E04">
              <w:rPr>
                <w:rFonts w:ascii="Trebuchet MS" w:hAnsi="Trebuchet MS"/>
                <w:sz w:val="20"/>
                <w:szCs w:val="20"/>
                <w:lang w:val="en-US"/>
              </w:rPr>
              <w:t>: 49–55.</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275595" w:rsidRPr="00AA2E04" w:rsidRDefault="00275595" w:rsidP="00C14921">
            <w:pPr>
              <w:jc w:val="both"/>
              <w:rPr>
                <w:rFonts w:ascii="Trebuchet MS" w:hAnsi="Trebuchet MS" w:cs="Arial"/>
                <w:bCs/>
                <w:sz w:val="20"/>
                <w:szCs w:val="20"/>
                <w:lang w:val="en-US" w:eastAsia="pt-PT"/>
              </w:rPr>
            </w:pPr>
            <w:r w:rsidRPr="00AA2E04">
              <w:rPr>
                <w:rFonts w:ascii="Trebuchet MS" w:hAnsi="Trebuchet MS" w:cs="Arial"/>
                <w:bCs/>
                <w:sz w:val="20"/>
                <w:szCs w:val="20"/>
                <w:lang w:val="en-US" w:eastAsia="pt-PT"/>
              </w:rPr>
              <w:t>Jacobson, K. A., Hoffmann, C., Cattabeni, F. and Abbracchio, M. P. (</w:t>
            </w:r>
            <w:r w:rsidRPr="00AA2E04">
              <w:rPr>
                <w:rFonts w:ascii="Trebuchet MS" w:hAnsi="Trebuchet MS" w:cs="GaramondThree"/>
                <w:sz w:val="20"/>
                <w:szCs w:val="20"/>
                <w:lang w:val="en-US" w:eastAsia="pt-PT"/>
              </w:rPr>
              <w:t>1999</w:t>
            </w:r>
            <w:r w:rsidRPr="00AA2E04">
              <w:rPr>
                <w:rFonts w:ascii="Trebuchet MS" w:hAnsi="Trebuchet MS" w:cs="Arial"/>
                <w:bCs/>
                <w:sz w:val="20"/>
                <w:szCs w:val="20"/>
                <w:lang w:val="en-US" w:eastAsia="pt-PT"/>
              </w:rPr>
              <w:t xml:space="preserve">). Adenosine-induced cell death: evidence for receptor-mediated signaling. </w:t>
            </w:r>
            <w:r w:rsidRPr="00AA2E04">
              <w:rPr>
                <w:rFonts w:ascii="Trebuchet MS" w:hAnsi="Trebuchet MS" w:cs="GaramondThree-Italic"/>
                <w:i/>
                <w:iCs/>
                <w:sz w:val="20"/>
                <w:szCs w:val="20"/>
                <w:lang w:val="en-US" w:eastAsia="pt-PT"/>
              </w:rPr>
              <w:t xml:space="preserve">Apoptosis. </w:t>
            </w:r>
            <w:r w:rsidRPr="00AA2E04">
              <w:rPr>
                <w:rFonts w:ascii="Trebuchet MS" w:hAnsi="Trebuchet MS" w:cs="GaramondThree"/>
                <w:sz w:val="20"/>
                <w:szCs w:val="20"/>
                <w:lang w:val="en-US" w:eastAsia="pt-PT"/>
              </w:rPr>
              <w:t xml:space="preserve"> </w:t>
            </w:r>
            <w:r w:rsidRPr="00AA2E04">
              <w:rPr>
                <w:rFonts w:ascii="Trebuchet MS" w:hAnsi="Trebuchet MS" w:cs="GaramondThree-Bold"/>
                <w:b/>
                <w:bCs/>
                <w:sz w:val="20"/>
                <w:szCs w:val="20"/>
                <w:lang w:val="en-US" w:eastAsia="pt-PT"/>
              </w:rPr>
              <w:t>4</w:t>
            </w:r>
            <w:r w:rsidRPr="00AA2E04">
              <w:rPr>
                <w:rFonts w:ascii="Trebuchet MS" w:hAnsi="Trebuchet MS" w:cs="GaramondThree"/>
                <w:sz w:val="20"/>
                <w:szCs w:val="20"/>
                <w:lang w:val="en-US" w:eastAsia="pt-PT"/>
              </w:rPr>
              <w:t>: 197–21.</w:t>
            </w:r>
          </w:p>
          <w:p w:rsidR="00275595" w:rsidRPr="00AA2E04" w:rsidRDefault="00275595"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Joshi, C.N., Jain, S.K. and Murthy, P.S.R. (2004) An optimized triphenyltetrazolium chloride </w:t>
            </w:r>
            <w:r w:rsidRPr="00AA2E04">
              <w:rPr>
                <w:rFonts w:ascii="Trebuchet MS" w:hAnsi="Trebuchet MS"/>
                <w:sz w:val="20"/>
                <w:szCs w:val="20"/>
                <w:lang w:val="en-US"/>
              </w:rPr>
              <w:lastRenderedPageBreak/>
              <w:t xml:space="preserve">method for identification of cerebral infarcts. </w:t>
            </w:r>
            <w:r w:rsidRPr="00AA2E04">
              <w:rPr>
                <w:rFonts w:ascii="Trebuchet MS" w:hAnsi="Trebuchet MS" w:cs="AdvTT5843c571"/>
                <w:i/>
                <w:sz w:val="20"/>
                <w:szCs w:val="20"/>
                <w:lang w:val="en-US"/>
              </w:rPr>
              <w:t>Brain Research Protocols</w:t>
            </w:r>
            <w:r w:rsidRPr="00AA2E04">
              <w:rPr>
                <w:rFonts w:ascii="Trebuchet MS" w:hAnsi="Trebuchet MS" w:cs="AdvTT5843c571"/>
                <w:sz w:val="20"/>
                <w:szCs w:val="20"/>
                <w:lang w:val="en-US"/>
              </w:rPr>
              <w:t xml:space="preserve">. </w:t>
            </w:r>
            <w:r w:rsidRPr="00AA2E04">
              <w:rPr>
                <w:rFonts w:ascii="Trebuchet MS" w:hAnsi="Trebuchet MS" w:cs="AdvTT5843c571"/>
                <w:b/>
                <w:sz w:val="20"/>
                <w:szCs w:val="20"/>
                <w:lang w:val="en-US"/>
              </w:rPr>
              <w:t>13</w:t>
            </w:r>
            <w:r w:rsidRPr="00AA2E04">
              <w:rPr>
                <w:rFonts w:ascii="Trebuchet MS" w:hAnsi="Trebuchet MS" w:cs="AdvTT5843c571"/>
                <w:sz w:val="20"/>
                <w:szCs w:val="20"/>
                <w:lang w:val="en-US"/>
              </w:rPr>
              <w:t>: 11 –17.</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lastRenderedPageBreak/>
              <w:t xml:space="preserve">Kitagawa, K. and Tgaya, M. (1990). “Ischemic tolerance” phenomenon found in the brain. </w:t>
            </w:r>
            <w:r w:rsidRPr="00AA2E04">
              <w:rPr>
                <w:rFonts w:ascii="Trebuchet MS" w:hAnsi="Trebuchet MS"/>
                <w:i/>
                <w:iCs/>
                <w:sz w:val="20"/>
                <w:szCs w:val="20"/>
                <w:lang w:val="en-US"/>
              </w:rPr>
              <w:t>Brain Res</w:t>
            </w:r>
            <w:r w:rsidRPr="00AA2E04">
              <w:rPr>
                <w:rFonts w:ascii="Trebuchet MS" w:hAnsi="Trebuchet MS"/>
                <w:iCs/>
                <w:sz w:val="20"/>
                <w:szCs w:val="20"/>
                <w:lang w:val="en-US"/>
              </w:rPr>
              <w:t>.</w:t>
            </w:r>
            <w:r w:rsidRPr="00AA2E04">
              <w:rPr>
                <w:rFonts w:ascii="Trebuchet MS" w:hAnsi="Trebuchet MS"/>
                <w:sz w:val="20"/>
                <w:szCs w:val="20"/>
                <w:lang w:val="en-US"/>
              </w:rPr>
              <w:t xml:space="preserve"> Vol. </w:t>
            </w:r>
            <w:r w:rsidRPr="00AA2E04">
              <w:rPr>
                <w:rFonts w:ascii="Trebuchet MS" w:hAnsi="Trebuchet MS"/>
                <w:b/>
                <w:bCs/>
                <w:sz w:val="20"/>
                <w:szCs w:val="20"/>
                <w:lang w:val="en-US"/>
              </w:rPr>
              <w:t>528</w:t>
            </w:r>
            <w:r w:rsidRPr="00AA2E04">
              <w:rPr>
                <w:rFonts w:ascii="Trebuchet MS" w:hAnsi="Trebuchet MS"/>
                <w:sz w:val="20"/>
                <w:szCs w:val="20"/>
                <w:lang w:val="en-US"/>
              </w:rPr>
              <w:t>: 21–24.</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Kudryashov, I.E., Onufriev, M.V., Kudryashova, I.V. and Gulyaeva, N. V. (2001). Periods of postnatal maturation of hippocampus: synaptic modifications and neuronal disconnection. </w:t>
            </w:r>
            <w:r w:rsidRPr="00AA2E04">
              <w:rPr>
                <w:rFonts w:ascii="Trebuchet MS" w:hAnsi="Trebuchet MS"/>
                <w:i/>
                <w:sz w:val="20"/>
                <w:szCs w:val="20"/>
                <w:lang w:val="en-US"/>
              </w:rPr>
              <w:t>Developmental Brain Research</w:t>
            </w:r>
            <w:r w:rsidRPr="00AA2E04">
              <w:rPr>
                <w:rFonts w:ascii="Trebuchet MS" w:hAnsi="Trebuchet MS"/>
                <w:sz w:val="20"/>
                <w:szCs w:val="20"/>
                <w:lang w:val="en-US"/>
              </w:rPr>
              <w:t xml:space="preserve">. </w:t>
            </w:r>
            <w:r w:rsidRPr="00AA2E04">
              <w:rPr>
                <w:rFonts w:ascii="Trebuchet MS" w:hAnsi="Trebuchet MS"/>
                <w:b/>
                <w:sz w:val="20"/>
                <w:szCs w:val="20"/>
                <w:lang w:val="en-US"/>
              </w:rPr>
              <w:t>132</w:t>
            </w:r>
            <w:r w:rsidRPr="00AA2E04">
              <w:rPr>
                <w:rFonts w:ascii="Trebuchet MS" w:hAnsi="Trebuchet MS"/>
                <w:sz w:val="20"/>
                <w:szCs w:val="20"/>
                <w:lang w:val="en-US"/>
              </w:rPr>
              <w:t>: 113–120.</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cs="Times-Roman"/>
                <w:iCs/>
                <w:sz w:val="20"/>
                <w:szCs w:val="20"/>
                <w:lang w:val="en-US"/>
              </w:rPr>
            </w:pPr>
            <w:r w:rsidRPr="00AA2E04">
              <w:rPr>
                <w:rFonts w:ascii="Trebuchet MS" w:hAnsi="Trebuchet MS" w:cs="Times-Roman"/>
                <w:bCs/>
                <w:sz w:val="20"/>
                <w:szCs w:val="20"/>
                <w:lang w:val="en-US"/>
              </w:rPr>
              <w:t>Kudryashova, I. V., Onufriev, M. V., Kudryashov, I. E., and Gulyaeva, N. V. (2009b). Caspase-3 Activity in Hippocampal Slices Reflects Changes in Synaptic Plasticity</w:t>
            </w:r>
            <w:r w:rsidRPr="00AA2E04">
              <w:rPr>
                <w:rFonts w:ascii="Trebuchet MS" w:hAnsi="Trebuchet MS" w:cs="Times-Roman"/>
                <w:b/>
                <w:bCs/>
                <w:sz w:val="20"/>
                <w:szCs w:val="20"/>
                <w:lang w:val="en-US"/>
              </w:rPr>
              <w:t xml:space="preserve"> </w:t>
            </w:r>
            <w:r w:rsidRPr="00AA2E04">
              <w:rPr>
                <w:rFonts w:ascii="Trebuchet MS" w:hAnsi="Trebuchet MS" w:cs="Times-Roman"/>
                <w:i/>
                <w:iCs/>
                <w:sz w:val="20"/>
                <w:szCs w:val="20"/>
                <w:lang w:val="en-US"/>
              </w:rPr>
              <w:t>Neuroscience and Beh</w:t>
            </w:r>
            <w:r w:rsidRPr="00AA2E04">
              <w:rPr>
                <w:rFonts w:ascii="Trebuchet MS" w:hAnsi="Trebuchet MS" w:cs="Times-Roman"/>
                <w:i/>
                <w:iCs/>
                <w:sz w:val="20"/>
                <w:szCs w:val="20"/>
                <w:lang w:val="en-US"/>
              </w:rPr>
              <w:t>a</w:t>
            </w:r>
            <w:r w:rsidRPr="00AA2E04">
              <w:rPr>
                <w:rFonts w:ascii="Trebuchet MS" w:hAnsi="Trebuchet MS" w:cs="Times-Roman"/>
                <w:i/>
                <w:iCs/>
                <w:sz w:val="20"/>
                <w:szCs w:val="20"/>
                <w:lang w:val="en-US"/>
              </w:rPr>
              <w:t xml:space="preserve">vioral Physiology. </w:t>
            </w:r>
            <w:r w:rsidRPr="00AA2E04">
              <w:rPr>
                <w:rFonts w:ascii="Trebuchet MS" w:hAnsi="Trebuchet MS" w:cs="Times-Roman"/>
                <w:iCs/>
                <w:sz w:val="20"/>
                <w:szCs w:val="20"/>
                <w:lang w:val="en-US"/>
              </w:rPr>
              <w:t xml:space="preserve">Vol. </w:t>
            </w:r>
            <w:r w:rsidRPr="00AA2E04">
              <w:rPr>
                <w:rFonts w:ascii="Trebuchet MS" w:hAnsi="Trebuchet MS" w:cs="Times-Roman"/>
                <w:b/>
                <w:iCs/>
                <w:sz w:val="20"/>
                <w:szCs w:val="20"/>
                <w:lang w:val="en-US"/>
              </w:rPr>
              <w:t>39</w:t>
            </w:r>
            <w:r w:rsidRPr="00AA2E04">
              <w:rPr>
                <w:rFonts w:ascii="Trebuchet MS" w:hAnsi="Trebuchet MS" w:cs="Times-Roman"/>
                <w:iCs/>
                <w:sz w:val="20"/>
                <w:szCs w:val="20"/>
                <w:lang w:val="en-US"/>
              </w:rPr>
              <w:t>: Nº. 1.</w:t>
            </w:r>
          </w:p>
          <w:p w:rsidR="00AF6EFC" w:rsidRPr="00AA2E04" w:rsidRDefault="00AF6EFC" w:rsidP="00C14921">
            <w:pPr>
              <w:autoSpaceDE w:val="0"/>
              <w:autoSpaceDN w:val="0"/>
              <w:adjustRightInd w:val="0"/>
              <w:jc w:val="both"/>
              <w:rPr>
                <w:rFonts w:ascii="Trebuchet MS" w:hAnsi="Trebuchet MS" w:cs="Times-Roman"/>
                <w:i/>
                <w:iCs/>
                <w:sz w:val="20"/>
                <w:szCs w:val="20"/>
                <w:lang w:val="en-US"/>
              </w:rPr>
            </w:pPr>
          </w:p>
          <w:p w:rsidR="00AF6EFC" w:rsidRPr="00AA2E04" w:rsidRDefault="00AF6EFC" w:rsidP="00C14921">
            <w:pPr>
              <w:autoSpaceDE w:val="0"/>
              <w:autoSpaceDN w:val="0"/>
              <w:adjustRightInd w:val="0"/>
              <w:jc w:val="both"/>
              <w:rPr>
                <w:rFonts w:ascii="Trebuchet MS" w:hAnsi="Trebuchet MS"/>
                <w:iCs/>
                <w:sz w:val="20"/>
                <w:szCs w:val="20"/>
                <w:lang w:val="en-US"/>
              </w:rPr>
            </w:pPr>
            <w:r w:rsidRPr="00AA2E04">
              <w:rPr>
                <w:rFonts w:ascii="Trebuchet MS" w:hAnsi="Trebuchet MS"/>
                <w:bCs/>
                <w:sz w:val="20"/>
                <w:szCs w:val="20"/>
                <w:lang w:val="en-US"/>
              </w:rPr>
              <w:t>Kudryashova, I.V., Stepanichev, M.Y. and Gulyaeva, N.V. (2009a).</w:t>
            </w:r>
            <w:r w:rsidRPr="00AA2E04">
              <w:rPr>
                <w:rFonts w:ascii="Trebuchet MS" w:hAnsi="Trebuchet MS"/>
                <w:sz w:val="20"/>
                <w:szCs w:val="20"/>
                <w:lang w:val="en-US"/>
              </w:rPr>
              <w:t xml:space="preserve"> </w:t>
            </w:r>
            <w:r w:rsidRPr="00AA2E04">
              <w:rPr>
                <w:rFonts w:ascii="Trebuchet MS" w:hAnsi="Trebuchet MS"/>
                <w:bCs/>
                <w:sz w:val="20"/>
                <w:szCs w:val="20"/>
                <w:lang w:val="en-US"/>
              </w:rPr>
              <w:t xml:space="preserve">Activation of Caspase-3 Is Required for the Development of Operant Behavior in Postnatal Ontogenesis. </w:t>
            </w:r>
            <w:r w:rsidRPr="00AA2E04">
              <w:rPr>
                <w:rFonts w:ascii="Trebuchet MS" w:hAnsi="Trebuchet MS"/>
                <w:i/>
                <w:iCs/>
                <w:sz w:val="20"/>
                <w:szCs w:val="20"/>
                <w:lang w:val="en-US"/>
              </w:rPr>
              <w:t>Neuroscience and Behavioral Physiology</w:t>
            </w:r>
            <w:r w:rsidRPr="00AA2E04">
              <w:rPr>
                <w:rFonts w:ascii="Trebuchet MS" w:hAnsi="Trebuchet MS"/>
                <w:iCs/>
                <w:sz w:val="20"/>
                <w:szCs w:val="20"/>
                <w:lang w:val="en-US"/>
              </w:rPr>
              <w:t xml:space="preserve">. Vol. </w:t>
            </w:r>
            <w:r w:rsidRPr="00AA2E04">
              <w:rPr>
                <w:rFonts w:ascii="Trebuchet MS" w:hAnsi="Trebuchet MS"/>
                <w:b/>
                <w:iCs/>
                <w:sz w:val="20"/>
                <w:szCs w:val="20"/>
                <w:lang w:val="en-US"/>
              </w:rPr>
              <w:t>39</w:t>
            </w:r>
            <w:r w:rsidRPr="00AA2E04">
              <w:rPr>
                <w:rFonts w:ascii="Trebuchet MS" w:hAnsi="Trebuchet MS"/>
                <w:iCs/>
                <w:sz w:val="20"/>
                <w:szCs w:val="20"/>
                <w:lang w:val="en-US"/>
              </w:rPr>
              <w:t>, Nº. 1.</w:t>
            </w:r>
          </w:p>
          <w:p w:rsidR="00AF6EFC" w:rsidRPr="00AA2E04" w:rsidRDefault="00AF6EFC" w:rsidP="00C14921">
            <w:pPr>
              <w:autoSpaceDE w:val="0"/>
              <w:autoSpaceDN w:val="0"/>
              <w:adjustRightInd w:val="0"/>
              <w:jc w:val="both"/>
              <w:rPr>
                <w:rFonts w:ascii="Trebuchet MS" w:hAnsi="Trebuchet MS" w:cs="AdvGillSan-L"/>
                <w:sz w:val="20"/>
                <w:szCs w:val="20"/>
                <w:lang w:val="en-US"/>
              </w:rPr>
            </w:pPr>
          </w:p>
          <w:p w:rsidR="00AF6EFC" w:rsidRPr="00AA2E04" w:rsidRDefault="00AF6EFC" w:rsidP="00C14921">
            <w:pPr>
              <w:autoSpaceDE w:val="0"/>
              <w:autoSpaceDN w:val="0"/>
              <w:adjustRightInd w:val="0"/>
              <w:jc w:val="both"/>
              <w:rPr>
                <w:rFonts w:ascii="Trebuchet MS" w:hAnsi="Trebuchet MS" w:cs="AdvTimes"/>
                <w:bCs/>
                <w:sz w:val="20"/>
                <w:szCs w:val="20"/>
                <w:lang w:val="en-US"/>
              </w:rPr>
            </w:pPr>
            <w:r w:rsidRPr="00AA2E04">
              <w:rPr>
                <w:rFonts w:ascii="Trebuchet MS" w:hAnsi="Trebuchet MS" w:cs="AdvTimes"/>
                <w:bCs/>
                <w:sz w:val="20"/>
                <w:szCs w:val="20"/>
                <w:lang w:val="en-US"/>
              </w:rPr>
              <w:t>Kukley M., Schwan, M., Fredholm, B. B. and Dietric, D. (2005). The Role of Extracellular Ad</w:t>
            </w:r>
            <w:r w:rsidRPr="00AA2E04">
              <w:rPr>
                <w:rFonts w:ascii="Trebuchet MS" w:hAnsi="Trebuchet MS" w:cs="AdvTimes"/>
                <w:bCs/>
                <w:sz w:val="20"/>
                <w:szCs w:val="20"/>
                <w:lang w:val="en-US"/>
              </w:rPr>
              <w:t>e</w:t>
            </w:r>
            <w:r w:rsidRPr="00AA2E04">
              <w:rPr>
                <w:rFonts w:ascii="Trebuchet MS" w:hAnsi="Trebuchet MS" w:cs="AdvTimes"/>
                <w:bCs/>
                <w:sz w:val="20"/>
                <w:szCs w:val="20"/>
                <w:lang w:val="en-US"/>
              </w:rPr>
              <w:t xml:space="preserve">nosine in Regulating Mossy Fiber Synaptic Plasticity. </w:t>
            </w:r>
            <w:r w:rsidRPr="00AA2E04">
              <w:rPr>
                <w:rFonts w:ascii="Trebuchet MS" w:hAnsi="Trebuchet MS" w:cs="MyriadMM-RegularCondensed"/>
                <w:i/>
                <w:sz w:val="20"/>
                <w:szCs w:val="20"/>
                <w:lang w:val="en-US"/>
              </w:rPr>
              <w:t>The Journal of Neuroscience.</w:t>
            </w:r>
            <w:r w:rsidRPr="00AA2E04">
              <w:rPr>
                <w:rFonts w:ascii="Trebuchet MS" w:hAnsi="Trebuchet MS" w:cs="MyriadMM-RegularCondensed"/>
                <w:sz w:val="20"/>
                <w:szCs w:val="20"/>
                <w:lang w:val="en-US"/>
              </w:rPr>
              <w:t xml:space="preserve"> Volume </w:t>
            </w:r>
            <w:r w:rsidRPr="00AA2E04">
              <w:rPr>
                <w:rFonts w:ascii="Trebuchet MS" w:hAnsi="Trebuchet MS" w:cs="MyriadMM-RegularCondensed"/>
                <w:b/>
                <w:sz w:val="20"/>
                <w:szCs w:val="20"/>
                <w:lang w:val="en-US"/>
              </w:rPr>
              <w:t>25(11):</w:t>
            </w:r>
            <w:r w:rsidRPr="00AA2E04">
              <w:rPr>
                <w:rFonts w:ascii="Trebuchet MS" w:hAnsi="Trebuchet MS" w:cs="MyriadMM-RegularCondensed"/>
                <w:sz w:val="20"/>
                <w:szCs w:val="20"/>
                <w:lang w:val="en-US"/>
              </w:rPr>
              <w:t>2832–2837.</w:t>
            </w:r>
          </w:p>
          <w:p w:rsidR="00AF6EFC" w:rsidRPr="00AA2E04" w:rsidRDefault="00AF6EFC" w:rsidP="00C14921">
            <w:pPr>
              <w:autoSpaceDE w:val="0"/>
              <w:autoSpaceDN w:val="0"/>
              <w:adjustRightInd w:val="0"/>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jc w:val="both"/>
              <w:rPr>
                <w:rFonts w:ascii="Trebuchet MS" w:hAnsi="Trebuchet MS" w:cs="Times-Roman"/>
                <w:sz w:val="20"/>
                <w:szCs w:val="20"/>
                <w:lang w:val="en-US"/>
              </w:rPr>
            </w:pPr>
            <w:r w:rsidRPr="00AA2E04">
              <w:rPr>
                <w:rFonts w:ascii="Trebuchet MS" w:hAnsi="Trebuchet MS" w:cs="Times-Roman"/>
                <w:sz w:val="20"/>
                <w:szCs w:val="20"/>
                <w:lang w:val="en-US"/>
              </w:rPr>
              <w:t>Lange-Asschenfeldt, C., Raval, A. P., Dave, K. R., Mochly-Rosen, D., Sick, T. J. and Pérez-Pinzón, M. A. (2004). Epsilon Protein Kinase C Mediated Ischemic Tolerance Requires Activ</w:t>
            </w:r>
            <w:r w:rsidRPr="00AA2E04">
              <w:rPr>
                <w:rFonts w:ascii="Trebuchet MS" w:hAnsi="Trebuchet MS" w:cs="Times-Roman"/>
                <w:sz w:val="20"/>
                <w:szCs w:val="20"/>
                <w:lang w:val="en-US"/>
              </w:rPr>
              <w:t>a</w:t>
            </w:r>
            <w:r w:rsidRPr="00AA2E04">
              <w:rPr>
                <w:rFonts w:ascii="Trebuchet MS" w:hAnsi="Trebuchet MS" w:cs="Times-Roman"/>
                <w:sz w:val="20"/>
                <w:szCs w:val="20"/>
                <w:lang w:val="en-US"/>
              </w:rPr>
              <w:t xml:space="preserve">tion of the Extracellular Regulated Kinase Pathway in the Organotypic Hippocampal Slice. </w:t>
            </w:r>
            <w:r w:rsidRPr="00AA2E04">
              <w:rPr>
                <w:rFonts w:ascii="Trebuchet MS" w:hAnsi="Trebuchet MS" w:cs="Times-Italic"/>
                <w:i/>
                <w:iCs/>
                <w:sz w:val="20"/>
                <w:szCs w:val="20"/>
                <w:lang w:val="en-US"/>
              </w:rPr>
              <w:t>Journal of Cerebral Blood Flow &amp; Metabolism</w:t>
            </w:r>
            <w:r w:rsidRPr="00AA2E04">
              <w:rPr>
                <w:rFonts w:ascii="Trebuchet MS" w:hAnsi="Trebuchet MS" w:cs="Times-Italic"/>
                <w:iCs/>
                <w:sz w:val="20"/>
                <w:szCs w:val="20"/>
                <w:lang w:val="en-US"/>
              </w:rPr>
              <w:t xml:space="preserve">. Volume </w:t>
            </w:r>
            <w:r w:rsidRPr="00AA2E04">
              <w:rPr>
                <w:rFonts w:ascii="Trebuchet MS" w:hAnsi="Trebuchet MS" w:cs="Times-Bold"/>
                <w:b/>
                <w:bCs/>
                <w:sz w:val="20"/>
                <w:szCs w:val="20"/>
                <w:lang w:val="en-US"/>
              </w:rPr>
              <w:t>24</w:t>
            </w:r>
            <w:r w:rsidRPr="00AA2E04">
              <w:rPr>
                <w:rFonts w:ascii="Trebuchet MS" w:hAnsi="Trebuchet MS" w:cs="Times-Bold"/>
                <w:bCs/>
                <w:sz w:val="20"/>
                <w:szCs w:val="20"/>
                <w:lang w:val="en-US"/>
              </w:rPr>
              <w:t xml:space="preserve">: </w:t>
            </w:r>
            <w:r w:rsidRPr="00AA2E04">
              <w:rPr>
                <w:rFonts w:ascii="Trebuchet MS" w:hAnsi="Trebuchet MS" w:cs="Times-Roman"/>
                <w:sz w:val="20"/>
                <w:szCs w:val="20"/>
                <w:lang w:val="en-US"/>
              </w:rPr>
              <w:t>636–645.</w:t>
            </w:r>
          </w:p>
          <w:p w:rsidR="00AF6EFC" w:rsidRPr="00AA2E04" w:rsidRDefault="00AF6EFC" w:rsidP="00C14921">
            <w:pPr>
              <w:jc w:val="both"/>
              <w:rPr>
                <w:rFonts w:ascii="Trebuchet MS" w:hAnsi="Trebuchet MS" w:cs="Times-Roman"/>
                <w:sz w:val="20"/>
                <w:szCs w:val="20"/>
                <w:lang w:val="en-US"/>
              </w:rPr>
            </w:pPr>
          </w:p>
          <w:p w:rsidR="00AF6EFC" w:rsidRPr="00AA2E04" w:rsidRDefault="00AF6EFC" w:rsidP="00C14921">
            <w:pPr>
              <w:jc w:val="both"/>
              <w:rPr>
                <w:rFonts w:ascii="Trebuchet MS" w:hAnsi="Trebuchet MS"/>
                <w:sz w:val="20"/>
                <w:szCs w:val="20"/>
              </w:rPr>
            </w:pPr>
            <w:r w:rsidRPr="00AA2E04">
              <w:rPr>
                <w:rFonts w:ascii="Trebuchet MS" w:hAnsi="Trebuchet MS"/>
                <w:sz w:val="20"/>
                <w:szCs w:val="20"/>
                <w:lang w:val="en-US"/>
              </w:rPr>
              <w:t xml:space="preserve">Lara, D. R. and Souza, D. O. (2001). </w:t>
            </w:r>
            <w:r w:rsidRPr="00AA2E04">
              <w:rPr>
                <w:rFonts w:ascii="Trebuchet MS" w:hAnsi="Trebuchet MS"/>
                <w:sz w:val="20"/>
                <w:szCs w:val="20"/>
              </w:rPr>
              <w:t>Modelo de hipofunção adenossinérgica para a esquizofr</w:t>
            </w:r>
            <w:r w:rsidRPr="00AA2E04">
              <w:rPr>
                <w:rFonts w:ascii="Trebuchet MS" w:hAnsi="Trebuchet MS"/>
                <w:sz w:val="20"/>
                <w:szCs w:val="20"/>
              </w:rPr>
              <w:t>e</w:t>
            </w:r>
            <w:r w:rsidRPr="00AA2E04">
              <w:rPr>
                <w:rFonts w:ascii="Trebuchet MS" w:hAnsi="Trebuchet MS"/>
                <w:sz w:val="20"/>
                <w:szCs w:val="20"/>
              </w:rPr>
              <w:t xml:space="preserve">nia: interacção entre os sistemas purinérgico, glutamatérgico e dopaminérgico. </w:t>
            </w:r>
            <w:r w:rsidRPr="00AA2E04">
              <w:rPr>
                <w:rFonts w:ascii="Trebuchet MS" w:hAnsi="Trebuchet MS"/>
                <w:i/>
                <w:sz w:val="20"/>
                <w:szCs w:val="20"/>
              </w:rPr>
              <w:t>Revista de Psiquiatria Clínica</w:t>
            </w:r>
            <w:r w:rsidRPr="00AA2E04">
              <w:rPr>
                <w:rFonts w:ascii="Trebuchet MS" w:hAnsi="Trebuchet MS"/>
                <w:sz w:val="20"/>
                <w:szCs w:val="20"/>
              </w:rPr>
              <w:t xml:space="preserve">. Volume </w:t>
            </w:r>
            <w:r w:rsidRPr="00AA2E04">
              <w:rPr>
                <w:rFonts w:ascii="Trebuchet MS" w:hAnsi="Trebuchet MS"/>
                <w:b/>
                <w:sz w:val="20"/>
                <w:szCs w:val="20"/>
              </w:rPr>
              <w:t>28:</w:t>
            </w:r>
            <w:r w:rsidRPr="00AA2E04">
              <w:rPr>
                <w:rFonts w:ascii="Trebuchet MS" w:hAnsi="Trebuchet MS"/>
                <w:sz w:val="20"/>
                <w:szCs w:val="20"/>
              </w:rPr>
              <w:t xml:space="preserve"> Número 3.</w:t>
            </w:r>
          </w:p>
          <w:p w:rsidR="00AF6EFC" w:rsidRPr="00AA2E04" w:rsidRDefault="00AF6EFC" w:rsidP="00C14921">
            <w:pPr>
              <w:jc w:val="both"/>
              <w:rPr>
                <w:rFonts w:ascii="Trebuchet MS" w:hAnsi="Trebuchet MS" w:cs="Times-Roman"/>
                <w:sz w:val="20"/>
                <w:szCs w:val="20"/>
              </w:rPr>
            </w:pPr>
          </w:p>
          <w:p w:rsidR="00AF6EFC" w:rsidRPr="00AA2E04" w:rsidRDefault="00AF6EFC" w:rsidP="00C14921">
            <w:pPr>
              <w:autoSpaceDE w:val="0"/>
              <w:autoSpaceDN w:val="0"/>
              <w:adjustRightInd w:val="0"/>
              <w:jc w:val="both"/>
              <w:rPr>
                <w:rFonts w:ascii="Trebuchet MS" w:hAnsi="Trebuchet MS" w:cs="AdvTimes"/>
                <w:sz w:val="20"/>
                <w:szCs w:val="20"/>
                <w:lang w:val="en-US"/>
              </w:rPr>
            </w:pPr>
            <w:r w:rsidRPr="00AA2E04">
              <w:rPr>
                <w:rFonts w:ascii="Trebuchet MS" w:hAnsi="Trebuchet MS" w:cs="Times-Roman"/>
                <w:sz w:val="20"/>
                <w:szCs w:val="20"/>
              </w:rPr>
              <w:t xml:space="preserve">Latini, S. and Pedata, F. (2001). </w:t>
            </w:r>
            <w:r w:rsidRPr="00AA2E04">
              <w:rPr>
                <w:rFonts w:ascii="Trebuchet MS" w:hAnsi="Trebuchet MS" w:cs="Times-Roman"/>
                <w:sz w:val="20"/>
                <w:szCs w:val="20"/>
                <w:lang w:val="en-US"/>
              </w:rPr>
              <w:t xml:space="preserve">Adenosine in the central nervous system: release mechanisms and extracellular concentrations. </w:t>
            </w:r>
            <w:r w:rsidRPr="00AA2E04">
              <w:rPr>
                <w:rFonts w:ascii="Trebuchet MS" w:hAnsi="Trebuchet MS" w:cs="Times-Roman"/>
                <w:i/>
                <w:sz w:val="20"/>
                <w:szCs w:val="20"/>
                <w:lang w:val="en-US"/>
              </w:rPr>
              <w:t>J. Neurochem.</w:t>
            </w:r>
            <w:r w:rsidRPr="00AA2E04">
              <w:rPr>
                <w:rFonts w:ascii="Trebuchet MS" w:hAnsi="Trebuchet MS" w:cs="Times-Roman"/>
                <w:sz w:val="20"/>
                <w:szCs w:val="20"/>
                <w:lang w:val="en-US"/>
              </w:rPr>
              <w:t xml:space="preserve"> Volume </w:t>
            </w:r>
            <w:r w:rsidRPr="00AA2E04">
              <w:rPr>
                <w:rFonts w:ascii="Trebuchet MS" w:hAnsi="Trebuchet MS" w:cs="Times-Roman"/>
                <w:b/>
                <w:sz w:val="20"/>
                <w:szCs w:val="20"/>
                <w:lang w:val="en-US"/>
              </w:rPr>
              <w:t>79</w:t>
            </w:r>
            <w:r w:rsidRPr="00AA2E04">
              <w:rPr>
                <w:rFonts w:ascii="Trebuchet MS" w:hAnsi="Trebuchet MS" w:cs="Times-Roman"/>
                <w:sz w:val="20"/>
                <w:szCs w:val="20"/>
                <w:lang w:val="en-US"/>
              </w:rPr>
              <w:t>: 463–484.</w:t>
            </w:r>
          </w:p>
          <w:p w:rsidR="00AF6EFC" w:rsidRPr="00AA2E04" w:rsidRDefault="00AF6EFC" w:rsidP="00C14921">
            <w:pPr>
              <w:jc w:val="both"/>
              <w:rPr>
                <w:rFonts w:ascii="Trebuchet MS" w:hAnsi="Trebuchet MS" w:cs="Times-Roman"/>
                <w:sz w:val="20"/>
                <w:szCs w:val="20"/>
                <w:lang w:val="en-US"/>
              </w:rPr>
            </w:pPr>
          </w:p>
          <w:p w:rsidR="00AF6EFC" w:rsidRPr="00AA2E04" w:rsidRDefault="00AF6EFC" w:rsidP="00C14921">
            <w:pPr>
              <w:jc w:val="both"/>
              <w:rPr>
                <w:rFonts w:ascii="Trebuchet MS" w:hAnsi="Trebuchet MS" w:cs="Times-Roman"/>
                <w:bCs/>
                <w:sz w:val="20"/>
                <w:szCs w:val="20"/>
                <w:lang w:val="en-US"/>
              </w:rPr>
            </w:pPr>
            <w:r w:rsidRPr="00AA2E04">
              <w:rPr>
                <w:rFonts w:ascii="Trebuchet MS" w:hAnsi="Trebuchet MS" w:cs="Times-Roman"/>
                <w:sz w:val="20"/>
                <w:szCs w:val="20"/>
                <w:lang w:val="en-US"/>
              </w:rPr>
              <w:t xml:space="preserve">Le, D.A., Wu, Y., Huang, Z., Matsushita, K., Plesnila, N., </w:t>
            </w:r>
            <w:r w:rsidRPr="00AA2E04">
              <w:rPr>
                <w:rFonts w:ascii="Trebuchet MS" w:hAnsi="Trebuchet MS" w:cs="Times-Roman"/>
                <w:bCs/>
                <w:sz w:val="20"/>
                <w:szCs w:val="20"/>
                <w:lang w:val="en-US"/>
              </w:rPr>
              <w:t>Augustinack, J.C., Hyman, B.T., Y</w:t>
            </w:r>
            <w:r w:rsidRPr="00AA2E04">
              <w:rPr>
                <w:rFonts w:ascii="Trebuchet MS" w:hAnsi="Trebuchet MS" w:cs="Times-Roman"/>
                <w:bCs/>
                <w:sz w:val="20"/>
                <w:szCs w:val="20"/>
                <w:lang w:val="en-US"/>
              </w:rPr>
              <w:t>u</w:t>
            </w:r>
            <w:r w:rsidRPr="00AA2E04">
              <w:rPr>
                <w:rFonts w:ascii="Trebuchet MS" w:hAnsi="Trebuchet MS" w:cs="Times-Roman"/>
                <w:bCs/>
                <w:sz w:val="20"/>
                <w:szCs w:val="20"/>
                <w:lang w:val="en-US"/>
              </w:rPr>
              <w:t>an, J., Kuida, K., Flavell, R.A. and Moskowitz, M.A. (2002)</w:t>
            </w:r>
            <w:r w:rsidR="0025132D" w:rsidRPr="00AA2E04">
              <w:rPr>
                <w:rFonts w:ascii="Trebuchet MS" w:hAnsi="Trebuchet MS" w:cs="Times-Roman"/>
                <w:bCs/>
                <w:sz w:val="20"/>
                <w:szCs w:val="20"/>
                <w:lang w:val="en-US"/>
              </w:rPr>
              <w:t>.</w:t>
            </w:r>
            <w:r w:rsidRPr="00AA2E04">
              <w:rPr>
                <w:rFonts w:ascii="Trebuchet MS" w:hAnsi="Trebuchet MS" w:cs="Times-Roman"/>
                <w:sz w:val="20"/>
                <w:szCs w:val="20"/>
                <w:lang w:val="en-US"/>
              </w:rPr>
              <w:t xml:space="preserve"> </w:t>
            </w:r>
            <w:r w:rsidRPr="00AA2E04">
              <w:rPr>
                <w:rFonts w:ascii="Trebuchet MS" w:hAnsi="Trebuchet MS" w:cs="Times-Roman"/>
                <w:bCs/>
                <w:sz w:val="20"/>
                <w:szCs w:val="20"/>
                <w:lang w:val="en-US"/>
              </w:rPr>
              <w:t>Caspase activation and neuropr</w:t>
            </w:r>
            <w:r w:rsidRPr="00AA2E04">
              <w:rPr>
                <w:rFonts w:ascii="Trebuchet MS" w:hAnsi="Trebuchet MS" w:cs="Times-Roman"/>
                <w:bCs/>
                <w:sz w:val="20"/>
                <w:szCs w:val="20"/>
                <w:lang w:val="en-US"/>
              </w:rPr>
              <w:t>o</w:t>
            </w:r>
            <w:r w:rsidRPr="00AA2E04">
              <w:rPr>
                <w:rFonts w:ascii="Trebuchet MS" w:hAnsi="Trebuchet MS" w:cs="Times-Roman"/>
                <w:bCs/>
                <w:sz w:val="20"/>
                <w:szCs w:val="20"/>
                <w:lang w:val="en-US"/>
              </w:rPr>
              <w:t xml:space="preserve">tection in caspase-3-deficient mice after </w:t>
            </w:r>
            <w:r w:rsidR="00194A32" w:rsidRPr="00AA2E04">
              <w:rPr>
                <w:rFonts w:ascii="Trebuchet MS" w:hAnsi="Trebuchet MS" w:cs="Times-Roman"/>
                <w:bCs/>
                <w:i/>
                <w:sz w:val="20"/>
                <w:szCs w:val="20"/>
                <w:lang w:val="en-US"/>
              </w:rPr>
              <w:t>in vivo</w:t>
            </w:r>
            <w:r w:rsidRPr="00AA2E04">
              <w:rPr>
                <w:rFonts w:ascii="Trebuchet MS" w:hAnsi="Trebuchet MS" w:cs="Times-Roman"/>
                <w:bCs/>
                <w:sz w:val="20"/>
                <w:szCs w:val="20"/>
                <w:lang w:val="en-US"/>
              </w:rPr>
              <w:t xml:space="preserve"> cerebral ischemia and </w:t>
            </w:r>
            <w:r w:rsidR="00194A32" w:rsidRPr="00AA2E04">
              <w:rPr>
                <w:rFonts w:ascii="Trebuchet MS" w:hAnsi="Trebuchet MS" w:cs="Times-Roman"/>
                <w:bCs/>
                <w:i/>
                <w:sz w:val="20"/>
                <w:szCs w:val="20"/>
                <w:lang w:val="en-US"/>
              </w:rPr>
              <w:t xml:space="preserve">in vitro </w:t>
            </w:r>
            <w:r w:rsidRPr="00AA2E04">
              <w:rPr>
                <w:rFonts w:ascii="Trebuchet MS" w:hAnsi="Trebuchet MS" w:cs="Times-Roman"/>
                <w:bCs/>
                <w:sz w:val="20"/>
                <w:szCs w:val="20"/>
                <w:lang w:val="en-US"/>
              </w:rPr>
              <w:t xml:space="preserve">oxygen glucose deprivation. </w:t>
            </w:r>
            <w:r w:rsidRPr="00AA2E04">
              <w:rPr>
                <w:rFonts w:ascii="Trebuchet MS" w:hAnsi="Trebuchet MS" w:cs="Times-Roman"/>
                <w:i/>
                <w:sz w:val="20"/>
                <w:szCs w:val="20"/>
                <w:lang w:val="en-US"/>
              </w:rPr>
              <w:t>PNAS</w:t>
            </w:r>
            <w:r w:rsidRPr="00AA2E04">
              <w:rPr>
                <w:rFonts w:ascii="Trebuchet MS" w:hAnsi="Trebuchet MS" w:cs="Times-Roman"/>
                <w:sz w:val="20"/>
                <w:szCs w:val="20"/>
                <w:lang w:val="en-US"/>
              </w:rPr>
              <w:t xml:space="preserve">. vol. </w:t>
            </w:r>
            <w:r w:rsidRPr="00AA2E04">
              <w:rPr>
                <w:rFonts w:ascii="Trebuchet MS" w:hAnsi="Trebuchet MS" w:cs="Times-Roman"/>
                <w:b/>
                <w:sz w:val="20"/>
                <w:szCs w:val="20"/>
                <w:lang w:val="en-US"/>
              </w:rPr>
              <w:t>99</w:t>
            </w:r>
            <w:r w:rsidRPr="00AA2E04">
              <w:rPr>
                <w:rFonts w:ascii="Trebuchet MS" w:hAnsi="Trebuchet MS" w:cs="Times-Roman"/>
                <w:sz w:val="20"/>
                <w:szCs w:val="20"/>
                <w:lang w:val="en-US"/>
              </w:rPr>
              <w:t xml:space="preserve">, nº 23: </w:t>
            </w:r>
            <w:r w:rsidRPr="00AA2E04">
              <w:rPr>
                <w:rFonts w:ascii="Trebuchet MS" w:hAnsi="Trebuchet MS" w:cs="Times-Roman"/>
                <w:bCs/>
                <w:sz w:val="20"/>
                <w:szCs w:val="20"/>
                <w:lang w:val="en-US"/>
              </w:rPr>
              <w:t>15188–15193.</w:t>
            </w:r>
          </w:p>
          <w:p w:rsidR="00647361" w:rsidRPr="00AA2E04" w:rsidRDefault="00647361" w:rsidP="00C14921">
            <w:pPr>
              <w:jc w:val="both"/>
              <w:rPr>
                <w:rFonts w:ascii="Trebuchet MS" w:hAnsi="Trebuchet MS" w:cs="Times-Roman"/>
                <w:sz w:val="20"/>
                <w:szCs w:val="20"/>
                <w:lang w:val="en-US"/>
              </w:rPr>
            </w:pPr>
          </w:p>
          <w:p w:rsidR="00F85448" w:rsidRPr="00AA2E04" w:rsidRDefault="00F85448" w:rsidP="00C14921">
            <w:pPr>
              <w:jc w:val="both"/>
              <w:rPr>
                <w:rFonts w:ascii="Trebuchet MS" w:hAnsi="Trebuchet MS" w:cs="Times-Roman"/>
                <w:sz w:val="20"/>
                <w:szCs w:val="20"/>
                <w:lang w:val="en-US"/>
              </w:rPr>
            </w:pPr>
            <w:r w:rsidRPr="00AA2E04">
              <w:rPr>
                <w:rFonts w:ascii="Trebuchet MS" w:hAnsi="Trebuchet MS" w:cs="Times-Roman"/>
                <w:sz w:val="20"/>
                <w:szCs w:val="20"/>
                <w:lang w:val="en-US"/>
              </w:rPr>
              <w:t>Lee</w:t>
            </w:r>
            <w:r w:rsidR="0025132D" w:rsidRPr="00AA2E04">
              <w:rPr>
                <w:rFonts w:ascii="Trebuchet MS" w:hAnsi="Trebuchet MS" w:cs="Times-Roman"/>
                <w:sz w:val="20"/>
                <w:szCs w:val="20"/>
                <w:lang w:val="en-US"/>
              </w:rPr>
              <w:t xml:space="preserve">, J.-M, Grabb, M. C., Zipfel, G. J. and Choi D. W. (2000). </w:t>
            </w:r>
            <w:r w:rsidR="0025132D" w:rsidRPr="00AA2E04">
              <w:rPr>
                <w:rFonts w:ascii="Trebuchet MS" w:hAnsi="Trebuchet MS" w:cs="Times-Roman"/>
                <w:bCs/>
                <w:sz w:val="20"/>
                <w:szCs w:val="20"/>
                <w:lang w:val="en-US"/>
              </w:rPr>
              <w:t>Brain tissue responses to isch</w:t>
            </w:r>
            <w:r w:rsidR="0025132D" w:rsidRPr="00AA2E04">
              <w:rPr>
                <w:rFonts w:ascii="Trebuchet MS" w:hAnsi="Trebuchet MS" w:cs="Times-Roman"/>
                <w:bCs/>
                <w:sz w:val="20"/>
                <w:szCs w:val="20"/>
                <w:lang w:val="en-US"/>
              </w:rPr>
              <w:t>e</w:t>
            </w:r>
            <w:r w:rsidR="0025132D" w:rsidRPr="00AA2E04">
              <w:rPr>
                <w:rFonts w:ascii="Trebuchet MS" w:hAnsi="Trebuchet MS" w:cs="Times-Roman"/>
                <w:bCs/>
                <w:sz w:val="20"/>
                <w:szCs w:val="20"/>
                <w:lang w:val="en-US"/>
              </w:rPr>
              <w:t>mia</w:t>
            </w:r>
            <w:r w:rsidR="0025132D" w:rsidRPr="00AA2E04">
              <w:rPr>
                <w:rFonts w:ascii="Trebuchet MS" w:hAnsi="Trebuchet MS" w:cs="Times-Roman"/>
                <w:sz w:val="20"/>
                <w:szCs w:val="20"/>
                <w:lang w:val="en-US"/>
              </w:rPr>
              <w:t xml:space="preserve">. </w:t>
            </w:r>
            <w:r w:rsidR="0025132D" w:rsidRPr="00AA2E04">
              <w:rPr>
                <w:rFonts w:ascii="Trebuchet MS" w:hAnsi="Trebuchet MS" w:cs="Times-Roman"/>
                <w:i/>
                <w:sz w:val="20"/>
                <w:szCs w:val="20"/>
                <w:lang w:val="en-US"/>
              </w:rPr>
              <w:t>The Journal of Clinical Investigation.</w:t>
            </w:r>
            <w:r w:rsidR="0025132D" w:rsidRPr="00AA2E04">
              <w:rPr>
                <w:rFonts w:ascii="Trebuchet MS" w:hAnsi="Trebuchet MS" w:cs="Times-Roman"/>
                <w:sz w:val="20"/>
                <w:szCs w:val="20"/>
                <w:lang w:val="en-US"/>
              </w:rPr>
              <w:t xml:space="preserve"> Volume </w:t>
            </w:r>
            <w:r w:rsidR="0025132D" w:rsidRPr="00AA2E04">
              <w:rPr>
                <w:rFonts w:ascii="Trebuchet MS" w:hAnsi="Trebuchet MS" w:cs="Times-Roman"/>
                <w:b/>
                <w:sz w:val="20"/>
                <w:szCs w:val="20"/>
                <w:lang w:val="en-US"/>
              </w:rPr>
              <w:t>106</w:t>
            </w:r>
            <w:r w:rsidR="0025132D" w:rsidRPr="00AA2E04">
              <w:rPr>
                <w:rFonts w:ascii="Trebuchet MS" w:hAnsi="Trebuchet MS" w:cs="Times-Roman"/>
                <w:sz w:val="20"/>
                <w:szCs w:val="20"/>
                <w:lang w:val="en-US"/>
              </w:rPr>
              <w:t>, Number 6.</w:t>
            </w:r>
          </w:p>
          <w:p w:rsidR="0025132D" w:rsidRPr="00AA2E04" w:rsidRDefault="0025132D" w:rsidP="00C14921">
            <w:pPr>
              <w:jc w:val="both"/>
              <w:rPr>
                <w:rFonts w:ascii="Trebuchet MS" w:hAnsi="Trebuchet MS" w:cs="Times-Roman"/>
                <w:sz w:val="20"/>
                <w:szCs w:val="20"/>
                <w:lang w:val="en-US"/>
              </w:rPr>
            </w:pPr>
          </w:p>
          <w:p w:rsidR="00AF6EFC" w:rsidRPr="00AA2E04" w:rsidRDefault="00AF6EFC" w:rsidP="00C14921">
            <w:pPr>
              <w:jc w:val="both"/>
              <w:rPr>
                <w:rFonts w:ascii="Trebuchet MS" w:hAnsi="Trebuchet MS" w:cs="Times-Roman"/>
                <w:sz w:val="20"/>
                <w:szCs w:val="20"/>
                <w:lang w:val="en-US"/>
              </w:rPr>
            </w:pPr>
            <w:r w:rsidRPr="00AA2E04">
              <w:rPr>
                <w:rFonts w:ascii="Trebuchet MS" w:hAnsi="Trebuchet MS" w:cs="Times-Roman"/>
                <w:sz w:val="20"/>
                <w:szCs w:val="20"/>
                <w:lang w:val="en-US"/>
              </w:rPr>
              <w:t xml:space="preserve">Lipton, P. (1999). Ischemic Cell Death in Brain Neurons. </w:t>
            </w:r>
            <w:r w:rsidRPr="00AA2E04">
              <w:rPr>
                <w:rFonts w:ascii="Trebuchet MS" w:hAnsi="Trebuchet MS" w:cs="Times-Roman"/>
                <w:i/>
                <w:sz w:val="20"/>
                <w:szCs w:val="20"/>
                <w:lang w:val="en-US"/>
              </w:rPr>
              <w:t>Physiological Reviews.</w:t>
            </w:r>
            <w:r w:rsidRPr="00AA2E04">
              <w:rPr>
                <w:rFonts w:ascii="Trebuchet MS" w:hAnsi="Trebuchet MS" w:cs="Times-Roman"/>
                <w:sz w:val="20"/>
                <w:szCs w:val="20"/>
                <w:lang w:val="en-US"/>
              </w:rPr>
              <w:t xml:space="preserve"> Vol. </w:t>
            </w:r>
            <w:r w:rsidRPr="00AA2E04">
              <w:rPr>
                <w:rFonts w:ascii="Trebuchet MS" w:hAnsi="Trebuchet MS" w:cs="Times-Roman"/>
                <w:b/>
                <w:sz w:val="20"/>
                <w:szCs w:val="20"/>
                <w:lang w:val="en-US"/>
              </w:rPr>
              <w:t>79</w:t>
            </w:r>
            <w:r w:rsidRPr="00AA2E04">
              <w:rPr>
                <w:rFonts w:ascii="Trebuchet MS" w:hAnsi="Trebuchet MS" w:cs="Times-Roman"/>
                <w:sz w:val="20"/>
                <w:szCs w:val="20"/>
                <w:lang w:val="en-US"/>
              </w:rPr>
              <w:t>, Nº 4.</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Liu, G. S., Thornton, J., Van Winkle, D. M., Stanley, A. W., Olsson, R. A. and Downey, J. M. (1991). Protection against infarction afforded by preconditioning is mediated by A1 adenosine receptors in rabbit heart. </w:t>
            </w:r>
            <w:r w:rsidRPr="00AA2E04">
              <w:rPr>
                <w:rFonts w:ascii="Trebuchet MS" w:hAnsi="Trebuchet MS"/>
                <w:i/>
                <w:iCs/>
                <w:sz w:val="20"/>
                <w:szCs w:val="20"/>
                <w:lang w:val="en-US"/>
              </w:rPr>
              <w:t>Circulation.</w:t>
            </w:r>
            <w:r w:rsidRPr="00AA2E04">
              <w:rPr>
                <w:rFonts w:ascii="Trebuchet MS" w:hAnsi="Trebuchet MS"/>
                <w:iCs/>
                <w:sz w:val="20"/>
                <w:szCs w:val="20"/>
                <w:lang w:val="en-US"/>
              </w:rPr>
              <w:t xml:space="preserve"> </w:t>
            </w:r>
            <w:r w:rsidRPr="00AA2E04">
              <w:rPr>
                <w:rFonts w:ascii="Trebuchet MS" w:hAnsi="Trebuchet MS"/>
                <w:b/>
                <w:sz w:val="20"/>
                <w:szCs w:val="20"/>
                <w:lang w:val="en-US"/>
              </w:rPr>
              <w:t>84</w:t>
            </w:r>
            <w:r w:rsidRPr="00AA2E04">
              <w:rPr>
                <w:rFonts w:ascii="Trebuchet MS" w:hAnsi="Trebuchet MS"/>
                <w:sz w:val="20"/>
                <w:szCs w:val="20"/>
                <w:lang w:val="en-US"/>
              </w:rPr>
              <w:t>, 350-356.</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bCs/>
                <w:sz w:val="20"/>
                <w:szCs w:val="20"/>
                <w:lang w:val="en-US"/>
              </w:rPr>
            </w:pPr>
            <w:r w:rsidRPr="00AA2E04">
              <w:rPr>
                <w:rFonts w:ascii="Trebuchet MS" w:hAnsi="Trebuchet MS"/>
                <w:sz w:val="20"/>
                <w:szCs w:val="20"/>
                <w:lang w:val="en-US"/>
              </w:rPr>
              <w:t xml:space="preserve">Liu, Y., Kato, H., Nakata, N. and Kogure, K (1992). </w:t>
            </w:r>
            <w:r w:rsidRPr="00AA2E04">
              <w:rPr>
                <w:rFonts w:ascii="Trebuchet MS" w:hAnsi="Trebuchet MS"/>
                <w:bCs/>
                <w:sz w:val="20"/>
                <w:szCs w:val="20"/>
                <w:lang w:val="en-US"/>
              </w:rPr>
              <w:t xml:space="preserve">Protection of rat hippocampus against ischemic neuronal damage by pretreatment with sublethal ischemia. </w:t>
            </w:r>
            <w:r w:rsidRPr="00AA2E04">
              <w:rPr>
                <w:rFonts w:ascii="Trebuchet MS" w:hAnsi="Trebuchet MS"/>
                <w:bCs/>
                <w:i/>
                <w:sz w:val="20"/>
                <w:szCs w:val="20"/>
                <w:lang w:val="en-US"/>
              </w:rPr>
              <w:t>Brain research.</w:t>
            </w:r>
            <w:r w:rsidRPr="00AA2E04">
              <w:rPr>
                <w:rFonts w:ascii="Trebuchet MS" w:hAnsi="Trebuchet MS"/>
                <w:bCs/>
                <w:sz w:val="20"/>
                <w:szCs w:val="20"/>
                <w:lang w:val="en-US"/>
              </w:rPr>
              <w:t xml:space="preserve"> Volume </w:t>
            </w:r>
            <w:r w:rsidRPr="00AA2E04">
              <w:rPr>
                <w:rFonts w:ascii="Trebuchet MS" w:hAnsi="Trebuchet MS"/>
                <w:b/>
                <w:bCs/>
                <w:sz w:val="20"/>
                <w:szCs w:val="20"/>
                <w:lang w:val="en-US"/>
              </w:rPr>
              <w:t>586</w:t>
            </w:r>
            <w:r w:rsidRPr="00AA2E04">
              <w:rPr>
                <w:rFonts w:ascii="Trebuchet MS" w:hAnsi="Trebuchet MS"/>
                <w:bCs/>
                <w:sz w:val="20"/>
                <w:szCs w:val="20"/>
                <w:lang w:val="en-US"/>
              </w:rPr>
              <w:t>, Issue 1: 121-124.</w:t>
            </w:r>
          </w:p>
          <w:p w:rsidR="00AF6EFC" w:rsidRPr="00AA2E04" w:rsidRDefault="00AF6EFC" w:rsidP="00C14921">
            <w:pPr>
              <w:autoSpaceDE w:val="0"/>
              <w:autoSpaceDN w:val="0"/>
              <w:adjustRightInd w:val="0"/>
              <w:jc w:val="both"/>
              <w:rPr>
                <w:rFonts w:ascii="Trebuchet MS" w:hAnsi="Trebuchet MS"/>
                <w:bCs/>
                <w:sz w:val="20"/>
                <w:szCs w:val="20"/>
                <w:lang w:val="en-US"/>
              </w:rPr>
            </w:pPr>
          </w:p>
          <w:p w:rsidR="00AF6EFC" w:rsidRPr="00AA2E04" w:rsidRDefault="00AF6EFC" w:rsidP="00C14921">
            <w:pPr>
              <w:autoSpaceDE w:val="0"/>
              <w:autoSpaceDN w:val="0"/>
              <w:adjustRightInd w:val="0"/>
              <w:jc w:val="both"/>
              <w:rPr>
                <w:rFonts w:ascii="Trebuchet MS" w:hAnsi="Trebuchet MS" w:cs="AdvSTSerif-R"/>
                <w:sz w:val="20"/>
                <w:szCs w:val="20"/>
                <w:lang w:val="en-US"/>
              </w:rPr>
            </w:pPr>
            <w:r w:rsidRPr="00AA2E04">
              <w:rPr>
                <w:rFonts w:ascii="Trebuchet MS" w:hAnsi="Trebuchet MS" w:cs="AdvSTSerif-R"/>
                <w:sz w:val="20"/>
                <w:szCs w:val="20"/>
                <w:lang w:val="en-US"/>
              </w:rPr>
              <w:t xml:space="preserve">Lo, E.H., Dalkara, T., Moskowitz, M. A. (2003). Mechanisms, challenges and opportunities in stroke. </w:t>
            </w:r>
            <w:r w:rsidRPr="00AA2E04">
              <w:rPr>
                <w:rFonts w:ascii="Trebuchet MS" w:hAnsi="Trebuchet MS" w:cs="AdvSTSerif-I"/>
                <w:i/>
                <w:sz w:val="20"/>
                <w:szCs w:val="20"/>
                <w:lang w:val="en-US"/>
              </w:rPr>
              <w:t>Nat. Rev. Neurosci.</w:t>
            </w:r>
            <w:r w:rsidRPr="00AA2E04">
              <w:rPr>
                <w:rFonts w:ascii="Trebuchet MS" w:hAnsi="Trebuchet MS" w:cs="AdvSTSerif-I"/>
                <w:sz w:val="20"/>
                <w:szCs w:val="20"/>
                <w:lang w:val="en-US"/>
              </w:rPr>
              <w:t xml:space="preserve"> Vol. </w:t>
            </w:r>
            <w:r w:rsidRPr="00AA2E04">
              <w:rPr>
                <w:rFonts w:ascii="Trebuchet MS" w:hAnsi="Trebuchet MS" w:cs="AdvStoneS-SB"/>
                <w:b/>
                <w:sz w:val="20"/>
                <w:szCs w:val="20"/>
                <w:lang w:val="en-US"/>
              </w:rPr>
              <w:t>4</w:t>
            </w:r>
            <w:r w:rsidRPr="00AA2E04">
              <w:rPr>
                <w:rFonts w:ascii="Trebuchet MS" w:hAnsi="Trebuchet MS" w:cs="AdvSTSerif-R"/>
                <w:sz w:val="20"/>
                <w:szCs w:val="20"/>
                <w:lang w:val="en-US"/>
              </w:rPr>
              <w:t>: 399–415.</w:t>
            </w:r>
          </w:p>
          <w:p w:rsidR="00AF6EFC" w:rsidRPr="00AA2E04" w:rsidRDefault="00AF6EFC" w:rsidP="00C14921">
            <w:pPr>
              <w:autoSpaceDE w:val="0"/>
              <w:autoSpaceDN w:val="0"/>
              <w:adjustRightInd w:val="0"/>
              <w:jc w:val="both"/>
              <w:rPr>
                <w:rFonts w:ascii="Trebuchet MS" w:hAnsi="Trebuchet MS"/>
                <w:bC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Lohse M. J., Klotz K. N., Lindenborn-Fotinos, J., Reddington, M., Schwabe, U. and Olsson, R. A. (1987). 8-Cyclopentyl-l</w:t>
            </w:r>
            <w:proofErr w:type="gramStart"/>
            <w:r w:rsidRPr="00AA2E04">
              <w:rPr>
                <w:rFonts w:ascii="Trebuchet MS" w:hAnsi="Trebuchet MS"/>
                <w:sz w:val="20"/>
                <w:szCs w:val="20"/>
                <w:lang w:val="en-US"/>
              </w:rPr>
              <w:t>,3</w:t>
            </w:r>
            <w:proofErr w:type="gramEnd"/>
            <w:r w:rsidRPr="00AA2E04">
              <w:rPr>
                <w:rFonts w:ascii="Trebuchet MS" w:hAnsi="Trebuchet MS"/>
                <w:sz w:val="20"/>
                <w:szCs w:val="20"/>
                <w:lang w:val="en-US"/>
              </w:rPr>
              <w:t xml:space="preserve">-dipropylxanthine (DPCPX) - a selective high affinity antagonist radioligand for A1 adenosine receptors. </w:t>
            </w:r>
            <w:r w:rsidRPr="00AA2E04">
              <w:rPr>
                <w:rFonts w:ascii="Trebuchet MS" w:hAnsi="Trebuchet MS"/>
                <w:i/>
                <w:iCs/>
                <w:sz w:val="20"/>
                <w:szCs w:val="20"/>
                <w:lang w:val="en-US"/>
              </w:rPr>
              <w:t xml:space="preserve">Naunyn-Schmiedeberg's Arch. Pharmac. </w:t>
            </w:r>
            <w:r w:rsidRPr="00AA2E04">
              <w:rPr>
                <w:rFonts w:ascii="Trebuchet MS" w:hAnsi="Trebuchet MS"/>
                <w:iCs/>
                <w:sz w:val="20"/>
                <w:szCs w:val="20"/>
                <w:lang w:val="en-US"/>
              </w:rPr>
              <w:t xml:space="preserve">Volume </w:t>
            </w:r>
            <w:r w:rsidRPr="00AA2E04">
              <w:rPr>
                <w:rFonts w:ascii="Trebuchet MS" w:hAnsi="Trebuchet MS"/>
                <w:b/>
                <w:sz w:val="20"/>
                <w:szCs w:val="20"/>
                <w:lang w:val="en-US"/>
              </w:rPr>
              <w:t>336</w:t>
            </w:r>
            <w:r w:rsidRPr="00AA2E04">
              <w:rPr>
                <w:rFonts w:ascii="Trebuchet MS" w:hAnsi="Trebuchet MS"/>
                <w:sz w:val="20"/>
                <w:szCs w:val="20"/>
                <w:lang w:val="en-US"/>
              </w:rPr>
              <w:t>: 204-210.</w:t>
            </w:r>
          </w:p>
          <w:p w:rsidR="00647361" w:rsidRPr="00AA2E04" w:rsidRDefault="00647361" w:rsidP="00C14921">
            <w:pPr>
              <w:autoSpaceDE w:val="0"/>
              <w:autoSpaceDN w:val="0"/>
              <w:adjustRightInd w:val="0"/>
              <w:jc w:val="both"/>
              <w:rPr>
                <w:rFonts w:ascii="Trebuchet MS" w:hAnsi="Trebuchet MS"/>
                <w:sz w:val="20"/>
                <w:szCs w:val="20"/>
                <w:lang w:val="en-US"/>
              </w:rPr>
            </w:pPr>
          </w:p>
          <w:p w:rsidR="00647361" w:rsidRPr="00AA2E04" w:rsidRDefault="00647361"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eastAsia="pt-PT"/>
              </w:rPr>
              <w:t xml:space="preserve">Lubitz, D. K.J.E. (1999). Adenosine and cerebral ischemia: therapeutic future or death of a </w:t>
            </w:r>
            <w:r w:rsidRPr="00AA2E04">
              <w:rPr>
                <w:rFonts w:ascii="Trebuchet MS" w:hAnsi="Trebuchet MS"/>
                <w:sz w:val="20"/>
                <w:szCs w:val="20"/>
                <w:lang w:val="en-US" w:eastAsia="pt-PT"/>
              </w:rPr>
              <w:lastRenderedPageBreak/>
              <w:t xml:space="preserve">brave concept? </w:t>
            </w:r>
            <w:r w:rsidRPr="00AA2E04">
              <w:rPr>
                <w:rFonts w:ascii="Trebuchet MS" w:hAnsi="Trebuchet MS"/>
                <w:i/>
                <w:sz w:val="20"/>
                <w:szCs w:val="20"/>
                <w:lang w:val="en-US" w:eastAsia="pt-PT"/>
              </w:rPr>
              <w:t>European Journal of Pharmacology.</w:t>
            </w:r>
            <w:r w:rsidRPr="00AA2E04">
              <w:rPr>
                <w:rFonts w:ascii="Trebuchet MS" w:hAnsi="Trebuchet MS"/>
                <w:sz w:val="20"/>
                <w:szCs w:val="20"/>
                <w:lang w:val="en-US" w:eastAsia="pt-PT"/>
              </w:rPr>
              <w:t xml:space="preserve"> </w:t>
            </w:r>
            <w:r w:rsidRPr="00AA2E04">
              <w:rPr>
                <w:rFonts w:ascii="Trebuchet MS" w:hAnsi="Trebuchet MS"/>
                <w:b/>
                <w:sz w:val="20"/>
                <w:szCs w:val="20"/>
                <w:lang w:val="en-US" w:eastAsia="pt-PT"/>
              </w:rPr>
              <w:t xml:space="preserve">371: </w:t>
            </w:r>
            <w:r w:rsidRPr="00AA2E04">
              <w:rPr>
                <w:rFonts w:ascii="Trebuchet MS" w:hAnsi="Trebuchet MS"/>
                <w:sz w:val="20"/>
                <w:szCs w:val="20"/>
                <w:lang w:val="en-US" w:eastAsia="pt-PT"/>
              </w:rPr>
              <w:t>85–102.</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jc w:val="both"/>
              <w:rPr>
                <w:rFonts w:ascii="Trebuchet MS" w:hAnsi="Trebuchet MS" w:cs="Arial"/>
                <w:sz w:val="20"/>
                <w:szCs w:val="20"/>
                <w:shd w:val="clear" w:color="auto" w:fill="FFFFFF"/>
                <w:lang w:val="en-US"/>
              </w:rPr>
            </w:pPr>
            <w:r w:rsidRPr="00AA2E04">
              <w:rPr>
                <w:rFonts w:ascii="Trebuchet MS" w:hAnsi="Trebuchet MS" w:cs="Arial"/>
                <w:sz w:val="20"/>
                <w:szCs w:val="20"/>
                <w:shd w:val="clear" w:color="auto" w:fill="FFFFFF"/>
                <w:lang w:val="en-US"/>
              </w:rPr>
              <w:lastRenderedPageBreak/>
              <w:t xml:space="preserve">Maccioni, R. B., Muñoz, J. P. and Barbeito, L. (2001). The molecular bases of Alzheimer´s disease and other neurodegenerative disorders. </w:t>
            </w:r>
            <w:r w:rsidRPr="00AA2E04">
              <w:rPr>
                <w:rFonts w:ascii="Trebuchet MS" w:hAnsi="Trebuchet MS" w:cs="Arial"/>
                <w:i/>
                <w:sz w:val="20"/>
                <w:szCs w:val="20"/>
                <w:shd w:val="clear" w:color="auto" w:fill="FFFFFF"/>
                <w:lang w:val="en-US"/>
              </w:rPr>
              <w:t>Archives of Medical Research</w:t>
            </w:r>
            <w:r w:rsidRPr="00AA2E04">
              <w:rPr>
                <w:rFonts w:ascii="Trebuchet MS" w:hAnsi="Trebuchet MS" w:cs="Arial"/>
                <w:sz w:val="20"/>
                <w:szCs w:val="20"/>
                <w:shd w:val="clear" w:color="auto" w:fill="FFFFFF"/>
                <w:lang w:val="en-US"/>
              </w:rPr>
              <w:t xml:space="preserve">. </w:t>
            </w:r>
            <w:r w:rsidRPr="00AA2E04">
              <w:rPr>
                <w:rFonts w:ascii="Trebuchet MS" w:hAnsi="Trebuchet MS" w:cs="Arial"/>
                <w:b/>
                <w:sz w:val="20"/>
                <w:szCs w:val="20"/>
                <w:shd w:val="clear" w:color="auto" w:fill="FFFFFF"/>
                <w:lang w:val="en-US"/>
              </w:rPr>
              <w:t>32</w:t>
            </w:r>
            <w:r w:rsidRPr="00AA2E04">
              <w:rPr>
                <w:rFonts w:ascii="Trebuchet MS" w:hAnsi="Trebuchet MS" w:cs="Arial"/>
                <w:sz w:val="20"/>
                <w:szCs w:val="20"/>
                <w:shd w:val="clear" w:color="auto" w:fill="FFFFFF"/>
                <w:lang w:val="en-US"/>
              </w:rPr>
              <w:t>: 367 – 381.</w:t>
            </w:r>
          </w:p>
          <w:p w:rsidR="00AF6EFC" w:rsidRPr="00AA2E04" w:rsidRDefault="00AF6EFC" w:rsidP="00C14921">
            <w:pPr>
              <w:jc w:val="both"/>
              <w:rPr>
                <w:rFonts w:ascii="Trebuchet MS" w:hAnsi="Trebuchet MS" w:cs="Arial"/>
                <w:sz w:val="20"/>
                <w:szCs w:val="20"/>
                <w:shd w:val="clear" w:color="auto" w:fill="FFFFFF"/>
                <w:lang w:val="en-US"/>
              </w:rPr>
            </w:pPr>
          </w:p>
          <w:p w:rsidR="00AF6EFC" w:rsidRPr="00AA2E04" w:rsidRDefault="0035151F" w:rsidP="00C14921">
            <w:pPr>
              <w:shd w:val="clear" w:color="auto" w:fill="FFFFFF"/>
              <w:jc w:val="both"/>
              <w:rPr>
                <w:rFonts w:ascii="Trebuchet MS" w:hAnsi="Trebuchet MS" w:cs="Arial"/>
                <w:sz w:val="20"/>
                <w:szCs w:val="20"/>
                <w:lang w:val="en-US" w:eastAsia="pt-PT"/>
              </w:rPr>
            </w:pPr>
            <w:hyperlink r:id="rId62" w:history="1">
              <w:r w:rsidR="00AF6EFC" w:rsidRPr="00AA2E04">
                <w:rPr>
                  <w:rFonts w:ascii="Trebuchet MS" w:hAnsi="Trebuchet MS" w:cs="Arial"/>
                  <w:sz w:val="20"/>
                  <w:szCs w:val="20"/>
                  <w:lang w:val="en-US" w:eastAsia="pt-PT"/>
                </w:rPr>
                <w:t>Mathews, K.S</w:t>
              </w:r>
            </w:hyperlink>
            <w:r w:rsidR="00AF6EFC" w:rsidRPr="00AA2E04">
              <w:rPr>
                <w:rFonts w:ascii="Trebuchet MS" w:hAnsi="Trebuchet MS" w:cs="Arial"/>
                <w:sz w:val="20"/>
                <w:szCs w:val="20"/>
                <w:lang w:val="en-US" w:eastAsia="pt-PT"/>
              </w:rPr>
              <w:t xml:space="preserve">., </w:t>
            </w:r>
            <w:hyperlink r:id="rId63" w:history="1">
              <w:r w:rsidR="00AF6EFC" w:rsidRPr="00AA2E04">
                <w:rPr>
                  <w:rFonts w:ascii="Trebuchet MS" w:hAnsi="Trebuchet MS" w:cs="Arial"/>
                  <w:sz w:val="20"/>
                  <w:szCs w:val="20"/>
                  <w:lang w:val="en-US" w:eastAsia="pt-PT"/>
                </w:rPr>
                <w:t>McLaughlin, D.P</w:t>
              </w:r>
            </w:hyperlink>
            <w:r w:rsidR="00AF6EFC" w:rsidRPr="00AA2E04">
              <w:rPr>
                <w:rFonts w:ascii="Trebuchet MS" w:hAnsi="Trebuchet MS" w:cs="Arial"/>
                <w:sz w:val="20"/>
                <w:szCs w:val="20"/>
                <w:lang w:val="en-US" w:eastAsia="pt-PT"/>
              </w:rPr>
              <w:t xml:space="preserve">., </w:t>
            </w:r>
            <w:hyperlink r:id="rId64" w:history="1">
              <w:r w:rsidR="00AF6EFC" w:rsidRPr="00AA2E04">
                <w:rPr>
                  <w:rFonts w:ascii="Trebuchet MS" w:hAnsi="Trebuchet MS" w:cs="Arial"/>
                  <w:sz w:val="20"/>
                  <w:szCs w:val="20"/>
                  <w:lang w:val="en-US" w:eastAsia="pt-PT"/>
                </w:rPr>
                <w:t>Ziabari, L.H</w:t>
              </w:r>
            </w:hyperlink>
            <w:r w:rsidR="00AF6EFC" w:rsidRPr="00AA2E04">
              <w:rPr>
                <w:rFonts w:ascii="Trebuchet MS" w:hAnsi="Trebuchet MS" w:cs="Arial"/>
                <w:sz w:val="20"/>
                <w:szCs w:val="20"/>
                <w:lang w:val="en-US" w:eastAsia="pt-PT"/>
              </w:rPr>
              <w:t xml:space="preserve">., </w:t>
            </w:r>
            <w:hyperlink r:id="rId65" w:history="1">
              <w:r w:rsidR="00AF6EFC" w:rsidRPr="00AA2E04">
                <w:rPr>
                  <w:rFonts w:ascii="Trebuchet MS" w:hAnsi="Trebuchet MS" w:cs="Arial"/>
                  <w:sz w:val="20"/>
                  <w:szCs w:val="20"/>
                  <w:lang w:val="en-US" w:eastAsia="pt-PT"/>
                </w:rPr>
                <w:t>Toner, C.C</w:t>
              </w:r>
            </w:hyperlink>
            <w:r w:rsidR="00AF6EFC" w:rsidRPr="00AA2E04">
              <w:rPr>
                <w:rFonts w:ascii="Trebuchet MS" w:hAnsi="Trebuchet MS" w:cs="Arial"/>
                <w:sz w:val="20"/>
                <w:szCs w:val="20"/>
                <w:lang w:val="en-US" w:eastAsia="pt-PT"/>
              </w:rPr>
              <w:t xml:space="preserve">., </w:t>
            </w:r>
            <w:hyperlink r:id="rId66" w:history="1">
              <w:r w:rsidR="00AF6EFC" w:rsidRPr="00AA2E04">
                <w:rPr>
                  <w:rFonts w:ascii="Trebuchet MS" w:hAnsi="Trebuchet MS" w:cs="Arial"/>
                  <w:sz w:val="20"/>
                  <w:szCs w:val="20"/>
                  <w:lang w:val="en-US" w:eastAsia="pt-PT"/>
                </w:rPr>
                <w:t>Street, P.C</w:t>
              </w:r>
            </w:hyperlink>
            <w:r w:rsidR="00AF6EFC" w:rsidRPr="00AA2E04">
              <w:rPr>
                <w:rFonts w:ascii="Trebuchet MS" w:hAnsi="Trebuchet MS" w:cs="Arial"/>
                <w:sz w:val="20"/>
                <w:szCs w:val="20"/>
                <w:lang w:val="en-US" w:eastAsia="pt-PT"/>
              </w:rPr>
              <w:t xml:space="preserve">., </w:t>
            </w:r>
            <w:hyperlink r:id="rId67" w:history="1">
              <w:r w:rsidR="00AF6EFC" w:rsidRPr="00AA2E04">
                <w:rPr>
                  <w:rFonts w:ascii="Trebuchet MS" w:hAnsi="Trebuchet MS" w:cs="Arial"/>
                  <w:sz w:val="20"/>
                  <w:szCs w:val="20"/>
                  <w:lang w:val="en-US" w:eastAsia="pt-PT"/>
                </w:rPr>
                <w:t>Hisgrove, E</w:t>
              </w:r>
            </w:hyperlink>
            <w:r w:rsidR="00AF6EFC" w:rsidRPr="00AA2E04">
              <w:rPr>
                <w:rFonts w:ascii="Trebuchet MS" w:hAnsi="Trebuchet MS" w:cs="Arial"/>
                <w:sz w:val="20"/>
                <w:szCs w:val="20"/>
                <w:lang w:val="en-US" w:eastAsia="pt-PT"/>
              </w:rPr>
              <w:t xml:space="preserve">., </w:t>
            </w:r>
            <w:hyperlink r:id="rId68" w:history="1">
              <w:r w:rsidR="00AF6EFC" w:rsidRPr="00AA2E04">
                <w:rPr>
                  <w:rFonts w:ascii="Trebuchet MS" w:hAnsi="Trebuchet MS" w:cs="Arial"/>
                  <w:sz w:val="20"/>
                  <w:szCs w:val="20"/>
                  <w:lang w:val="en-US" w:eastAsia="pt-PT"/>
                </w:rPr>
                <w:t>Bezz</w:t>
              </w:r>
              <w:r w:rsidR="00AF6EFC" w:rsidRPr="00AA2E04">
                <w:rPr>
                  <w:rFonts w:ascii="Trebuchet MS" w:hAnsi="Trebuchet MS" w:cs="Arial"/>
                  <w:sz w:val="20"/>
                  <w:szCs w:val="20"/>
                  <w:lang w:val="en-US" w:eastAsia="pt-PT"/>
                </w:rPr>
                <w:t>i</w:t>
              </w:r>
              <w:r w:rsidR="00AF6EFC" w:rsidRPr="00AA2E04">
                <w:rPr>
                  <w:rFonts w:ascii="Trebuchet MS" w:hAnsi="Trebuchet MS" w:cs="Arial"/>
                  <w:sz w:val="20"/>
                  <w:szCs w:val="20"/>
                  <w:lang w:val="en-US" w:eastAsia="pt-PT"/>
                </w:rPr>
                <w:t>na, E.L</w:t>
              </w:r>
            </w:hyperlink>
            <w:r w:rsidR="00AF6EFC" w:rsidRPr="00AA2E04">
              <w:rPr>
                <w:rFonts w:ascii="Trebuchet MS" w:hAnsi="Trebuchet MS" w:cs="Arial"/>
                <w:sz w:val="20"/>
                <w:szCs w:val="20"/>
                <w:lang w:val="en-US" w:eastAsia="pt-PT"/>
              </w:rPr>
              <w:t xml:space="preserve">., </w:t>
            </w:r>
            <w:hyperlink r:id="rId69" w:history="1">
              <w:r w:rsidR="00AF6EFC" w:rsidRPr="00AA2E04">
                <w:rPr>
                  <w:rFonts w:ascii="Trebuchet MS" w:hAnsi="Trebuchet MS" w:cs="Arial"/>
                  <w:sz w:val="20"/>
                  <w:szCs w:val="20"/>
                  <w:lang w:val="en-US" w:eastAsia="pt-PT"/>
                </w:rPr>
                <w:t>Stamford, J.A</w:t>
              </w:r>
            </w:hyperlink>
            <w:r w:rsidR="00AF6EFC" w:rsidRPr="00AA2E04">
              <w:rPr>
                <w:rFonts w:ascii="Trebuchet MS" w:hAnsi="Trebuchet MS" w:cs="Arial"/>
                <w:sz w:val="20"/>
                <w:szCs w:val="20"/>
                <w:lang w:val="en-US" w:eastAsia="pt-PT"/>
              </w:rPr>
              <w:t xml:space="preserve">. (2000) </w:t>
            </w:r>
            <w:r w:rsidR="00AF6EFC" w:rsidRPr="00AA2E04">
              <w:rPr>
                <w:rFonts w:ascii="Trebuchet MS" w:hAnsi="Trebuchet MS" w:cs="Arial"/>
                <w:bCs/>
                <w:sz w:val="20"/>
                <w:szCs w:val="20"/>
                <w:lang w:val="en-US" w:eastAsia="pt-PT"/>
              </w:rPr>
              <w:t>Rapid quantification of ischaemic injury and cerebroprotection in brain slices using densitometric assessment of 2</w:t>
            </w:r>
            <w:proofErr w:type="gramStart"/>
            <w:r w:rsidR="00AF6EFC" w:rsidRPr="00AA2E04">
              <w:rPr>
                <w:rFonts w:ascii="Trebuchet MS" w:hAnsi="Trebuchet MS" w:cs="Arial"/>
                <w:bCs/>
                <w:sz w:val="20"/>
                <w:szCs w:val="20"/>
                <w:lang w:val="en-US" w:eastAsia="pt-PT"/>
              </w:rPr>
              <w:t>,3,5</w:t>
            </w:r>
            <w:proofErr w:type="gramEnd"/>
            <w:r w:rsidR="00AF6EFC" w:rsidRPr="00AA2E04">
              <w:rPr>
                <w:rFonts w:ascii="Trebuchet MS" w:hAnsi="Trebuchet MS" w:cs="Arial"/>
                <w:bCs/>
                <w:sz w:val="20"/>
                <w:szCs w:val="20"/>
                <w:lang w:val="en-US" w:eastAsia="pt-PT"/>
              </w:rPr>
              <w:t>-triphenyltetrazolium chloride staining.</w:t>
            </w:r>
            <w:r w:rsidR="00AF6EFC" w:rsidRPr="00AA2E04">
              <w:rPr>
                <w:rFonts w:ascii="Trebuchet MS" w:hAnsi="Trebuchet MS" w:cs="Arial"/>
                <w:sz w:val="20"/>
                <w:szCs w:val="20"/>
                <w:lang w:val="en-US" w:eastAsia="pt-PT"/>
              </w:rPr>
              <w:t xml:space="preserve"> </w:t>
            </w:r>
            <w:hyperlink r:id="rId70" w:tooltip="Journal of neuroscience methods." w:history="1">
              <w:r w:rsidR="00AF6EFC" w:rsidRPr="00AA2E04">
                <w:rPr>
                  <w:rFonts w:ascii="Trebuchet MS" w:hAnsi="Trebuchet MS" w:cs="Arial"/>
                  <w:sz w:val="20"/>
                  <w:szCs w:val="20"/>
                  <w:lang w:val="en-US" w:eastAsia="pt-PT"/>
                </w:rPr>
                <w:t xml:space="preserve">J </w:t>
              </w:r>
              <w:r w:rsidR="00AF6EFC" w:rsidRPr="00AA2E04">
                <w:rPr>
                  <w:rFonts w:ascii="Trebuchet MS" w:hAnsi="Trebuchet MS" w:cs="Arial"/>
                  <w:i/>
                  <w:sz w:val="20"/>
                  <w:szCs w:val="20"/>
                  <w:lang w:val="en-US" w:eastAsia="pt-PT"/>
                </w:rPr>
                <w:t>Neurosci Methods.</w:t>
              </w:r>
            </w:hyperlink>
            <w:r w:rsidR="00AF6EFC" w:rsidRPr="00AA2E04">
              <w:rPr>
                <w:rFonts w:ascii="Trebuchet MS" w:hAnsi="Trebuchet MS" w:cs="Arial"/>
                <w:sz w:val="20"/>
                <w:szCs w:val="20"/>
                <w:lang w:val="en-US" w:eastAsia="pt-PT"/>
              </w:rPr>
              <w:t xml:space="preserve"> </w:t>
            </w:r>
            <w:r w:rsidR="00AF6EFC" w:rsidRPr="00AA2E04">
              <w:rPr>
                <w:rFonts w:ascii="Trebuchet MS" w:hAnsi="Trebuchet MS" w:cs="Arial"/>
                <w:b/>
                <w:sz w:val="20"/>
                <w:szCs w:val="20"/>
                <w:lang w:val="en-US" w:eastAsia="pt-PT"/>
              </w:rPr>
              <w:t>102(1):</w:t>
            </w:r>
            <w:r w:rsidR="00AF6EFC" w:rsidRPr="00AA2E04">
              <w:rPr>
                <w:rFonts w:ascii="Trebuchet MS" w:hAnsi="Trebuchet MS" w:cs="Arial"/>
                <w:sz w:val="20"/>
                <w:szCs w:val="20"/>
                <w:lang w:val="en-US" w:eastAsia="pt-PT"/>
              </w:rPr>
              <w:t xml:space="preserve"> 43-51.</w:t>
            </w:r>
          </w:p>
          <w:p w:rsidR="00AF6EFC" w:rsidRPr="00AA2E04" w:rsidRDefault="00AF6EFC" w:rsidP="00C14921">
            <w:pPr>
              <w:shd w:val="clear" w:color="auto" w:fill="FFFFFF"/>
              <w:jc w:val="both"/>
              <w:rPr>
                <w:rFonts w:ascii="Trebuchet MS" w:hAnsi="Trebuchet MS" w:cs="Arial"/>
                <w:sz w:val="20"/>
                <w:szCs w:val="20"/>
                <w:lang w:val="en-US" w:eastAsia="pt-PT"/>
              </w:rPr>
            </w:pPr>
          </w:p>
          <w:p w:rsidR="00AF6EFC" w:rsidRPr="00AA2E04" w:rsidRDefault="00AF6EFC" w:rsidP="00C14921">
            <w:pPr>
              <w:shd w:val="clear" w:color="auto" w:fill="FFFFFF"/>
              <w:jc w:val="both"/>
              <w:rPr>
                <w:rFonts w:ascii="Trebuchet MS" w:hAnsi="Trebuchet MS" w:cs="Arial"/>
                <w:sz w:val="20"/>
                <w:szCs w:val="20"/>
                <w:lang w:val="en-US" w:eastAsia="pt-PT"/>
              </w:rPr>
            </w:pPr>
            <w:r w:rsidRPr="00AA2E04">
              <w:rPr>
                <w:rFonts w:ascii="Trebuchet MS" w:hAnsi="Trebuchet MS" w:cs="Arial"/>
                <w:sz w:val="20"/>
                <w:szCs w:val="20"/>
                <w:lang w:val="en-US" w:eastAsia="pt-PT"/>
              </w:rPr>
              <w:t xml:space="preserve">Monette, R., Small, D.L., Mealing, G. and Morley, P. (1998). A fluorescence confocal assay to assess neuronal viability in brain slices. </w:t>
            </w:r>
            <w:r w:rsidRPr="00AA2E04">
              <w:rPr>
                <w:rFonts w:ascii="Trebuchet MS" w:hAnsi="Trebuchet MS" w:cs="Arial"/>
                <w:i/>
                <w:sz w:val="20"/>
                <w:szCs w:val="20"/>
                <w:lang w:val="en-US" w:eastAsia="pt-PT"/>
              </w:rPr>
              <w:t>Brain Research Protocols</w:t>
            </w:r>
            <w:r w:rsidRPr="00AA2E04">
              <w:rPr>
                <w:rFonts w:ascii="Trebuchet MS" w:hAnsi="Trebuchet MS" w:cs="Arial"/>
                <w:sz w:val="20"/>
                <w:szCs w:val="20"/>
                <w:lang w:val="en-US" w:eastAsia="pt-PT"/>
              </w:rPr>
              <w:t xml:space="preserve">. </w:t>
            </w:r>
            <w:r w:rsidRPr="00AA2E04">
              <w:rPr>
                <w:rFonts w:ascii="Trebuchet MS" w:hAnsi="Trebuchet MS" w:cs="Arial"/>
                <w:b/>
                <w:sz w:val="20"/>
                <w:szCs w:val="20"/>
                <w:lang w:val="en-US" w:eastAsia="pt-PT"/>
              </w:rPr>
              <w:t>2</w:t>
            </w:r>
            <w:r w:rsidRPr="00AA2E04">
              <w:rPr>
                <w:rFonts w:ascii="Trebuchet MS" w:hAnsi="Trebuchet MS" w:cs="Arial"/>
                <w:sz w:val="20"/>
                <w:szCs w:val="20"/>
                <w:lang w:val="en-US" w:eastAsia="pt-PT"/>
              </w:rPr>
              <w:t>: 99–108.</w:t>
            </w:r>
          </w:p>
          <w:p w:rsidR="00B75287" w:rsidRPr="00AA2E04" w:rsidRDefault="00B75287" w:rsidP="00C14921">
            <w:pPr>
              <w:autoSpaceDE w:val="0"/>
              <w:autoSpaceDN w:val="0"/>
              <w:adjustRightInd w:val="0"/>
              <w:jc w:val="both"/>
              <w:rPr>
                <w:rFonts w:ascii="Trebuchet MS" w:hAnsi="Trebuchet MS" w:cs="MyriadMM-Light"/>
                <w:sz w:val="20"/>
                <w:szCs w:val="20"/>
                <w:lang w:val="en-US"/>
              </w:rPr>
            </w:pPr>
          </w:p>
          <w:p w:rsidR="00AF6EFC" w:rsidRPr="00AA2E04" w:rsidRDefault="00AF6EFC" w:rsidP="00C14921">
            <w:pPr>
              <w:autoSpaceDE w:val="0"/>
              <w:autoSpaceDN w:val="0"/>
              <w:adjustRightInd w:val="0"/>
              <w:jc w:val="both"/>
              <w:rPr>
                <w:rFonts w:ascii="Trebuchet MS" w:hAnsi="Trebuchet MS" w:cs="Arial"/>
                <w:bCs/>
                <w:color w:val="365F91" w:themeColor="accent1" w:themeShade="BF"/>
                <w:sz w:val="20"/>
                <w:szCs w:val="20"/>
                <w:lang w:val="en-US"/>
              </w:rPr>
            </w:pPr>
            <w:r w:rsidRPr="00AA2E04">
              <w:rPr>
                <w:rFonts w:ascii="Trebuchet MS" w:hAnsi="Trebuchet MS" w:cs="MyriadMM-Light"/>
                <w:sz w:val="20"/>
                <w:szCs w:val="20"/>
                <w:lang w:val="en-US"/>
              </w:rPr>
              <w:t xml:space="preserve">Moroni, F., Meli, E., Peruginelli, F., Chiarugi, A., Cozzi, A., Picca, R., </w:t>
            </w:r>
            <w:r w:rsidRPr="00AA2E04">
              <w:rPr>
                <w:rFonts w:ascii="Trebuchet MS" w:hAnsi="Trebuchet MS" w:cs="AdvP6EC5"/>
                <w:sz w:val="20"/>
                <w:szCs w:val="20"/>
                <w:lang w:val="en-US"/>
              </w:rPr>
              <w:t>Romagnoli, P., Pelli</w:t>
            </w:r>
            <w:r w:rsidRPr="00AA2E04">
              <w:rPr>
                <w:rFonts w:ascii="Trebuchet MS" w:hAnsi="Trebuchet MS" w:cs="AdvP6EC5"/>
                <w:sz w:val="20"/>
                <w:szCs w:val="20"/>
                <w:lang w:val="en-US"/>
              </w:rPr>
              <w:t>c</w:t>
            </w:r>
            <w:r w:rsidRPr="00AA2E04">
              <w:rPr>
                <w:rFonts w:ascii="Trebuchet MS" w:hAnsi="Trebuchet MS" w:cs="AdvP6EC5"/>
                <w:sz w:val="20"/>
                <w:szCs w:val="20"/>
                <w:lang w:val="en-US"/>
              </w:rPr>
              <w:t xml:space="preserve">ciari, R.  </w:t>
            </w:r>
            <w:r w:rsidRPr="00AA2E04">
              <w:rPr>
                <w:rFonts w:ascii="Trebuchet MS" w:hAnsi="Trebuchet MS" w:cs="MyriadMM-Light"/>
                <w:sz w:val="20"/>
                <w:szCs w:val="20"/>
                <w:lang w:val="en-US"/>
              </w:rPr>
              <w:t xml:space="preserve"> </w:t>
            </w:r>
            <w:proofErr w:type="gramStart"/>
            <w:r w:rsidRPr="00AA2E04">
              <w:rPr>
                <w:rFonts w:ascii="Trebuchet MS" w:hAnsi="Trebuchet MS" w:cs="MyriadMM-Light"/>
                <w:sz w:val="20"/>
                <w:szCs w:val="20"/>
                <w:lang w:val="en-US"/>
              </w:rPr>
              <w:t>and</w:t>
            </w:r>
            <w:proofErr w:type="gramEnd"/>
            <w:r w:rsidRPr="00AA2E04">
              <w:rPr>
                <w:rFonts w:ascii="Trebuchet MS" w:hAnsi="Trebuchet MS" w:cs="MyriadMM-Light"/>
                <w:sz w:val="20"/>
                <w:szCs w:val="20"/>
                <w:lang w:val="en-US"/>
              </w:rPr>
              <w:t xml:space="preserve"> </w:t>
            </w:r>
            <w:r w:rsidRPr="00AA2E04">
              <w:rPr>
                <w:rFonts w:ascii="Trebuchet MS" w:hAnsi="Trebuchet MS" w:cs="AdvP6EC5"/>
                <w:sz w:val="20"/>
                <w:szCs w:val="20"/>
                <w:lang w:val="en-US"/>
              </w:rPr>
              <w:t>Pellegrini-Giampietro, D.E.</w:t>
            </w:r>
            <w:r w:rsidRPr="00AA2E04">
              <w:rPr>
                <w:rFonts w:ascii="Trebuchet MS" w:hAnsi="Trebuchet MS" w:cs="MyriadMM-Light"/>
                <w:sz w:val="20"/>
                <w:szCs w:val="20"/>
                <w:lang w:val="en-US"/>
              </w:rPr>
              <w:t xml:space="preserve"> (2001).  Poly</w:t>
            </w:r>
            <w:r w:rsidR="00B75287" w:rsidRPr="00AA2E04">
              <w:rPr>
                <w:rFonts w:ascii="Trebuchet MS" w:hAnsi="Trebuchet MS" w:cs="MyriadMM-Light"/>
                <w:sz w:val="20"/>
                <w:szCs w:val="20"/>
                <w:lang w:val="en-US"/>
              </w:rPr>
              <w:t xml:space="preserve"> </w:t>
            </w:r>
            <w:r w:rsidRPr="00AA2E04">
              <w:rPr>
                <w:rFonts w:ascii="Trebuchet MS" w:hAnsi="Trebuchet MS" w:cs="MyriadMM-Light"/>
                <w:sz w:val="20"/>
                <w:szCs w:val="20"/>
                <w:lang w:val="en-US"/>
              </w:rPr>
              <w:t xml:space="preserve">(ADP-ribose) polymerase inhibitors attenuate necrotic but not apoptotic neuronal death in experimentalmodels of cerebral ischemia. </w:t>
            </w:r>
            <w:r w:rsidRPr="00AA2E04">
              <w:rPr>
                <w:rFonts w:ascii="Trebuchet MS" w:hAnsi="Trebuchet MS" w:cs="MyriadMM-Light"/>
                <w:i/>
                <w:sz w:val="20"/>
                <w:szCs w:val="20"/>
                <w:lang w:val="en-US"/>
              </w:rPr>
              <w:t>Cell Death and Differentiation</w:t>
            </w:r>
            <w:r w:rsidRPr="00AA2E04">
              <w:rPr>
                <w:rFonts w:ascii="Trebuchet MS" w:hAnsi="Trebuchet MS" w:cs="MyriadMM-Light"/>
                <w:sz w:val="20"/>
                <w:szCs w:val="20"/>
                <w:lang w:val="en-US"/>
              </w:rPr>
              <w:t xml:space="preserve">. </w:t>
            </w:r>
            <w:r w:rsidRPr="00AA2E04">
              <w:rPr>
                <w:rFonts w:ascii="Trebuchet MS" w:hAnsi="Trebuchet MS" w:cs="MyriadMM-Light"/>
                <w:b/>
                <w:sz w:val="20"/>
                <w:szCs w:val="20"/>
                <w:lang w:val="en-US"/>
              </w:rPr>
              <w:t>8:</w:t>
            </w:r>
            <w:r w:rsidRPr="00AA2E04">
              <w:rPr>
                <w:rFonts w:ascii="Trebuchet MS" w:hAnsi="Trebuchet MS" w:cs="MyriadMM-Light"/>
                <w:sz w:val="20"/>
                <w:szCs w:val="20"/>
                <w:lang w:val="en-US"/>
              </w:rPr>
              <w:t xml:space="preserve"> 921-932.</w:t>
            </w:r>
          </w:p>
          <w:p w:rsidR="00AF6EFC" w:rsidRPr="00AA2E04" w:rsidRDefault="00AF6EFC" w:rsidP="00C14921">
            <w:pPr>
              <w:jc w:val="both"/>
              <w:rPr>
                <w:rFonts w:ascii="Trebuchet MS" w:hAnsi="Trebuchet MS"/>
                <w:sz w:val="20"/>
                <w:szCs w:val="20"/>
                <w:lang w:val="en-US"/>
              </w:rPr>
            </w:pPr>
          </w:p>
        </w:tc>
      </w:tr>
      <w:tr w:rsidR="007C1639" w:rsidRPr="00AA2E04" w:rsidTr="00C14921">
        <w:tc>
          <w:tcPr>
            <w:tcW w:w="5000" w:type="pct"/>
            <w:vAlign w:val="center"/>
          </w:tcPr>
          <w:p w:rsidR="007C1639" w:rsidRPr="00AA2E04" w:rsidRDefault="007C1639" w:rsidP="00C14921">
            <w:pPr>
              <w:autoSpaceDE w:val="0"/>
              <w:autoSpaceDN w:val="0"/>
              <w:adjustRightInd w:val="0"/>
              <w:jc w:val="both"/>
              <w:rPr>
                <w:rFonts w:ascii="Trebuchet MS" w:hAnsi="Trebuchet MS" w:cs="HelveticaNeue-Medium"/>
                <w:bCs/>
                <w:sz w:val="20"/>
                <w:szCs w:val="20"/>
                <w:lang w:val="en-US"/>
              </w:rPr>
            </w:pPr>
            <w:r w:rsidRPr="00AA2E04">
              <w:rPr>
                <w:rFonts w:ascii="Trebuchet MS" w:hAnsi="Trebuchet MS" w:cs="HelveticaNeue-Bold"/>
                <w:bCs/>
                <w:sz w:val="20"/>
                <w:szCs w:val="20"/>
              </w:rPr>
              <w:t xml:space="preserve">Nakatomi, H., Kuriu, T., Okabe, S., Yamamoto, S.-I., Hatano, O., Kawahara, N., Tamura, A., Kirino, T. and Nakafuku, M. (2002). </w:t>
            </w:r>
            <w:r w:rsidRPr="00AA2E04">
              <w:rPr>
                <w:rFonts w:ascii="Trebuchet MS" w:hAnsi="Trebuchet MS" w:cs="HelveticaNeue-Bold"/>
                <w:bCs/>
                <w:sz w:val="20"/>
                <w:szCs w:val="20"/>
                <w:lang w:val="en-US"/>
              </w:rPr>
              <w:t>Regeneration of Hippocampal Pyramidal Neurons after Ischemic Brain Injury by Recruitment of Endogenous Neural Progenitors.</w:t>
            </w:r>
            <w:r w:rsidRPr="00AA2E04">
              <w:rPr>
                <w:rFonts w:ascii="Trebuchet MS" w:hAnsi="Trebuchet MS" w:cs="HelveticaNeue-Medium"/>
                <w:bCs/>
                <w:sz w:val="20"/>
                <w:szCs w:val="20"/>
                <w:lang w:val="en-US"/>
              </w:rPr>
              <w:t xml:space="preserve"> </w:t>
            </w:r>
            <w:r w:rsidRPr="00AA2E04">
              <w:rPr>
                <w:rFonts w:ascii="Trebuchet MS" w:hAnsi="Trebuchet MS" w:cs="HelveticaNeue-Medium"/>
                <w:bCs/>
                <w:i/>
                <w:sz w:val="20"/>
                <w:szCs w:val="20"/>
                <w:lang w:val="en-US"/>
              </w:rPr>
              <w:t>Cell.</w:t>
            </w:r>
            <w:r w:rsidRPr="00AA2E04">
              <w:rPr>
                <w:rFonts w:ascii="Trebuchet MS" w:hAnsi="Trebuchet MS" w:cs="HelveticaNeue-Medium"/>
                <w:bCs/>
                <w:sz w:val="20"/>
                <w:szCs w:val="20"/>
                <w:lang w:val="en-US"/>
              </w:rPr>
              <w:t xml:space="preserve"> Vol. </w:t>
            </w:r>
            <w:r w:rsidRPr="00AA2E04">
              <w:rPr>
                <w:rFonts w:ascii="Trebuchet MS" w:hAnsi="Trebuchet MS" w:cs="HelveticaNeue-Medium"/>
                <w:b/>
                <w:bCs/>
                <w:sz w:val="20"/>
                <w:szCs w:val="20"/>
                <w:lang w:val="en-US"/>
              </w:rPr>
              <w:t>110</w:t>
            </w:r>
            <w:r w:rsidRPr="00AA2E04">
              <w:rPr>
                <w:rFonts w:ascii="Trebuchet MS" w:hAnsi="Trebuchet MS" w:cs="HelveticaNeue-Medium"/>
                <w:bCs/>
                <w:sz w:val="20"/>
                <w:szCs w:val="20"/>
                <w:lang w:val="en-US"/>
              </w:rPr>
              <w:t>: 429–441.</w:t>
            </w:r>
          </w:p>
          <w:p w:rsidR="007C1639" w:rsidRPr="00AA2E04" w:rsidRDefault="007C1639" w:rsidP="00C14921">
            <w:pPr>
              <w:autoSpaceDE w:val="0"/>
              <w:autoSpaceDN w:val="0"/>
              <w:adjustRightInd w:val="0"/>
              <w:jc w:val="both"/>
              <w:rPr>
                <w:rFonts w:ascii="Trebuchet MS" w:hAnsi="Trebuchet MS" w:cs="HelveticaNeue-Bold"/>
                <w:bCs/>
                <w:sz w:val="20"/>
                <w:szCs w:val="20"/>
              </w:rPr>
            </w:pPr>
          </w:p>
        </w:tc>
      </w:tr>
      <w:tr w:rsidR="00AF6EFC" w:rsidRPr="00AA2E04" w:rsidTr="00C14921">
        <w:tc>
          <w:tcPr>
            <w:tcW w:w="5000" w:type="pct"/>
            <w:vAlign w:val="center"/>
          </w:tcPr>
          <w:p w:rsidR="007C1639" w:rsidRPr="00AA2E04" w:rsidRDefault="007C1639" w:rsidP="00C14921">
            <w:pPr>
              <w:jc w:val="both"/>
              <w:rPr>
                <w:rFonts w:ascii="Trebuchet MS" w:hAnsi="Trebuchet MS"/>
                <w:sz w:val="20"/>
                <w:szCs w:val="20"/>
                <w:lang w:val="en-US"/>
              </w:rPr>
            </w:pPr>
            <w:r w:rsidRPr="00AA2E04">
              <w:rPr>
                <w:rFonts w:ascii="Trebuchet MS" w:hAnsi="Trebuchet MS"/>
                <w:sz w:val="20"/>
                <w:szCs w:val="20"/>
                <w:lang w:val="en-US"/>
              </w:rPr>
              <w:t xml:space="preserve">Nandagopal, K., Dawson, T.M. and Dawson, V.L. (2001). Critical role for nitric oxide signaling in cardiac and neuronal ischemic preconditioning and tolerance. </w:t>
            </w:r>
            <w:r w:rsidRPr="00AA2E04">
              <w:rPr>
                <w:rFonts w:ascii="Trebuchet MS" w:hAnsi="Trebuchet MS"/>
                <w:i/>
                <w:sz w:val="20"/>
                <w:szCs w:val="20"/>
                <w:lang w:val="en-US"/>
              </w:rPr>
              <w:t>The Journal of Pharmacology and Experimental Therapeutics</w:t>
            </w:r>
            <w:r w:rsidRPr="00AA2E04">
              <w:rPr>
                <w:rFonts w:ascii="Trebuchet MS" w:hAnsi="Trebuchet MS"/>
                <w:sz w:val="20"/>
                <w:szCs w:val="20"/>
                <w:lang w:val="en-US"/>
              </w:rPr>
              <w:t xml:space="preserve">. </w:t>
            </w:r>
            <w:r w:rsidRPr="00AA2E04">
              <w:rPr>
                <w:rFonts w:ascii="Trebuchet MS" w:hAnsi="Trebuchet MS"/>
                <w:b/>
                <w:sz w:val="20"/>
                <w:szCs w:val="20"/>
                <w:lang w:val="en-US"/>
              </w:rPr>
              <w:t>297</w:t>
            </w:r>
            <w:r w:rsidRPr="00AA2E04">
              <w:rPr>
                <w:rFonts w:ascii="Trebuchet MS" w:hAnsi="Trebuchet MS"/>
                <w:sz w:val="20"/>
                <w:szCs w:val="20"/>
                <w:lang w:val="en-US"/>
              </w:rPr>
              <w:t xml:space="preserve">:474–478. </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Nisticò, R., Piccirilli, S., Cucchiaroni, M. L., Armogida, M., Guatteo, E., Giampa, C., Fusco, F. R., Bernardi, G., Nisticò, G. and Mercuri, N. B. (2008). Neuroprotective effect of hydrogen peroxide on an </w:t>
            </w:r>
            <w:r w:rsidR="00194A32" w:rsidRPr="00AA2E04">
              <w:rPr>
                <w:rFonts w:ascii="Trebuchet MS" w:hAnsi="Trebuchet MS"/>
                <w:i/>
                <w:sz w:val="20"/>
                <w:szCs w:val="20"/>
                <w:lang w:val="en-US"/>
              </w:rPr>
              <w:t xml:space="preserve">in vitro </w:t>
            </w:r>
            <w:r w:rsidRPr="00AA2E04">
              <w:rPr>
                <w:rFonts w:ascii="Trebuchet MS" w:hAnsi="Trebuchet MS"/>
                <w:sz w:val="20"/>
                <w:szCs w:val="20"/>
                <w:lang w:val="en-US"/>
              </w:rPr>
              <w:t xml:space="preserve">model of brain ischaemia. </w:t>
            </w:r>
            <w:r w:rsidRPr="00AA2E04">
              <w:rPr>
                <w:rFonts w:ascii="Trebuchet MS" w:hAnsi="Trebuchet MS"/>
                <w:i/>
                <w:sz w:val="20"/>
                <w:szCs w:val="20"/>
                <w:lang w:val="en-US"/>
              </w:rPr>
              <w:t>British Journal of Pharmacology</w:t>
            </w:r>
            <w:r w:rsidRPr="00AA2E04">
              <w:rPr>
                <w:rFonts w:ascii="Trebuchet MS" w:hAnsi="Trebuchet MS"/>
                <w:sz w:val="20"/>
                <w:szCs w:val="20"/>
                <w:lang w:val="en-US"/>
              </w:rPr>
              <w:t xml:space="preserve">. Vol. </w:t>
            </w:r>
            <w:r w:rsidRPr="00AA2E04">
              <w:rPr>
                <w:rFonts w:ascii="Trebuchet MS" w:hAnsi="Trebuchet MS"/>
                <w:b/>
                <w:sz w:val="20"/>
                <w:szCs w:val="20"/>
                <w:lang w:val="en-US"/>
              </w:rPr>
              <w:t>153</w:t>
            </w:r>
            <w:r w:rsidRPr="00AA2E04">
              <w:rPr>
                <w:rFonts w:ascii="Trebuchet MS" w:hAnsi="Trebuchet MS"/>
                <w:sz w:val="20"/>
                <w:szCs w:val="20"/>
                <w:lang w:val="en-US"/>
              </w:rPr>
              <w:t>: 1022–1029.</w:t>
            </w:r>
          </w:p>
        </w:tc>
      </w:tr>
      <w:tr w:rsidR="00715EE0" w:rsidRPr="00AA2E04" w:rsidTr="00C14921">
        <w:tc>
          <w:tcPr>
            <w:tcW w:w="5000" w:type="pct"/>
            <w:vAlign w:val="center"/>
          </w:tcPr>
          <w:p w:rsidR="00715EE0" w:rsidRPr="00AA2E04" w:rsidRDefault="00715EE0" w:rsidP="00C14921">
            <w:pPr>
              <w:autoSpaceDE w:val="0"/>
              <w:autoSpaceDN w:val="0"/>
              <w:adjustRightInd w:val="0"/>
              <w:jc w:val="both"/>
              <w:rPr>
                <w:rFonts w:ascii="Trebuchet MS" w:hAnsi="Trebuchet MS" w:cs="Palatino-Roman"/>
                <w:sz w:val="20"/>
                <w:szCs w:val="20"/>
                <w:lang w:val="en-US"/>
              </w:rPr>
            </w:pPr>
          </w:p>
        </w:tc>
      </w:tr>
      <w:tr w:rsidR="00AF6EFC" w:rsidRPr="00AA2E04" w:rsidTr="00C14921">
        <w:tc>
          <w:tcPr>
            <w:tcW w:w="5000" w:type="pct"/>
            <w:vAlign w:val="center"/>
          </w:tcPr>
          <w:p w:rsidR="00AF6EFC" w:rsidRPr="00AA2E04" w:rsidRDefault="00AF6EFC" w:rsidP="00C14921">
            <w:pPr>
              <w:autoSpaceDE w:val="0"/>
              <w:autoSpaceDN w:val="0"/>
              <w:adjustRightInd w:val="0"/>
              <w:jc w:val="both"/>
              <w:rPr>
                <w:rFonts w:ascii="Trebuchet MS" w:hAnsi="Trebuchet MS" w:cs="Palatino-Roman"/>
                <w:sz w:val="20"/>
                <w:szCs w:val="20"/>
                <w:lang w:val="en-US"/>
              </w:rPr>
            </w:pPr>
            <w:r w:rsidRPr="00AA2E04">
              <w:rPr>
                <w:rFonts w:ascii="Trebuchet MS" w:hAnsi="Trebuchet MS" w:cs="Palatino-Roman"/>
                <w:sz w:val="20"/>
                <w:szCs w:val="20"/>
                <w:lang w:val="en-US"/>
              </w:rPr>
              <w:t>Pape, M., Englelhard, K., Eberspacher, E., Hollweck, R., Kellermann, K., Zintner, S., Hutzler, P., Werner, C. (2006). The long-term effect of sevoflurane on neuronal cell damage and e</w:t>
            </w:r>
            <w:r w:rsidRPr="00AA2E04">
              <w:rPr>
                <w:rFonts w:ascii="Trebuchet MS" w:hAnsi="Trebuchet MS" w:cs="Palatino-Roman"/>
                <w:sz w:val="20"/>
                <w:szCs w:val="20"/>
                <w:lang w:val="en-US"/>
              </w:rPr>
              <w:t>x</w:t>
            </w:r>
            <w:r w:rsidRPr="00AA2E04">
              <w:rPr>
                <w:rFonts w:ascii="Trebuchet MS" w:hAnsi="Trebuchet MS" w:cs="Palatino-Roman"/>
                <w:sz w:val="20"/>
                <w:szCs w:val="20"/>
                <w:lang w:val="en-US"/>
              </w:rPr>
              <w:t xml:space="preserve">pression of apoptotic factors after cerebral ischemia and reperfusion in rats. </w:t>
            </w:r>
            <w:r w:rsidRPr="00AA2E04">
              <w:rPr>
                <w:rFonts w:ascii="Trebuchet MS" w:hAnsi="Trebuchet MS" w:cs="Palatino-Roman"/>
                <w:i/>
                <w:sz w:val="20"/>
                <w:szCs w:val="20"/>
                <w:lang w:val="en-US"/>
              </w:rPr>
              <w:t>Anesth Analg</w:t>
            </w:r>
            <w:r w:rsidRPr="00AA2E04">
              <w:rPr>
                <w:rFonts w:ascii="Trebuchet MS" w:hAnsi="Trebuchet MS" w:cs="Palatino-Roman"/>
                <w:sz w:val="20"/>
                <w:szCs w:val="20"/>
                <w:lang w:val="en-US"/>
              </w:rPr>
              <w:t xml:space="preserve">. Vol. </w:t>
            </w:r>
            <w:r w:rsidRPr="00AA2E04">
              <w:rPr>
                <w:rFonts w:ascii="Trebuchet MS" w:hAnsi="Trebuchet MS" w:cs="Palatino-Roman"/>
                <w:b/>
                <w:sz w:val="20"/>
                <w:szCs w:val="20"/>
                <w:lang w:val="en-US"/>
              </w:rPr>
              <w:t>103</w:t>
            </w:r>
            <w:r w:rsidRPr="00AA2E04">
              <w:rPr>
                <w:rFonts w:ascii="Trebuchet MS" w:hAnsi="Trebuchet MS" w:cs="Palatino-Roman"/>
                <w:sz w:val="20"/>
                <w:szCs w:val="20"/>
                <w:lang w:val="en-US"/>
              </w:rPr>
              <w:t>: 173–9.</w:t>
            </w:r>
          </w:p>
          <w:p w:rsidR="00715EE0" w:rsidRPr="00AA2E04" w:rsidRDefault="00715EE0" w:rsidP="00C14921">
            <w:pPr>
              <w:autoSpaceDE w:val="0"/>
              <w:autoSpaceDN w:val="0"/>
              <w:adjustRightInd w:val="0"/>
              <w:jc w:val="both"/>
              <w:rPr>
                <w:rFonts w:ascii="Trebuchet MS" w:hAnsi="Trebuchet MS" w:cs="Palatino-Roman"/>
                <w:sz w:val="20"/>
                <w:szCs w:val="20"/>
                <w:lang w:val="en-US"/>
              </w:rPr>
            </w:pPr>
          </w:p>
          <w:p w:rsidR="00715EE0" w:rsidRPr="00AA2E04" w:rsidRDefault="00715EE0" w:rsidP="00C14921">
            <w:pPr>
              <w:autoSpaceDE w:val="0"/>
              <w:autoSpaceDN w:val="0"/>
              <w:adjustRightInd w:val="0"/>
              <w:jc w:val="both"/>
              <w:rPr>
                <w:rFonts w:ascii="Trebuchet MS" w:hAnsi="Trebuchet MS" w:cs="Arial"/>
                <w:sz w:val="20"/>
                <w:szCs w:val="20"/>
                <w:lang w:val="en-US"/>
              </w:rPr>
            </w:pPr>
            <w:r w:rsidRPr="00AA2E04">
              <w:rPr>
                <w:rFonts w:ascii="Trebuchet MS" w:hAnsi="Trebuchet MS" w:cs="Arial"/>
                <w:sz w:val="20"/>
                <w:szCs w:val="20"/>
                <w:lang w:val="en-US"/>
              </w:rPr>
              <w:t xml:space="preserve">Pearse, A. G. E.  (1960). </w:t>
            </w:r>
            <w:r w:rsidRPr="00AA2E04">
              <w:rPr>
                <w:rFonts w:ascii="Trebuchet MS" w:hAnsi="Trebuchet MS" w:cs="Arial"/>
                <w:i/>
                <w:sz w:val="20"/>
                <w:szCs w:val="20"/>
                <w:lang w:val="en-US"/>
              </w:rPr>
              <w:t>Histochemistry - theoretical and applied</w:t>
            </w:r>
            <w:r w:rsidRPr="00AA2E04">
              <w:rPr>
                <w:rFonts w:ascii="Trebuchet MS" w:hAnsi="Trebuchet MS" w:cs="Arial"/>
                <w:sz w:val="20"/>
                <w:szCs w:val="20"/>
                <w:lang w:val="en-US"/>
              </w:rPr>
              <w:t>, second ed. London: Chu</w:t>
            </w:r>
            <w:r w:rsidRPr="00AA2E04">
              <w:rPr>
                <w:rFonts w:ascii="Trebuchet MS" w:hAnsi="Trebuchet MS" w:cs="Arial"/>
                <w:sz w:val="20"/>
                <w:szCs w:val="20"/>
                <w:lang w:val="en-US"/>
              </w:rPr>
              <w:t>r</w:t>
            </w:r>
            <w:r w:rsidRPr="00AA2E04">
              <w:rPr>
                <w:rFonts w:ascii="Trebuchet MS" w:hAnsi="Trebuchet MS" w:cs="Arial"/>
                <w:sz w:val="20"/>
                <w:szCs w:val="20"/>
                <w:lang w:val="en-US"/>
              </w:rPr>
              <w:t xml:space="preserve">chill. </w:t>
            </w:r>
          </w:p>
          <w:p w:rsidR="00AF6EFC" w:rsidRPr="00AA2E04" w:rsidRDefault="00AF6EFC" w:rsidP="00C14921">
            <w:pPr>
              <w:keepNext/>
              <w:keepLines/>
              <w:shd w:val="clear" w:color="auto" w:fill="FFFFFF"/>
              <w:jc w:val="both"/>
              <w:outlineLvl w:val="1"/>
              <w:rPr>
                <w:rFonts w:ascii="Trebuchet MS" w:eastAsiaTheme="majorEastAsia" w:hAnsi="Trebuchet MS" w:cstheme="majorBidi"/>
                <w:color w:val="000000"/>
                <w:sz w:val="20"/>
                <w:szCs w:val="20"/>
                <w:lang w:val="en-US"/>
              </w:rPr>
            </w:pPr>
            <w:r w:rsidRPr="00AA2E04">
              <w:rPr>
                <w:rFonts w:ascii="Trebuchet MS" w:eastAsiaTheme="majorEastAsia" w:hAnsi="Trebuchet MS" w:cstheme="majorBidi"/>
                <w:bCs/>
                <w:color w:val="000000"/>
                <w:sz w:val="20"/>
                <w:szCs w:val="20"/>
                <w:lang w:val="en-US"/>
              </w:rPr>
              <w:t xml:space="preserve">Pedersen, J.Z., Bernardi, G., Centonze, D., Pisani, A., Rossi, L., Rotilio, G. and Calabresi, P.  (1998) </w:t>
            </w:r>
            <w:r w:rsidRPr="00AA2E04">
              <w:rPr>
                <w:rFonts w:ascii="Trebuchet MS" w:eastAsiaTheme="majorEastAsia" w:hAnsi="Trebuchet MS" w:cstheme="majorBidi"/>
                <w:color w:val="000000"/>
                <w:sz w:val="20"/>
                <w:szCs w:val="20"/>
                <w:lang w:val="en-US"/>
              </w:rPr>
              <w:t>Hypoglycemia, Hypoxia, and Ischemia in a Corticostriatal Slice Preparation: Electr</w:t>
            </w:r>
            <w:r w:rsidRPr="00AA2E04">
              <w:rPr>
                <w:rFonts w:ascii="Trebuchet MS" w:eastAsiaTheme="majorEastAsia" w:hAnsi="Trebuchet MS" w:cstheme="majorBidi"/>
                <w:color w:val="000000"/>
                <w:sz w:val="20"/>
                <w:szCs w:val="20"/>
                <w:lang w:val="en-US"/>
              </w:rPr>
              <w:t>o</w:t>
            </w:r>
            <w:r w:rsidRPr="00AA2E04">
              <w:rPr>
                <w:rFonts w:ascii="Trebuchet MS" w:eastAsiaTheme="majorEastAsia" w:hAnsi="Trebuchet MS" w:cstheme="majorBidi"/>
                <w:color w:val="000000"/>
                <w:sz w:val="20"/>
                <w:szCs w:val="20"/>
                <w:lang w:val="en-US"/>
              </w:rPr>
              <w:t xml:space="preserve">physiologic Changes and Ascorbyl Radical Formation. </w:t>
            </w:r>
            <w:r w:rsidRPr="00AA2E04">
              <w:rPr>
                <w:rFonts w:ascii="Trebuchet MS" w:eastAsiaTheme="majorEastAsia" w:hAnsi="Trebuchet MS" w:cstheme="majorBidi"/>
                <w:bCs/>
                <w:i/>
                <w:iCs/>
                <w:color w:val="000000"/>
                <w:sz w:val="20"/>
                <w:szCs w:val="20"/>
                <w:lang w:val="en-US"/>
              </w:rPr>
              <w:t>Journal of Cerebral Blood Flow &amp; Met</w:t>
            </w:r>
            <w:r w:rsidRPr="00AA2E04">
              <w:rPr>
                <w:rFonts w:ascii="Trebuchet MS" w:eastAsiaTheme="majorEastAsia" w:hAnsi="Trebuchet MS" w:cstheme="majorBidi"/>
                <w:bCs/>
                <w:i/>
                <w:iCs/>
                <w:color w:val="000000"/>
                <w:sz w:val="20"/>
                <w:szCs w:val="20"/>
                <w:lang w:val="en-US"/>
              </w:rPr>
              <w:t>a</w:t>
            </w:r>
            <w:r w:rsidRPr="00AA2E04">
              <w:rPr>
                <w:rFonts w:ascii="Trebuchet MS" w:eastAsiaTheme="majorEastAsia" w:hAnsi="Trebuchet MS" w:cstheme="majorBidi"/>
                <w:bCs/>
                <w:i/>
                <w:iCs/>
                <w:color w:val="000000"/>
                <w:sz w:val="20"/>
                <w:szCs w:val="20"/>
                <w:lang w:val="en-US"/>
              </w:rPr>
              <w:t>bolism.</w:t>
            </w:r>
            <w:r w:rsidRPr="00AA2E04">
              <w:rPr>
                <w:rFonts w:ascii="Trebuchet MS" w:eastAsiaTheme="majorEastAsia" w:hAnsi="Trebuchet MS" w:cstheme="majorBidi"/>
                <w:bCs/>
                <w:color w:val="000000"/>
                <w:sz w:val="20"/>
                <w:szCs w:val="20"/>
                <w:lang w:val="en-US"/>
              </w:rPr>
              <w:t xml:space="preserve"> </w:t>
            </w:r>
            <w:r w:rsidRPr="00AA2E04">
              <w:rPr>
                <w:rFonts w:ascii="Trebuchet MS" w:eastAsiaTheme="majorEastAsia" w:hAnsi="Trebuchet MS" w:cstheme="majorBidi"/>
                <w:b/>
                <w:color w:val="000000"/>
                <w:sz w:val="20"/>
                <w:szCs w:val="20"/>
                <w:lang w:val="en-US"/>
              </w:rPr>
              <w:t>18</w:t>
            </w:r>
            <w:r w:rsidRPr="00AA2E04">
              <w:rPr>
                <w:rFonts w:ascii="Trebuchet MS" w:eastAsiaTheme="majorEastAsia" w:hAnsi="Trebuchet MS" w:cstheme="majorBidi"/>
                <w:color w:val="000000"/>
                <w:sz w:val="20"/>
                <w:szCs w:val="20"/>
                <w:lang w:val="en-US"/>
              </w:rPr>
              <w:t>:</w:t>
            </w:r>
            <w:r w:rsidRPr="00AA2E04">
              <w:rPr>
                <w:rFonts w:ascii="Trebuchet MS" w:eastAsiaTheme="majorEastAsia" w:hAnsi="Trebuchet MS" w:cstheme="majorBidi"/>
                <w:bCs/>
                <w:color w:val="000000"/>
                <w:sz w:val="20"/>
                <w:szCs w:val="20"/>
                <w:lang w:val="en-US"/>
              </w:rPr>
              <w:t xml:space="preserve"> 868–875</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cs="Times-Italic"/>
                <w:iCs/>
                <w:sz w:val="20"/>
                <w:szCs w:val="20"/>
                <w:lang w:val="en-US"/>
              </w:rPr>
            </w:pPr>
            <w:r w:rsidRPr="00AA2E04">
              <w:rPr>
                <w:rFonts w:ascii="Trebuchet MS" w:hAnsi="Trebuchet MS" w:cs="Times-Bold"/>
                <w:bCs/>
                <w:sz w:val="20"/>
                <w:szCs w:val="20"/>
                <w:lang w:val="en-US"/>
              </w:rPr>
              <w:t xml:space="preserve">Pérez-Pinzón, M. A. (2004). Neuroprotective Effects of Ischemic Preconditioning in Brain - Mitochondria Following Cerebral Ischemia. </w:t>
            </w:r>
            <w:r w:rsidRPr="00AA2E04">
              <w:rPr>
                <w:rFonts w:ascii="Trebuchet MS" w:hAnsi="Trebuchet MS" w:cs="Times-Italic"/>
                <w:i/>
                <w:iCs/>
                <w:sz w:val="20"/>
                <w:szCs w:val="20"/>
                <w:lang w:val="en-US"/>
              </w:rPr>
              <w:t>Journal of Bioenergetics and Biomembranes</w:t>
            </w:r>
            <w:r w:rsidRPr="00AA2E04">
              <w:rPr>
                <w:rFonts w:ascii="Trebuchet MS" w:hAnsi="Trebuchet MS" w:cs="Times-Italic"/>
                <w:iCs/>
                <w:sz w:val="20"/>
                <w:szCs w:val="20"/>
                <w:lang w:val="en-US"/>
              </w:rPr>
              <w:t xml:space="preserve">. Vol. </w:t>
            </w:r>
            <w:r w:rsidRPr="00AA2E04">
              <w:rPr>
                <w:rFonts w:ascii="Trebuchet MS" w:hAnsi="Trebuchet MS" w:cs="Times-Italic"/>
                <w:b/>
                <w:iCs/>
                <w:sz w:val="20"/>
                <w:szCs w:val="20"/>
                <w:lang w:val="en-US"/>
              </w:rPr>
              <w:t>36</w:t>
            </w:r>
            <w:r w:rsidRPr="00AA2E04">
              <w:rPr>
                <w:rFonts w:ascii="Trebuchet MS" w:hAnsi="Trebuchet MS" w:cs="Times-Italic"/>
                <w:iCs/>
                <w:sz w:val="20"/>
                <w:szCs w:val="20"/>
                <w:lang w:val="en-US"/>
              </w:rPr>
              <w:t>, Nº 4.</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Pérez-Pinzón, M. A., Mumford, P. L., Rosenthal, M., and Sick, T. J. (1996). Anoxic precond</w:t>
            </w:r>
            <w:r w:rsidRPr="00AA2E04">
              <w:rPr>
                <w:rFonts w:ascii="Trebuchet MS" w:hAnsi="Trebuchet MS"/>
                <w:sz w:val="20"/>
                <w:szCs w:val="20"/>
                <w:lang w:val="en-US"/>
              </w:rPr>
              <w:t>i</w:t>
            </w:r>
            <w:r w:rsidRPr="00AA2E04">
              <w:rPr>
                <w:rFonts w:ascii="Trebuchet MS" w:hAnsi="Trebuchet MS"/>
                <w:sz w:val="20"/>
                <w:szCs w:val="20"/>
                <w:lang w:val="en-US"/>
              </w:rPr>
              <w:t xml:space="preserve">tioning in hippocampal slices: role of adenosine. </w:t>
            </w:r>
            <w:r w:rsidRPr="00AA2E04">
              <w:rPr>
                <w:rFonts w:ascii="Trebuchet MS" w:hAnsi="Trebuchet MS"/>
                <w:i/>
                <w:iCs/>
                <w:sz w:val="20"/>
                <w:szCs w:val="20"/>
                <w:lang w:val="en-US"/>
              </w:rPr>
              <w:t>Neuroscience</w:t>
            </w:r>
            <w:r w:rsidRPr="00AA2E04">
              <w:rPr>
                <w:rFonts w:ascii="Trebuchet MS" w:hAnsi="Trebuchet MS"/>
                <w:iCs/>
                <w:sz w:val="20"/>
                <w:szCs w:val="20"/>
                <w:lang w:val="en-US"/>
              </w:rPr>
              <w:t xml:space="preserve">. </w:t>
            </w:r>
            <w:r w:rsidRPr="00AA2E04">
              <w:rPr>
                <w:rFonts w:ascii="Trebuchet MS" w:hAnsi="Trebuchet MS"/>
                <w:sz w:val="20"/>
                <w:szCs w:val="20"/>
                <w:lang w:val="en-US"/>
              </w:rPr>
              <w:t xml:space="preserve">Vol. </w:t>
            </w:r>
            <w:r w:rsidRPr="00AA2E04">
              <w:rPr>
                <w:rFonts w:ascii="Trebuchet MS" w:hAnsi="Trebuchet MS"/>
                <w:b/>
                <w:sz w:val="20"/>
                <w:szCs w:val="20"/>
                <w:lang w:val="en-US"/>
              </w:rPr>
              <w:t>75</w:t>
            </w:r>
            <w:r w:rsidRPr="00AA2E04">
              <w:rPr>
                <w:rFonts w:ascii="Trebuchet MS" w:hAnsi="Trebuchet MS"/>
                <w:sz w:val="20"/>
                <w:szCs w:val="20"/>
                <w:lang w:val="en-US"/>
              </w:rPr>
              <w:t>, Nº3: 687-694.</w:t>
            </w:r>
          </w:p>
          <w:p w:rsidR="00AF6EFC" w:rsidRPr="00AA2E04" w:rsidRDefault="00AF6EFC" w:rsidP="00C14921">
            <w:pPr>
              <w:jc w:val="both"/>
              <w:rPr>
                <w:rFonts w:ascii="Trebuchet MS" w:hAnsi="Trebuchet MS"/>
                <w:bCs/>
                <w:sz w:val="20"/>
                <w:szCs w:val="20"/>
                <w:lang w:val="en-US"/>
              </w:rPr>
            </w:pPr>
          </w:p>
          <w:p w:rsidR="00AF6EFC" w:rsidRPr="00AA2E04" w:rsidRDefault="00AF6EFC" w:rsidP="00C14921">
            <w:pPr>
              <w:shd w:val="clear" w:color="auto" w:fill="FFFFFF"/>
              <w:jc w:val="both"/>
              <w:rPr>
                <w:rFonts w:ascii="Trebuchet MS" w:hAnsi="Trebuchet MS" w:cs="Arial"/>
                <w:sz w:val="20"/>
                <w:szCs w:val="20"/>
                <w:lang w:val="en-US" w:eastAsia="pt-PT"/>
              </w:rPr>
            </w:pPr>
            <w:r w:rsidRPr="00AA2E04">
              <w:rPr>
                <w:rFonts w:ascii="Trebuchet MS" w:hAnsi="Trebuchet MS"/>
                <w:sz w:val="20"/>
                <w:szCs w:val="20"/>
                <w:lang w:val="en-US" w:eastAsia="pt-PT"/>
              </w:rPr>
              <w:t xml:space="preserve">Pérez-Pinzón, M. A., Xu, G.-P., Dietrich, W. D., Rosenthal, M. and Sick, T. J. (1997). </w:t>
            </w:r>
            <w:r w:rsidRPr="00AA2E04">
              <w:rPr>
                <w:rFonts w:ascii="Trebuchet MS" w:hAnsi="Trebuchet MS" w:cs="Arial"/>
                <w:sz w:val="20"/>
                <w:szCs w:val="20"/>
                <w:lang w:val="en-US" w:eastAsia="pt-PT"/>
              </w:rPr>
              <w:t>Rapid preconditioning protects rats against ischemic neuronal damage after 3 but not 7 days of r</w:t>
            </w:r>
            <w:r w:rsidRPr="00AA2E04">
              <w:rPr>
                <w:rFonts w:ascii="Trebuchet MS" w:hAnsi="Trebuchet MS" w:cs="Arial"/>
                <w:sz w:val="20"/>
                <w:szCs w:val="20"/>
                <w:lang w:val="en-US" w:eastAsia="pt-PT"/>
              </w:rPr>
              <w:t>e</w:t>
            </w:r>
            <w:r w:rsidRPr="00AA2E04">
              <w:rPr>
                <w:rFonts w:ascii="Trebuchet MS" w:hAnsi="Trebuchet MS" w:cs="Arial"/>
                <w:sz w:val="20"/>
                <w:szCs w:val="20"/>
                <w:lang w:val="en-US" w:eastAsia="pt-PT"/>
              </w:rPr>
              <w:t xml:space="preserve">perfusion following global cerebral </w:t>
            </w:r>
            <w:r w:rsidRPr="00AA2E04">
              <w:rPr>
                <w:rFonts w:ascii="Trebuchet MS" w:hAnsi="Trebuchet MS" w:cs="Arial"/>
                <w:bCs/>
                <w:sz w:val="20"/>
                <w:szCs w:val="20"/>
                <w:lang w:val="en-US" w:eastAsia="pt-PT"/>
              </w:rPr>
              <w:t xml:space="preserve">ischemia. </w:t>
            </w:r>
            <w:hyperlink r:id="rId71" w:tooltip="Journal of cerebral blood flow and metabolism : official journal of the International Society of Cerebral Blood Flow and Metabolism." w:history="1">
              <w:r w:rsidRPr="00AA2E04">
                <w:rPr>
                  <w:rFonts w:ascii="Trebuchet MS" w:hAnsi="Trebuchet MS" w:cs="Arial"/>
                  <w:i/>
                  <w:sz w:val="20"/>
                  <w:szCs w:val="20"/>
                  <w:lang w:val="en-US" w:eastAsia="pt-PT"/>
                </w:rPr>
                <w:t>J. Cereb. Blood Flow Metab.</w:t>
              </w:r>
            </w:hyperlink>
            <w:r w:rsidRPr="00AA2E04">
              <w:rPr>
                <w:rFonts w:ascii="Trebuchet MS" w:hAnsi="Trebuchet MS"/>
                <w:sz w:val="20"/>
                <w:szCs w:val="20"/>
                <w:lang w:val="en-US" w:eastAsia="pt-PT"/>
              </w:rPr>
              <w:t xml:space="preserve"> Volume </w:t>
            </w:r>
            <w:r w:rsidRPr="00AA2E04">
              <w:rPr>
                <w:rFonts w:ascii="Trebuchet MS" w:hAnsi="Trebuchet MS" w:cs="Arial"/>
                <w:b/>
                <w:sz w:val="20"/>
                <w:szCs w:val="20"/>
                <w:lang w:val="en-US" w:eastAsia="pt-PT"/>
              </w:rPr>
              <w:t>17(2)</w:t>
            </w:r>
            <w:r w:rsidRPr="00AA2E04">
              <w:rPr>
                <w:rFonts w:ascii="Trebuchet MS" w:hAnsi="Trebuchet MS" w:cs="Arial"/>
                <w:sz w:val="20"/>
                <w:szCs w:val="20"/>
                <w:lang w:val="en-US" w:eastAsia="pt-PT"/>
              </w:rPr>
              <w:t>: 175-82.</w:t>
            </w:r>
          </w:p>
          <w:p w:rsidR="00FF54AE" w:rsidRPr="00AA2E04" w:rsidRDefault="00FF54AE" w:rsidP="00C14921">
            <w:pPr>
              <w:shd w:val="clear" w:color="auto" w:fill="FFFFFF"/>
              <w:jc w:val="both"/>
              <w:rPr>
                <w:rFonts w:ascii="Trebuchet MS" w:hAnsi="Trebuchet MS" w:cs="Arial"/>
                <w:sz w:val="20"/>
                <w:szCs w:val="20"/>
                <w:lang w:val="en-US" w:eastAsia="pt-PT"/>
              </w:rPr>
            </w:pPr>
          </w:p>
          <w:p w:rsidR="00AF6EFC" w:rsidRPr="00AA2E04" w:rsidRDefault="00FF54AE" w:rsidP="00C14921">
            <w:pPr>
              <w:shd w:val="clear" w:color="auto" w:fill="FFFFFF"/>
              <w:jc w:val="both"/>
              <w:rPr>
                <w:rFonts w:ascii="Trebuchet MS" w:hAnsi="Trebuchet MS" w:cs="Arial"/>
                <w:sz w:val="20"/>
                <w:szCs w:val="20"/>
                <w:lang w:val="en-US" w:eastAsia="pt-PT"/>
              </w:rPr>
            </w:pPr>
            <w:r w:rsidRPr="00AA2E04">
              <w:rPr>
                <w:rFonts w:ascii="Trebuchet MS" w:hAnsi="Trebuchet MS" w:cs="HelveticaNeue-Roman"/>
                <w:sz w:val="20"/>
                <w:szCs w:val="20"/>
                <w:lang w:val="en-US" w:eastAsia="pt-PT"/>
              </w:rPr>
              <w:t>Picano, E. and Abbracchio, M.P. (</w:t>
            </w:r>
            <w:r w:rsidRPr="00AA2E04">
              <w:rPr>
                <w:rFonts w:ascii="Trebuchet MS" w:hAnsi="Trebuchet MS"/>
                <w:sz w:val="20"/>
                <w:szCs w:val="20"/>
                <w:lang w:val="en-US" w:eastAsia="pt-PT"/>
              </w:rPr>
              <w:t>2000</w:t>
            </w:r>
            <w:r w:rsidRPr="00AA2E04">
              <w:rPr>
                <w:rFonts w:ascii="Trebuchet MS" w:hAnsi="Trebuchet MS" w:cs="HelveticaNeue-Roman"/>
                <w:sz w:val="20"/>
                <w:szCs w:val="20"/>
                <w:lang w:val="en-US" w:eastAsia="pt-PT"/>
              </w:rPr>
              <w:t xml:space="preserve">). </w:t>
            </w:r>
            <w:r w:rsidRPr="00AA2E04">
              <w:rPr>
                <w:rFonts w:ascii="Trebuchet MS" w:hAnsi="Trebuchet MS" w:cs="Arial"/>
                <w:sz w:val="20"/>
                <w:szCs w:val="20"/>
                <w:lang w:val="en-US" w:eastAsia="pt-PT"/>
              </w:rPr>
              <w:t xml:space="preserve">Adenosine, the imperfect endogenous anti-ischemic cardio-neuroprotector. </w:t>
            </w:r>
            <w:r w:rsidRPr="00AA2E04">
              <w:rPr>
                <w:rFonts w:ascii="Trebuchet MS" w:hAnsi="Trebuchet MS"/>
                <w:i/>
                <w:sz w:val="20"/>
                <w:szCs w:val="20"/>
                <w:lang w:val="en-US" w:eastAsia="pt-PT"/>
              </w:rPr>
              <w:t>Brain Research Bulletin.</w:t>
            </w:r>
            <w:r w:rsidRPr="00AA2E04">
              <w:rPr>
                <w:rFonts w:ascii="Trebuchet MS" w:hAnsi="Trebuchet MS"/>
                <w:sz w:val="20"/>
                <w:szCs w:val="20"/>
                <w:lang w:val="en-US" w:eastAsia="pt-PT"/>
              </w:rPr>
              <w:t xml:space="preserve"> Vol. </w:t>
            </w:r>
            <w:r w:rsidRPr="00AA2E04">
              <w:rPr>
                <w:rFonts w:ascii="Trebuchet MS" w:hAnsi="Trebuchet MS"/>
                <w:b/>
                <w:sz w:val="20"/>
                <w:szCs w:val="20"/>
                <w:lang w:val="en-US" w:eastAsia="pt-PT"/>
              </w:rPr>
              <w:t>52</w:t>
            </w:r>
            <w:r w:rsidRPr="00AA2E04">
              <w:rPr>
                <w:rFonts w:ascii="Trebuchet MS" w:hAnsi="Trebuchet MS"/>
                <w:sz w:val="20"/>
                <w:szCs w:val="20"/>
                <w:lang w:val="en-US" w:eastAsia="pt-PT"/>
              </w:rPr>
              <w:t xml:space="preserve">, Nº 2, pp. 75–82. </w:t>
            </w:r>
          </w:p>
          <w:p w:rsidR="00FF54AE" w:rsidRPr="00AA2E04" w:rsidRDefault="00FF54AE" w:rsidP="00C14921">
            <w:pPr>
              <w:shd w:val="clear" w:color="auto" w:fill="FFFFFF"/>
              <w:jc w:val="both"/>
              <w:rPr>
                <w:rFonts w:ascii="Trebuchet MS" w:hAnsi="Trebuchet MS" w:cs="Arial"/>
                <w:sz w:val="20"/>
                <w:szCs w:val="20"/>
                <w:lang w:val="en-US" w:eastAsia="pt-PT"/>
              </w:rPr>
            </w:pPr>
          </w:p>
          <w:p w:rsidR="00AF6EFC" w:rsidRPr="00AA2E04" w:rsidRDefault="00AF6EFC" w:rsidP="00C14921">
            <w:pPr>
              <w:autoSpaceDE w:val="0"/>
              <w:autoSpaceDN w:val="0"/>
              <w:adjustRightInd w:val="0"/>
              <w:jc w:val="both"/>
              <w:rPr>
                <w:rFonts w:ascii="Trebuchet MS" w:hAnsi="Trebuchet MS" w:cs="Garamond-Book"/>
                <w:sz w:val="20"/>
                <w:szCs w:val="20"/>
                <w:lang w:val="en-US"/>
              </w:rPr>
            </w:pPr>
            <w:r w:rsidRPr="00AA2E04">
              <w:rPr>
                <w:rFonts w:ascii="Trebuchet MS" w:hAnsi="Trebuchet MS" w:cs="Garamond-Book"/>
                <w:sz w:val="20"/>
                <w:szCs w:val="20"/>
                <w:lang w:val="en-US"/>
              </w:rPr>
              <w:t xml:space="preserve">Popovic, R., Liniger, R. and Bickler, P. E. (2000). </w:t>
            </w:r>
            <w:r w:rsidRPr="00AA2E04">
              <w:rPr>
                <w:rFonts w:ascii="Trebuchet MS" w:hAnsi="Trebuchet MS" w:cs="Garamond-BoldItalic"/>
                <w:bCs/>
                <w:iCs/>
                <w:sz w:val="20"/>
                <w:szCs w:val="20"/>
                <w:lang w:val="en-US"/>
              </w:rPr>
              <w:t xml:space="preserve">Anesthetics and Mild Hypothermia Similarly </w:t>
            </w:r>
            <w:r w:rsidRPr="00AA2E04">
              <w:rPr>
                <w:rFonts w:ascii="Trebuchet MS" w:hAnsi="Trebuchet MS" w:cs="Garamond-BoldItalic"/>
                <w:bCs/>
                <w:iCs/>
                <w:sz w:val="20"/>
                <w:szCs w:val="20"/>
                <w:lang w:val="en-US"/>
              </w:rPr>
              <w:lastRenderedPageBreak/>
              <w:t xml:space="preserve">Prevent Hippocampal Neuron Death in an </w:t>
            </w:r>
            <w:r w:rsidR="00194A32" w:rsidRPr="00AA2E04">
              <w:rPr>
                <w:rFonts w:ascii="Trebuchet MS" w:hAnsi="Trebuchet MS" w:cs="Garamond-Bold"/>
                <w:bCs/>
                <w:i/>
                <w:sz w:val="20"/>
                <w:szCs w:val="20"/>
                <w:lang w:val="en-US"/>
              </w:rPr>
              <w:t xml:space="preserve">In vitro </w:t>
            </w:r>
            <w:r w:rsidRPr="00AA2E04">
              <w:rPr>
                <w:rFonts w:ascii="Trebuchet MS" w:hAnsi="Trebuchet MS" w:cs="Garamond-BoldItalic"/>
                <w:bCs/>
                <w:iCs/>
                <w:sz w:val="20"/>
                <w:szCs w:val="20"/>
                <w:lang w:val="en-US"/>
              </w:rPr>
              <w:t xml:space="preserve">Model of Cerebral Ischemia. </w:t>
            </w:r>
            <w:r w:rsidRPr="00AA2E04">
              <w:rPr>
                <w:rFonts w:ascii="Trebuchet MS" w:hAnsi="Trebuchet MS" w:cs="Garamond-Book"/>
                <w:i/>
                <w:sz w:val="20"/>
                <w:szCs w:val="20"/>
                <w:lang w:val="en-US"/>
              </w:rPr>
              <w:t>Anesthesiology</w:t>
            </w:r>
            <w:r w:rsidRPr="00AA2E04">
              <w:rPr>
                <w:rFonts w:ascii="Trebuchet MS" w:hAnsi="Trebuchet MS" w:cs="Garamond-Book"/>
                <w:sz w:val="20"/>
                <w:szCs w:val="20"/>
                <w:lang w:val="en-US"/>
              </w:rPr>
              <w:t xml:space="preserve">. Volume </w:t>
            </w:r>
            <w:r w:rsidRPr="00AA2E04">
              <w:rPr>
                <w:rFonts w:ascii="Trebuchet MS" w:hAnsi="Trebuchet MS" w:cs="Garamond-Book"/>
                <w:b/>
                <w:sz w:val="20"/>
                <w:szCs w:val="20"/>
                <w:lang w:val="en-US"/>
              </w:rPr>
              <w:t>92</w:t>
            </w:r>
            <w:r w:rsidRPr="00AA2E04">
              <w:rPr>
                <w:rFonts w:ascii="Trebuchet MS" w:hAnsi="Trebuchet MS" w:cs="Garamond-Book"/>
                <w:sz w:val="20"/>
                <w:szCs w:val="20"/>
                <w:lang w:val="en-US"/>
              </w:rPr>
              <w:t>: 1343–9.</w:t>
            </w:r>
          </w:p>
          <w:p w:rsidR="00AF6EFC" w:rsidRPr="00AA2E04" w:rsidRDefault="00AF6EFC" w:rsidP="00C14921">
            <w:pPr>
              <w:autoSpaceDE w:val="0"/>
              <w:autoSpaceDN w:val="0"/>
              <w:adjustRightInd w:val="0"/>
              <w:jc w:val="both"/>
              <w:rPr>
                <w:rFonts w:ascii="Trebuchet MS" w:hAnsi="Trebuchet MS" w:cs="Garamond-Book"/>
                <w:sz w:val="20"/>
                <w:szCs w:val="20"/>
                <w:lang w:val="en-US"/>
              </w:rPr>
            </w:pPr>
          </w:p>
          <w:p w:rsidR="007A3BFD" w:rsidRPr="00AA2E04" w:rsidRDefault="007A3BFD" w:rsidP="00C14921">
            <w:pPr>
              <w:pStyle w:val="Corpodetexto"/>
              <w:rPr>
                <w:rFonts w:ascii="Trebuchet MS" w:hAnsi="Trebuchet MS" w:cs="Arial"/>
                <w:color w:val="000000"/>
                <w:sz w:val="20"/>
                <w:szCs w:val="20"/>
                <w:lang w:val="en-US" w:eastAsia="en-US"/>
              </w:rPr>
            </w:pPr>
            <w:r w:rsidRPr="00AA2E04">
              <w:rPr>
                <w:rFonts w:ascii="Trebuchet MS" w:hAnsi="Trebuchet MS" w:cs="AdvP6EC5"/>
                <w:sz w:val="20"/>
                <w:szCs w:val="20"/>
                <w:lang w:val="en-US"/>
              </w:rPr>
              <w:t xml:space="preserve">Porter, A. G. and Jänicke, R. U. </w:t>
            </w:r>
            <w:r w:rsidRPr="00AA2E04">
              <w:rPr>
                <w:rFonts w:ascii="Trebuchet MS" w:hAnsi="Trebuchet MS" w:cs="AdvP1628"/>
                <w:sz w:val="20"/>
                <w:szCs w:val="20"/>
                <w:lang w:val="en-US"/>
              </w:rPr>
              <w:t xml:space="preserve">(1999). </w:t>
            </w:r>
            <w:r w:rsidRPr="00AA2E04">
              <w:rPr>
                <w:rFonts w:ascii="Trebuchet MS" w:hAnsi="Trebuchet MS" w:cs="Arial"/>
                <w:color w:val="000000"/>
                <w:sz w:val="20"/>
                <w:szCs w:val="20"/>
                <w:lang w:val="en-US" w:eastAsia="en-US"/>
              </w:rPr>
              <w:t xml:space="preserve">Emerging roles of caspase-3 in apoptosis. </w:t>
            </w:r>
            <w:r w:rsidRPr="00AA2E04">
              <w:rPr>
                <w:rFonts w:ascii="Trebuchet MS" w:hAnsi="Trebuchet MS" w:cs="AdvP1628"/>
                <w:i/>
                <w:sz w:val="20"/>
                <w:szCs w:val="20"/>
                <w:lang w:val="en-US"/>
              </w:rPr>
              <w:t>Cell Death and Differentiation.</w:t>
            </w:r>
            <w:r w:rsidRPr="00AA2E04">
              <w:rPr>
                <w:rFonts w:ascii="Trebuchet MS" w:hAnsi="Trebuchet MS" w:cs="AdvP1628"/>
                <w:sz w:val="20"/>
                <w:szCs w:val="20"/>
                <w:lang w:val="en-US"/>
              </w:rPr>
              <w:t xml:space="preserve"> </w:t>
            </w:r>
            <w:r w:rsidRPr="00AA2E04">
              <w:rPr>
                <w:rFonts w:ascii="Trebuchet MS" w:hAnsi="Trebuchet MS" w:cs="AdvP1628"/>
                <w:b/>
                <w:sz w:val="20"/>
                <w:szCs w:val="20"/>
                <w:lang w:val="en-US"/>
              </w:rPr>
              <w:t>6:</w:t>
            </w:r>
            <w:r w:rsidRPr="00AA2E04">
              <w:rPr>
                <w:rFonts w:ascii="Trebuchet MS" w:hAnsi="Trebuchet MS" w:cs="AdvP1628"/>
                <w:sz w:val="20"/>
                <w:szCs w:val="20"/>
                <w:lang w:val="en-US"/>
              </w:rPr>
              <w:t xml:space="preserve"> </w:t>
            </w:r>
            <w:r w:rsidRPr="00AA2E04">
              <w:rPr>
                <w:rFonts w:ascii="Trebuchet MS" w:hAnsi="Trebuchet MS" w:cs="AdvP1627"/>
                <w:sz w:val="20"/>
                <w:szCs w:val="20"/>
                <w:lang w:val="en-US"/>
              </w:rPr>
              <w:t>99 – 104.</w:t>
            </w:r>
          </w:p>
          <w:p w:rsidR="007A3BFD" w:rsidRPr="00AA2E04" w:rsidRDefault="007A3BFD" w:rsidP="00C14921">
            <w:pPr>
              <w:autoSpaceDE w:val="0"/>
              <w:autoSpaceDN w:val="0"/>
              <w:adjustRightInd w:val="0"/>
              <w:jc w:val="both"/>
              <w:rPr>
                <w:rFonts w:ascii="Trebuchet MS" w:hAnsi="Trebuchet MS" w:cs="Garamond-Book"/>
                <w:sz w:val="20"/>
                <w:szCs w:val="20"/>
                <w:lang w:val="en-US"/>
              </w:rPr>
            </w:pPr>
          </w:p>
          <w:p w:rsidR="00AF6EFC" w:rsidRPr="00AA2E04" w:rsidRDefault="00AF6EFC" w:rsidP="00C14921">
            <w:pPr>
              <w:autoSpaceDE w:val="0"/>
              <w:autoSpaceDN w:val="0"/>
              <w:adjustRightInd w:val="0"/>
              <w:jc w:val="both"/>
              <w:rPr>
                <w:rFonts w:ascii="Trebuchet MS" w:hAnsi="Trebuchet MS" w:cs="Garamond-Book"/>
                <w:sz w:val="20"/>
                <w:szCs w:val="20"/>
                <w:lang w:val="en-US"/>
              </w:rPr>
            </w:pPr>
            <w:r w:rsidRPr="00AA2E04">
              <w:rPr>
                <w:rFonts w:ascii="Trebuchet MS" w:hAnsi="Trebuchet MS" w:cs="Garamond-Book"/>
                <w:sz w:val="20"/>
                <w:szCs w:val="20"/>
                <w:lang w:val="en-US"/>
              </w:rPr>
              <w:t xml:space="preserve">Preston, E. and Webster, J. (2000). Jacqueline WebsterSpectrophotometric measurement of experimental brain injury. </w:t>
            </w:r>
            <w:r w:rsidRPr="00AA2E04">
              <w:rPr>
                <w:rFonts w:ascii="Trebuchet MS" w:hAnsi="Trebuchet MS" w:cs="Garamond-Book"/>
                <w:i/>
                <w:sz w:val="20"/>
                <w:szCs w:val="20"/>
                <w:lang w:val="en-US"/>
              </w:rPr>
              <w:t>Journal of Neuroscience Methods</w:t>
            </w:r>
            <w:r w:rsidRPr="00AA2E04">
              <w:rPr>
                <w:rFonts w:ascii="Trebuchet MS" w:hAnsi="Trebuchet MS" w:cs="Garamond-Book"/>
                <w:sz w:val="20"/>
                <w:szCs w:val="20"/>
                <w:lang w:val="en-US"/>
              </w:rPr>
              <w:t xml:space="preserve">. </w:t>
            </w:r>
            <w:r w:rsidRPr="00AA2E04">
              <w:rPr>
                <w:rFonts w:ascii="Trebuchet MS" w:hAnsi="Trebuchet MS" w:cs="Garamond-Book"/>
                <w:b/>
                <w:sz w:val="20"/>
                <w:szCs w:val="20"/>
                <w:lang w:val="en-US"/>
              </w:rPr>
              <w:t>94</w:t>
            </w:r>
            <w:r w:rsidRPr="00AA2E04">
              <w:rPr>
                <w:rFonts w:ascii="Trebuchet MS" w:hAnsi="Trebuchet MS" w:cs="Garamond-Book"/>
                <w:sz w:val="20"/>
                <w:szCs w:val="20"/>
                <w:lang w:val="en-US"/>
              </w:rPr>
              <w:t>: 187–192.</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Prince, D. A. and Stevens, C. F. (1992). Adenosine decreases neurotransmitter release at ce</w:t>
            </w:r>
            <w:r w:rsidRPr="00AA2E04">
              <w:rPr>
                <w:rFonts w:ascii="Trebuchet MS" w:hAnsi="Trebuchet MS"/>
                <w:sz w:val="20"/>
                <w:szCs w:val="20"/>
                <w:lang w:val="en-US"/>
              </w:rPr>
              <w:t>n</w:t>
            </w:r>
            <w:r w:rsidRPr="00AA2E04">
              <w:rPr>
                <w:rFonts w:ascii="Trebuchet MS" w:hAnsi="Trebuchet MS"/>
                <w:sz w:val="20"/>
                <w:szCs w:val="20"/>
                <w:lang w:val="en-US"/>
              </w:rPr>
              <w:t xml:space="preserve">tral synapses. </w:t>
            </w:r>
            <w:r w:rsidRPr="00AA2E04">
              <w:rPr>
                <w:rFonts w:ascii="Trebuchet MS" w:hAnsi="Trebuchet MS"/>
                <w:i/>
                <w:sz w:val="20"/>
                <w:szCs w:val="20"/>
                <w:lang w:val="en-US"/>
              </w:rPr>
              <w:t>Proc. Nati. Acad. Sci. USA.</w:t>
            </w:r>
            <w:r w:rsidRPr="00AA2E04">
              <w:rPr>
                <w:rFonts w:ascii="Trebuchet MS" w:hAnsi="Trebuchet MS"/>
                <w:sz w:val="20"/>
                <w:szCs w:val="20"/>
                <w:lang w:val="en-US"/>
              </w:rPr>
              <w:t xml:space="preserve"> Vol. </w:t>
            </w:r>
            <w:r w:rsidRPr="00AA2E04">
              <w:rPr>
                <w:rFonts w:ascii="Trebuchet MS" w:hAnsi="Trebuchet MS"/>
                <w:b/>
                <w:sz w:val="20"/>
                <w:szCs w:val="20"/>
                <w:lang w:val="en-US"/>
              </w:rPr>
              <w:t>89</w:t>
            </w:r>
            <w:r w:rsidRPr="00AA2E04">
              <w:rPr>
                <w:rFonts w:ascii="Trebuchet MS" w:hAnsi="Trebuchet MS"/>
                <w:sz w:val="20"/>
                <w:szCs w:val="20"/>
                <w:lang w:val="en-US"/>
              </w:rPr>
              <w:t>: 8586-8590.</w:t>
            </w:r>
          </w:p>
        </w:tc>
      </w:tr>
      <w:tr w:rsidR="00AF6EFC" w:rsidRPr="00AA2E04" w:rsidTr="00C14921">
        <w:tc>
          <w:tcPr>
            <w:tcW w:w="5000" w:type="pct"/>
            <w:vAlign w:val="center"/>
          </w:tcPr>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Raval, A. P., Dave, K. R. and Pérez-Pinzón, M. A. (2006). Resveratrol mimics ischemic preco</w:t>
            </w:r>
            <w:r w:rsidRPr="00AA2E04">
              <w:rPr>
                <w:rFonts w:ascii="Trebuchet MS" w:hAnsi="Trebuchet MS"/>
                <w:sz w:val="20"/>
                <w:szCs w:val="20"/>
                <w:lang w:val="en-US"/>
              </w:rPr>
              <w:t>n</w:t>
            </w:r>
            <w:r w:rsidRPr="00AA2E04">
              <w:rPr>
                <w:rFonts w:ascii="Trebuchet MS" w:hAnsi="Trebuchet MS"/>
                <w:sz w:val="20"/>
                <w:szCs w:val="20"/>
                <w:lang w:val="en-US"/>
              </w:rPr>
              <w:t>ditioning in the brain.</w:t>
            </w:r>
            <w:r w:rsidRPr="00AA2E04">
              <w:rPr>
                <w:rFonts w:ascii="Trebuchet MS" w:hAnsi="Trebuchet MS" w:cs="AdvNewsGothicB"/>
                <w:sz w:val="20"/>
                <w:szCs w:val="20"/>
                <w:lang w:val="en-US"/>
              </w:rPr>
              <w:t xml:space="preserve"> </w:t>
            </w:r>
            <w:r w:rsidRPr="00AA2E04">
              <w:rPr>
                <w:rFonts w:ascii="Trebuchet MS" w:hAnsi="Trebuchet MS"/>
                <w:i/>
                <w:sz w:val="20"/>
                <w:szCs w:val="20"/>
                <w:lang w:val="en-US"/>
              </w:rPr>
              <w:t>Journal of Cerebral Blood Flow &amp; Metabolism</w:t>
            </w:r>
            <w:r w:rsidRPr="00AA2E04">
              <w:rPr>
                <w:rFonts w:ascii="Trebuchet MS" w:hAnsi="Trebuchet MS"/>
                <w:sz w:val="20"/>
                <w:szCs w:val="20"/>
                <w:lang w:val="en-US"/>
              </w:rPr>
              <w:t xml:space="preserve">. Volume </w:t>
            </w:r>
            <w:r w:rsidRPr="00AA2E04">
              <w:rPr>
                <w:rFonts w:ascii="Trebuchet MS" w:hAnsi="Trebuchet MS"/>
                <w:b/>
                <w:sz w:val="20"/>
                <w:szCs w:val="20"/>
                <w:lang w:val="en-US"/>
              </w:rPr>
              <w:t>26</w:t>
            </w:r>
            <w:r w:rsidRPr="00AA2E04">
              <w:rPr>
                <w:rFonts w:ascii="Trebuchet MS" w:hAnsi="Trebuchet MS"/>
                <w:sz w:val="20"/>
                <w:szCs w:val="20"/>
                <w:lang w:val="en-US"/>
              </w:rPr>
              <w:t>: 1141–1147.</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bCs/>
                <w:sz w:val="20"/>
                <w:szCs w:val="20"/>
                <w:lang w:val="en-US"/>
              </w:rPr>
            </w:pPr>
            <w:r w:rsidRPr="00AA2E04">
              <w:rPr>
                <w:rFonts w:ascii="Trebuchet MS" w:hAnsi="Trebuchet MS"/>
                <w:sz w:val="20"/>
                <w:szCs w:val="20"/>
                <w:lang w:val="en-US"/>
              </w:rPr>
              <w:t>Raval, A. P., Dave, K., R., Mochly-Rosen, D., Sick, T. J. and Pérez-Pinzón, M. A. (2003). Є</w:t>
            </w:r>
            <w:r w:rsidRPr="00AA2E04">
              <w:rPr>
                <w:rFonts w:ascii="Trebuchet MS" w:hAnsi="Trebuchet MS"/>
                <w:bCs/>
                <w:sz w:val="20"/>
                <w:szCs w:val="20"/>
                <w:lang w:val="en-US"/>
              </w:rPr>
              <w:t xml:space="preserve">PKC Is Required for the Induction of Tolerance by Ischemic and NMDA-Mediated Preconditioning in the Organotypic Hippocampal Slice. </w:t>
            </w:r>
            <w:r w:rsidRPr="00AA2E04">
              <w:rPr>
                <w:rFonts w:ascii="Trebuchet MS" w:hAnsi="Trebuchet MS"/>
                <w:bCs/>
                <w:i/>
                <w:sz w:val="20"/>
                <w:szCs w:val="20"/>
                <w:lang w:val="en-US"/>
              </w:rPr>
              <w:t>The Journal of Neuroscience</w:t>
            </w:r>
            <w:r w:rsidRPr="00AA2E04">
              <w:rPr>
                <w:rFonts w:ascii="Trebuchet MS" w:hAnsi="Trebuchet MS"/>
                <w:bCs/>
                <w:sz w:val="20"/>
                <w:szCs w:val="20"/>
                <w:lang w:val="en-US"/>
              </w:rPr>
              <w:t xml:space="preserve">.  Volume </w:t>
            </w:r>
            <w:r w:rsidRPr="00AA2E04">
              <w:rPr>
                <w:rFonts w:ascii="Trebuchet MS" w:hAnsi="Trebuchet MS"/>
                <w:b/>
                <w:bCs/>
                <w:sz w:val="20"/>
                <w:szCs w:val="20"/>
                <w:lang w:val="en-US"/>
              </w:rPr>
              <w:t>23(2)</w:t>
            </w:r>
            <w:r w:rsidRPr="00AA2E04">
              <w:rPr>
                <w:rFonts w:ascii="Trebuchet MS" w:hAnsi="Trebuchet MS"/>
                <w:bCs/>
                <w:sz w:val="20"/>
                <w:szCs w:val="20"/>
                <w:lang w:val="en-US"/>
              </w:rPr>
              <w:t>: 384 –391.</w:t>
            </w:r>
          </w:p>
          <w:p w:rsidR="00AF6EFC" w:rsidRPr="00AA2E04" w:rsidRDefault="00AF6EFC" w:rsidP="00C14921">
            <w:pPr>
              <w:autoSpaceDE w:val="0"/>
              <w:autoSpaceDN w:val="0"/>
              <w:adjustRightInd w:val="0"/>
              <w:jc w:val="both"/>
              <w:rPr>
                <w:rFonts w:ascii="Trebuchet MS" w:hAnsi="Trebuchet MS"/>
                <w:bCs/>
                <w:sz w:val="20"/>
                <w:szCs w:val="20"/>
                <w:lang w:val="en-US"/>
              </w:rPr>
            </w:pPr>
          </w:p>
          <w:p w:rsidR="00AF6EFC" w:rsidRPr="00AA2E04" w:rsidRDefault="00AF6EFC" w:rsidP="00C14921">
            <w:pPr>
              <w:autoSpaceDE w:val="0"/>
              <w:autoSpaceDN w:val="0"/>
              <w:adjustRightInd w:val="0"/>
              <w:jc w:val="both"/>
              <w:rPr>
                <w:rFonts w:ascii="Trebuchet MS" w:hAnsi="Trebuchet MS"/>
                <w:bCs/>
                <w:sz w:val="20"/>
                <w:szCs w:val="20"/>
              </w:rPr>
            </w:pPr>
            <w:r w:rsidRPr="00AA2E04">
              <w:rPr>
                <w:rFonts w:ascii="Trebuchet MS" w:hAnsi="Trebuchet MS"/>
                <w:bCs/>
                <w:sz w:val="20"/>
                <w:szCs w:val="20"/>
                <w:lang w:val="en-US"/>
              </w:rPr>
              <w:t xml:space="preserve">Ribeiro, J. A. and Sebastião, A. M. (1987). On the role, inactivation and origin of endogenous adenosine at the frog neuromuscular junction. </w:t>
            </w:r>
            <w:r w:rsidRPr="00AA2E04">
              <w:rPr>
                <w:rFonts w:ascii="Trebuchet MS" w:hAnsi="Trebuchet MS"/>
                <w:bCs/>
                <w:sz w:val="20"/>
                <w:szCs w:val="20"/>
              </w:rPr>
              <w:t>J</w:t>
            </w:r>
            <w:r w:rsidRPr="00AA2E04">
              <w:rPr>
                <w:rFonts w:ascii="Trebuchet MS" w:hAnsi="Trebuchet MS"/>
                <w:bCs/>
                <w:i/>
                <w:sz w:val="20"/>
                <w:szCs w:val="20"/>
              </w:rPr>
              <w:t>. Physiol.</w:t>
            </w:r>
            <w:r w:rsidRPr="00AA2E04">
              <w:rPr>
                <w:rFonts w:ascii="Trebuchet MS" w:hAnsi="Trebuchet MS"/>
                <w:bCs/>
                <w:sz w:val="20"/>
                <w:szCs w:val="20"/>
              </w:rPr>
              <w:t xml:space="preserve"> Volume </w:t>
            </w:r>
            <w:r w:rsidRPr="00AA2E04">
              <w:rPr>
                <w:rFonts w:ascii="Trebuchet MS" w:hAnsi="Trebuchet MS"/>
                <w:b/>
                <w:bCs/>
                <w:sz w:val="20"/>
                <w:szCs w:val="20"/>
              </w:rPr>
              <w:t>384</w:t>
            </w:r>
            <w:r w:rsidRPr="00AA2E04">
              <w:rPr>
                <w:rFonts w:ascii="Trebuchet MS" w:hAnsi="Trebuchet MS"/>
                <w:bCs/>
                <w:sz w:val="20"/>
                <w:szCs w:val="20"/>
              </w:rPr>
              <w:t>: 571-585.</w:t>
            </w:r>
          </w:p>
          <w:p w:rsidR="00AF6EFC" w:rsidRPr="00AA2E04" w:rsidRDefault="00AF6EFC" w:rsidP="00C14921">
            <w:pPr>
              <w:autoSpaceDE w:val="0"/>
              <w:autoSpaceDN w:val="0"/>
              <w:adjustRightInd w:val="0"/>
              <w:jc w:val="both"/>
              <w:rPr>
                <w:rFonts w:ascii="Trebuchet MS" w:hAnsi="Trebuchet MS"/>
                <w:sz w:val="20"/>
                <w:szCs w:val="20"/>
              </w:rPr>
            </w:pPr>
          </w:p>
          <w:p w:rsidR="00A34707" w:rsidRPr="00AA2E04" w:rsidRDefault="00A34707" w:rsidP="00C14921">
            <w:pPr>
              <w:autoSpaceDE w:val="0"/>
              <w:autoSpaceDN w:val="0"/>
              <w:adjustRightInd w:val="0"/>
              <w:jc w:val="both"/>
              <w:rPr>
                <w:rFonts w:ascii="Trebuchet MS" w:hAnsi="Trebuchet MS"/>
                <w:bCs/>
                <w:color w:val="000000"/>
                <w:sz w:val="20"/>
                <w:szCs w:val="20"/>
                <w:lang w:val="en-US" w:eastAsia="pt-PT"/>
              </w:rPr>
            </w:pPr>
            <w:r w:rsidRPr="00AA2E04">
              <w:rPr>
                <w:rFonts w:ascii="Trebuchet MS" w:hAnsi="Trebuchet MS" w:cs="Opddr-Bold"/>
                <w:bCs/>
                <w:sz w:val="20"/>
                <w:szCs w:val="20"/>
                <w:lang w:eastAsia="pt-PT"/>
              </w:rPr>
              <w:t>Ribeiro</w:t>
            </w:r>
            <w:r w:rsidRPr="00AA2E04">
              <w:rPr>
                <w:rFonts w:ascii="Trebuchet MS" w:hAnsi="Trebuchet MS" w:cs="OpddrDemi"/>
                <w:sz w:val="20"/>
                <w:szCs w:val="20"/>
                <w:lang w:eastAsia="pt-PT"/>
              </w:rPr>
              <w:t xml:space="preserve">, J.A., Cunha-Reis, D., Lopes, L. V., Coelho, J.E., Costenla, A.R., Correia-de-Sá, P., Cunha, R. A., de Mendonça, A. and Sebastião, A. M. (2001). </w:t>
            </w:r>
            <w:r w:rsidRPr="00AA2E04">
              <w:rPr>
                <w:rFonts w:ascii="Trebuchet MS" w:hAnsi="Trebuchet MS"/>
                <w:bCs/>
                <w:color w:val="000000"/>
                <w:sz w:val="20"/>
                <w:szCs w:val="20"/>
                <w:lang w:val="en-US" w:eastAsia="pt-PT"/>
              </w:rPr>
              <w:t xml:space="preserve">Adenosine Receptor Interactions in the Hippocampus. </w:t>
            </w:r>
            <w:r w:rsidRPr="00AA2E04">
              <w:rPr>
                <w:rFonts w:ascii="Trebuchet MS" w:hAnsi="Trebuchet MS" w:cs="OpddrDemi"/>
                <w:i/>
                <w:sz w:val="20"/>
                <w:szCs w:val="20"/>
                <w:lang w:val="en-US" w:eastAsia="pt-PT"/>
              </w:rPr>
              <w:t>Drug DEvelopment Research.</w:t>
            </w:r>
            <w:r w:rsidRPr="00AA2E04">
              <w:rPr>
                <w:rFonts w:ascii="Trebuchet MS" w:hAnsi="Trebuchet MS" w:cs="OpddrDemi"/>
                <w:sz w:val="20"/>
                <w:szCs w:val="20"/>
                <w:lang w:val="en-US" w:eastAsia="pt-PT"/>
              </w:rPr>
              <w:t xml:space="preserve"> </w:t>
            </w:r>
            <w:r w:rsidRPr="00AA2E04">
              <w:rPr>
                <w:rFonts w:ascii="Trebuchet MS" w:hAnsi="Trebuchet MS" w:cs="OpddrDemi"/>
                <w:b/>
                <w:sz w:val="20"/>
                <w:szCs w:val="20"/>
                <w:lang w:val="en-US" w:eastAsia="pt-PT"/>
              </w:rPr>
              <w:t>52</w:t>
            </w:r>
            <w:r w:rsidRPr="00AA2E04">
              <w:rPr>
                <w:rFonts w:ascii="Trebuchet MS" w:hAnsi="Trebuchet MS" w:cs="OpddrDemi"/>
                <w:sz w:val="20"/>
                <w:szCs w:val="20"/>
                <w:lang w:val="en-US" w:eastAsia="pt-PT"/>
              </w:rPr>
              <w:t xml:space="preserve">: 337–345. </w:t>
            </w:r>
          </w:p>
          <w:p w:rsidR="00A34707" w:rsidRPr="00AA2E04" w:rsidRDefault="00A34707" w:rsidP="00C14921">
            <w:pPr>
              <w:autoSpaceDE w:val="0"/>
              <w:autoSpaceDN w:val="0"/>
              <w:adjustRightInd w:val="0"/>
              <w:jc w:val="both"/>
              <w:rPr>
                <w:rFonts w:ascii="Trebuchet MS" w:hAnsi="Trebuchet MS"/>
                <w:color w:val="000000"/>
                <w:sz w:val="20"/>
                <w:szCs w:val="20"/>
                <w:lang w:val="en-US" w:eastAsia="pt-PT"/>
              </w:rPr>
            </w:pPr>
          </w:p>
          <w:p w:rsidR="00FF54AE" w:rsidRPr="00AA2E04" w:rsidRDefault="00154B75" w:rsidP="00C14921">
            <w:pPr>
              <w:autoSpaceDE w:val="0"/>
              <w:autoSpaceDN w:val="0"/>
              <w:adjustRightInd w:val="0"/>
              <w:jc w:val="both"/>
              <w:rPr>
                <w:rFonts w:ascii="Trebuchet MS" w:hAnsi="Trebuchet MS"/>
                <w:sz w:val="20"/>
                <w:szCs w:val="20"/>
                <w:lang w:val="en-US"/>
              </w:rPr>
            </w:pPr>
            <w:r w:rsidRPr="00AA2E04">
              <w:rPr>
                <w:rFonts w:ascii="Trebuchet MS" w:hAnsi="Trebuchet MS"/>
                <w:color w:val="000000"/>
                <w:sz w:val="20"/>
                <w:szCs w:val="20"/>
                <w:lang w:val="en-US" w:eastAsia="pt-PT"/>
              </w:rPr>
              <w:t>Ribeiro, J.A., Sebastião, A.M. and de Mendonça, A. (</w:t>
            </w:r>
            <w:r w:rsidRPr="00AA2E04">
              <w:rPr>
                <w:rFonts w:ascii="Trebuchet MS" w:hAnsi="Trebuchet MS"/>
                <w:sz w:val="20"/>
                <w:szCs w:val="20"/>
                <w:lang w:val="en-US" w:eastAsia="pt-PT"/>
              </w:rPr>
              <w:t>2003</w:t>
            </w:r>
            <w:r w:rsidRPr="00AA2E04">
              <w:rPr>
                <w:rFonts w:ascii="Trebuchet MS" w:hAnsi="Trebuchet MS"/>
                <w:color w:val="000000"/>
                <w:sz w:val="20"/>
                <w:szCs w:val="20"/>
                <w:lang w:val="en-US" w:eastAsia="pt-PT"/>
              </w:rPr>
              <w:t xml:space="preserve">). </w:t>
            </w:r>
            <w:r w:rsidRPr="00AA2E04">
              <w:rPr>
                <w:rFonts w:ascii="Trebuchet MS" w:hAnsi="Trebuchet MS"/>
                <w:sz w:val="20"/>
                <w:szCs w:val="20"/>
                <w:lang w:val="en-US"/>
              </w:rPr>
              <w:t>Adenosine receptors in the ner</w:t>
            </w:r>
            <w:r w:rsidRPr="00AA2E04">
              <w:rPr>
                <w:rFonts w:ascii="Trebuchet MS" w:hAnsi="Trebuchet MS"/>
                <w:sz w:val="20"/>
                <w:szCs w:val="20"/>
                <w:lang w:val="en-US"/>
              </w:rPr>
              <w:t>v</w:t>
            </w:r>
            <w:r w:rsidRPr="00AA2E04">
              <w:rPr>
                <w:rFonts w:ascii="Trebuchet MS" w:hAnsi="Trebuchet MS"/>
                <w:sz w:val="20"/>
                <w:szCs w:val="20"/>
                <w:lang w:val="en-US"/>
              </w:rPr>
              <w:t xml:space="preserve">ous system: pathophysiological implication. </w:t>
            </w:r>
            <w:r w:rsidRPr="00AA2E04">
              <w:rPr>
                <w:rFonts w:ascii="Trebuchet MS" w:hAnsi="Trebuchet MS"/>
                <w:i/>
                <w:sz w:val="20"/>
                <w:szCs w:val="20"/>
                <w:lang w:val="en-US" w:eastAsia="pt-PT"/>
              </w:rPr>
              <w:t>Progress in Neurobiology</w:t>
            </w:r>
            <w:r w:rsidRPr="00AA2E04">
              <w:rPr>
                <w:rFonts w:ascii="Trebuchet MS" w:hAnsi="Trebuchet MS"/>
                <w:sz w:val="20"/>
                <w:szCs w:val="20"/>
                <w:lang w:val="en-US" w:eastAsia="pt-PT"/>
              </w:rPr>
              <w:t xml:space="preserve">. </w:t>
            </w:r>
            <w:r w:rsidRPr="00AA2E04">
              <w:rPr>
                <w:rFonts w:ascii="Trebuchet MS" w:hAnsi="Trebuchet MS"/>
                <w:b/>
                <w:sz w:val="20"/>
                <w:szCs w:val="20"/>
                <w:lang w:val="en-US" w:eastAsia="pt-PT"/>
              </w:rPr>
              <w:t>68</w:t>
            </w:r>
            <w:r w:rsidRPr="00AA2E04">
              <w:rPr>
                <w:rFonts w:ascii="Trebuchet MS" w:hAnsi="Trebuchet MS"/>
                <w:sz w:val="20"/>
                <w:szCs w:val="20"/>
                <w:lang w:val="en-US" w:eastAsia="pt-PT"/>
              </w:rPr>
              <w:t>: 377–392.</w:t>
            </w:r>
          </w:p>
          <w:p w:rsidR="00FF54AE" w:rsidRPr="00AA2E04" w:rsidRDefault="00FF54AE"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Riksen, N. P., Rongen, G. A., Boers, G. H. J., Blom, H. J., Van den Broek, P. H. H. and Smits, P. (2005). </w:t>
            </w:r>
            <w:r w:rsidRPr="00AA2E04">
              <w:rPr>
                <w:rFonts w:ascii="Trebuchet MS" w:hAnsi="Trebuchet MS"/>
                <w:bCs/>
                <w:sz w:val="20"/>
                <w:szCs w:val="20"/>
                <w:lang w:val="en-US"/>
              </w:rPr>
              <w:t>Enhanced Cellular Adenosine Uptake Limits Adenosine Receptor Stimulation in P</w:t>
            </w:r>
            <w:r w:rsidRPr="00AA2E04">
              <w:rPr>
                <w:rFonts w:ascii="Trebuchet MS" w:hAnsi="Trebuchet MS"/>
                <w:bCs/>
                <w:sz w:val="20"/>
                <w:szCs w:val="20"/>
                <w:lang w:val="en-US"/>
              </w:rPr>
              <w:t>a</w:t>
            </w:r>
            <w:r w:rsidRPr="00AA2E04">
              <w:rPr>
                <w:rFonts w:ascii="Trebuchet MS" w:hAnsi="Trebuchet MS"/>
                <w:bCs/>
                <w:sz w:val="20"/>
                <w:szCs w:val="20"/>
                <w:lang w:val="en-US"/>
              </w:rPr>
              <w:t xml:space="preserve">tients With Hyperhomocysteinemia. </w:t>
            </w:r>
            <w:r w:rsidRPr="00AA2E04">
              <w:rPr>
                <w:rFonts w:ascii="Trebuchet MS" w:hAnsi="Trebuchet MS"/>
                <w:i/>
                <w:iCs/>
                <w:sz w:val="20"/>
                <w:szCs w:val="20"/>
                <w:lang w:val="en-US"/>
              </w:rPr>
              <w:t>Arterioscler Thromb Vasc Biol</w:t>
            </w:r>
            <w:r w:rsidRPr="00AA2E04">
              <w:rPr>
                <w:rFonts w:ascii="Trebuchet MS" w:hAnsi="Trebuchet MS"/>
                <w:iCs/>
                <w:sz w:val="20"/>
                <w:szCs w:val="20"/>
                <w:lang w:val="en-US"/>
              </w:rPr>
              <w:t xml:space="preserve">. Vol. </w:t>
            </w:r>
            <w:r w:rsidRPr="00AA2E04">
              <w:rPr>
                <w:rFonts w:ascii="Trebuchet MS" w:hAnsi="Trebuchet MS"/>
                <w:b/>
                <w:sz w:val="20"/>
                <w:szCs w:val="20"/>
                <w:lang w:val="en-US"/>
              </w:rPr>
              <w:t>25</w:t>
            </w:r>
            <w:r w:rsidRPr="00AA2E04">
              <w:rPr>
                <w:rFonts w:ascii="Trebuchet MS" w:hAnsi="Trebuchet MS"/>
                <w:sz w:val="20"/>
                <w:szCs w:val="20"/>
                <w:lang w:val="en-US"/>
              </w:rPr>
              <w:t>: 109-114.</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35151F" w:rsidP="00C14921">
            <w:pPr>
              <w:autoSpaceDE w:val="0"/>
              <w:autoSpaceDN w:val="0"/>
              <w:adjustRightInd w:val="0"/>
              <w:jc w:val="both"/>
              <w:rPr>
                <w:rFonts w:ascii="Trebuchet MS" w:hAnsi="Trebuchet MS"/>
                <w:sz w:val="20"/>
                <w:szCs w:val="20"/>
                <w:lang w:val="en-US"/>
              </w:rPr>
            </w:pPr>
            <w:hyperlink r:id="rId72" w:history="1">
              <w:r w:rsidR="00AF6EFC" w:rsidRPr="00AA2E04">
                <w:rPr>
                  <w:rFonts w:ascii="Trebuchet MS" w:hAnsi="Trebuchet MS"/>
                  <w:sz w:val="20"/>
                  <w:szCs w:val="20"/>
                  <w:lang w:val="en-US"/>
                </w:rPr>
                <w:t>Rudolphi, K. A</w:t>
              </w:r>
            </w:hyperlink>
            <w:r w:rsidR="00AF6EFC" w:rsidRPr="00AA2E04">
              <w:rPr>
                <w:rFonts w:ascii="Trebuchet MS" w:hAnsi="Trebuchet MS"/>
                <w:sz w:val="20"/>
                <w:szCs w:val="20"/>
                <w:lang w:val="en-US"/>
              </w:rPr>
              <w:t xml:space="preserve">., </w:t>
            </w:r>
            <w:hyperlink r:id="rId73" w:history="1">
              <w:r w:rsidR="00AF6EFC" w:rsidRPr="00AA2E04">
                <w:rPr>
                  <w:rFonts w:ascii="Trebuchet MS" w:hAnsi="Trebuchet MS"/>
                  <w:sz w:val="20"/>
                  <w:szCs w:val="20"/>
                  <w:lang w:val="en-US"/>
                </w:rPr>
                <w:t>Schubert, P</w:t>
              </w:r>
            </w:hyperlink>
            <w:r w:rsidR="00AF6EFC" w:rsidRPr="00AA2E04">
              <w:rPr>
                <w:rFonts w:ascii="Trebuchet MS" w:hAnsi="Trebuchet MS"/>
                <w:sz w:val="20"/>
                <w:szCs w:val="20"/>
                <w:lang w:val="en-US"/>
              </w:rPr>
              <w:t xml:space="preserve">., </w:t>
            </w:r>
            <w:hyperlink r:id="rId74" w:history="1">
              <w:r w:rsidR="00AF6EFC" w:rsidRPr="00AA2E04">
                <w:rPr>
                  <w:rFonts w:ascii="Trebuchet MS" w:hAnsi="Trebuchet MS"/>
                  <w:sz w:val="20"/>
                  <w:szCs w:val="20"/>
                  <w:lang w:val="en-US"/>
                </w:rPr>
                <w:t>Parkinson, F. E</w:t>
              </w:r>
            </w:hyperlink>
            <w:r w:rsidR="00AF6EFC" w:rsidRPr="00AA2E04">
              <w:rPr>
                <w:rFonts w:ascii="Trebuchet MS" w:hAnsi="Trebuchet MS"/>
                <w:sz w:val="20"/>
                <w:szCs w:val="20"/>
                <w:lang w:val="en-US"/>
              </w:rPr>
              <w:t xml:space="preserve">., </w:t>
            </w:r>
            <w:hyperlink r:id="rId75" w:history="1">
              <w:r w:rsidR="00AF6EFC" w:rsidRPr="00AA2E04">
                <w:rPr>
                  <w:rFonts w:ascii="Trebuchet MS" w:hAnsi="Trebuchet MS"/>
                  <w:sz w:val="20"/>
                  <w:szCs w:val="20"/>
                  <w:lang w:val="en-US"/>
                </w:rPr>
                <w:t>Fredholm, B. B</w:t>
              </w:r>
            </w:hyperlink>
            <w:r w:rsidR="00AF6EFC" w:rsidRPr="00AA2E04">
              <w:rPr>
                <w:rFonts w:ascii="Trebuchet MS" w:hAnsi="Trebuchet MS"/>
                <w:sz w:val="20"/>
                <w:szCs w:val="20"/>
                <w:lang w:val="en-US"/>
              </w:rPr>
              <w:t xml:space="preserve">. (1992). Adenosine and brain ischemia. </w:t>
            </w:r>
            <w:hyperlink r:id="rId76" w:tooltip="Cerebrovascular and brain metabolism reviews." w:history="1">
              <w:r w:rsidR="00AF6EFC" w:rsidRPr="00AA2E04">
                <w:rPr>
                  <w:rFonts w:ascii="Trebuchet MS" w:hAnsi="Trebuchet MS"/>
                  <w:i/>
                  <w:sz w:val="20"/>
                  <w:szCs w:val="20"/>
                  <w:lang w:val="en-US"/>
                </w:rPr>
                <w:t>Cerebrovasc Brain Metab Rev</w:t>
              </w:r>
              <w:r w:rsidR="00AF6EFC" w:rsidRPr="00AA2E04">
                <w:rPr>
                  <w:rFonts w:ascii="Trebuchet MS" w:hAnsi="Trebuchet MS"/>
                  <w:sz w:val="20"/>
                  <w:szCs w:val="20"/>
                  <w:lang w:val="en-US"/>
                </w:rPr>
                <w:t>.</w:t>
              </w:r>
            </w:hyperlink>
            <w:r w:rsidR="00AF6EFC" w:rsidRPr="00AA2E04">
              <w:rPr>
                <w:rFonts w:ascii="Trebuchet MS" w:hAnsi="Trebuchet MS"/>
                <w:sz w:val="20"/>
                <w:szCs w:val="20"/>
                <w:lang w:val="en-US"/>
              </w:rPr>
              <w:t xml:space="preserve"> Volume </w:t>
            </w:r>
            <w:r w:rsidR="00AF6EFC" w:rsidRPr="00AA2E04">
              <w:rPr>
                <w:rFonts w:ascii="Trebuchet MS" w:hAnsi="Trebuchet MS"/>
                <w:b/>
                <w:sz w:val="20"/>
                <w:szCs w:val="20"/>
                <w:lang w:val="en-US"/>
              </w:rPr>
              <w:t>4(4):</w:t>
            </w:r>
            <w:r w:rsidR="00AF6EFC" w:rsidRPr="00AA2E04">
              <w:rPr>
                <w:rFonts w:ascii="Trebuchet MS" w:hAnsi="Trebuchet MS"/>
                <w:sz w:val="20"/>
                <w:szCs w:val="20"/>
                <w:lang w:val="en-US"/>
              </w:rPr>
              <w:t xml:space="preserve"> 346-69.</w:t>
            </w:r>
          </w:p>
          <w:p w:rsidR="00AF6EFC" w:rsidRPr="00AA2E04" w:rsidRDefault="00AF6EFC" w:rsidP="00C14921">
            <w:pPr>
              <w:jc w:val="both"/>
              <w:rPr>
                <w:rFonts w:ascii="Trebuchet MS" w:hAnsi="Trebuchet MS"/>
                <w:sz w:val="20"/>
                <w:szCs w:val="20"/>
                <w:lang w:val="en-US"/>
              </w:rPr>
            </w:pPr>
          </w:p>
        </w:tc>
      </w:tr>
      <w:tr w:rsidR="00AF6EFC" w:rsidRPr="00C309B0" w:rsidTr="00C14921">
        <w:tc>
          <w:tcPr>
            <w:tcW w:w="5000" w:type="pct"/>
            <w:vAlign w:val="center"/>
          </w:tcPr>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rPr>
              <w:t>Samoilov, M. O., Lazarevich, E. V., Semenov, D. G., Mokrushin, A. A., Tyul´kova, E. I., Rom</w:t>
            </w:r>
            <w:r w:rsidRPr="00AA2E04">
              <w:rPr>
                <w:rFonts w:ascii="Trebuchet MS" w:hAnsi="Trebuchet MS"/>
                <w:sz w:val="20"/>
                <w:szCs w:val="20"/>
              </w:rPr>
              <w:t>a</w:t>
            </w:r>
            <w:r w:rsidRPr="00AA2E04">
              <w:rPr>
                <w:rFonts w:ascii="Trebuchet MS" w:hAnsi="Trebuchet MS"/>
                <w:sz w:val="20"/>
                <w:szCs w:val="20"/>
              </w:rPr>
              <w:t xml:space="preserve">novskii, D. Y., Milyakova, E. A. and Dudkin, k. N. (2003). </w:t>
            </w:r>
            <w:r w:rsidRPr="00AA2E04">
              <w:rPr>
                <w:rFonts w:ascii="Trebuchet MS" w:hAnsi="Trebuchet MS"/>
                <w:bCs/>
                <w:sz w:val="20"/>
                <w:szCs w:val="20"/>
                <w:lang w:val="en-US"/>
              </w:rPr>
              <w:t>The Adaptive Effects of Hypoxic Pr</w:t>
            </w:r>
            <w:r w:rsidRPr="00AA2E04">
              <w:rPr>
                <w:rFonts w:ascii="Trebuchet MS" w:hAnsi="Trebuchet MS"/>
                <w:bCs/>
                <w:sz w:val="20"/>
                <w:szCs w:val="20"/>
                <w:lang w:val="en-US"/>
              </w:rPr>
              <w:t>e</w:t>
            </w:r>
            <w:r w:rsidRPr="00AA2E04">
              <w:rPr>
                <w:rFonts w:ascii="Trebuchet MS" w:hAnsi="Trebuchet MS"/>
                <w:bCs/>
                <w:sz w:val="20"/>
                <w:szCs w:val="20"/>
                <w:lang w:val="en-US"/>
              </w:rPr>
              <w:t>conditioning of Brain Neurons.</w:t>
            </w:r>
            <w:r w:rsidRPr="00AA2E04">
              <w:rPr>
                <w:rFonts w:ascii="Trebuchet MS" w:hAnsi="Trebuchet MS"/>
                <w:sz w:val="20"/>
                <w:szCs w:val="20"/>
                <w:lang w:val="en-US"/>
              </w:rPr>
              <w:t xml:space="preserve"> </w:t>
            </w:r>
            <w:r w:rsidRPr="00AA2E04">
              <w:rPr>
                <w:rFonts w:ascii="Trebuchet MS" w:hAnsi="Trebuchet MS"/>
                <w:i/>
                <w:sz w:val="20"/>
                <w:szCs w:val="20"/>
                <w:lang w:val="en-US"/>
              </w:rPr>
              <w:t>Neuroscience and Behavioral Physiology.</w:t>
            </w:r>
            <w:r w:rsidRPr="00AA2E04">
              <w:rPr>
                <w:rFonts w:ascii="Trebuchet MS" w:hAnsi="Trebuchet MS"/>
                <w:sz w:val="20"/>
                <w:szCs w:val="20"/>
                <w:lang w:val="en-US"/>
              </w:rPr>
              <w:t xml:space="preserve"> Vol. </w:t>
            </w:r>
            <w:r w:rsidRPr="00AA2E04">
              <w:rPr>
                <w:rFonts w:ascii="Trebuchet MS" w:hAnsi="Trebuchet MS"/>
                <w:b/>
                <w:sz w:val="20"/>
                <w:szCs w:val="20"/>
                <w:lang w:val="en-US"/>
              </w:rPr>
              <w:t>33</w:t>
            </w:r>
            <w:r w:rsidRPr="00AA2E04">
              <w:rPr>
                <w:rFonts w:ascii="Trebuchet MS" w:hAnsi="Trebuchet MS"/>
                <w:sz w:val="20"/>
                <w:szCs w:val="20"/>
                <w:lang w:val="en-US"/>
              </w:rPr>
              <w:t>, Nº 1.</w:t>
            </w:r>
          </w:p>
          <w:p w:rsidR="00AF6EFC" w:rsidRPr="00AA2E04" w:rsidRDefault="00AF6EFC" w:rsidP="00C14921">
            <w:pPr>
              <w:autoSpaceDE w:val="0"/>
              <w:autoSpaceDN w:val="0"/>
              <w:adjustRightInd w:val="0"/>
              <w:jc w:val="both"/>
              <w:rPr>
                <w:rFonts w:ascii="Trebuchet MS" w:hAnsi="Trebuchet MS" w:cs="AdvTimes"/>
                <w:sz w:val="20"/>
                <w:szCs w:val="20"/>
                <w:lang w:val="en-US"/>
              </w:rPr>
            </w:pPr>
          </w:p>
          <w:p w:rsidR="00AF6EFC" w:rsidRPr="00AA2E04" w:rsidRDefault="00AF6EFC" w:rsidP="00C14921">
            <w:pPr>
              <w:autoSpaceDE w:val="0"/>
              <w:autoSpaceDN w:val="0"/>
              <w:adjustRightInd w:val="0"/>
              <w:jc w:val="both"/>
              <w:rPr>
                <w:rFonts w:ascii="Trebuchet MS" w:hAnsi="Trebuchet MS" w:cs="Arial"/>
                <w:sz w:val="20"/>
                <w:szCs w:val="20"/>
              </w:rPr>
            </w:pPr>
            <w:r w:rsidRPr="00C87882">
              <w:rPr>
                <w:rFonts w:ascii="Trebuchet MS" w:hAnsi="Trebuchet MS" w:cs="AdvTimes"/>
                <w:sz w:val="20"/>
                <w:szCs w:val="20"/>
                <w:lang w:val="en-US"/>
              </w:rPr>
              <w:t xml:space="preserve">Sebastião, A. M. and Ribeiro, J. A. (1996). </w:t>
            </w:r>
            <w:r w:rsidRPr="00AA2E04">
              <w:rPr>
                <w:rFonts w:ascii="Trebuchet MS" w:hAnsi="Trebuchet MS" w:cs="AdvTimes"/>
                <w:bCs/>
                <w:sz w:val="20"/>
                <w:szCs w:val="20"/>
                <w:lang w:val="en-US"/>
              </w:rPr>
              <w:t>Adenosine A</w:t>
            </w:r>
            <w:r w:rsidRPr="00AA2E04">
              <w:rPr>
                <w:rFonts w:ascii="Trebuchet MS" w:hAnsi="Trebuchet MS" w:cs="AdvTimes"/>
                <w:bCs/>
                <w:sz w:val="20"/>
                <w:szCs w:val="20"/>
                <w:vertAlign w:val="subscript"/>
                <w:lang w:val="en-US"/>
              </w:rPr>
              <w:t>2</w:t>
            </w:r>
            <w:r w:rsidRPr="00AA2E04">
              <w:rPr>
                <w:rFonts w:ascii="Trebuchet MS" w:hAnsi="Trebuchet MS" w:cs="AdvTimes"/>
                <w:bCs/>
                <w:sz w:val="20"/>
                <w:szCs w:val="20"/>
                <w:lang w:val="en-US"/>
              </w:rPr>
              <w:t xml:space="preserve"> receptor-mediated excitatory actions on the nervous system. </w:t>
            </w:r>
            <w:hyperlink r:id="rId77" w:tooltip="Progress in neurobiology." w:history="1">
              <w:r w:rsidRPr="00AA2E04">
                <w:rPr>
                  <w:rFonts w:ascii="Trebuchet MS" w:hAnsi="Trebuchet MS" w:cs="Arial"/>
                  <w:i/>
                  <w:sz w:val="20"/>
                  <w:szCs w:val="20"/>
                </w:rPr>
                <w:t>Prog Neurobiol.</w:t>
              </w:r>
            </w:hyperlink>
            <w:r w:rsidRPr="00AA2E04">
              <w:rPr>
                <w:rFonts w:ascii="Trebuchet MS" w:hAnsi="Trebuchet MS" w:cs="Arial"/>
                <w:i/>
                <w:sz w:val="20"/>
                <w:szCs w:val="20"/>
              </w:rPr>
              <w:t xml:space="preserve"> </w:t>
            </w:r>
            <w:r w:rsidRPr="00AA2E04">
              <w:rPr>
                <w:rFonts w:ascii="Trebuchet MS" w:hAnsi="Trebuchet MS" w:cs="Arial"/>
                <w:sz w:val="20"/>
                <w:szCs w:val="20"/>
              </w:rPr>
              <w:t xml:space="preserve">Volume </w:t>
            </w:r>
            <w:proofErr w:type="gramStart"/>
            <w:r w:rsidRPr="00AA2E04">
              <w:rPr>
                <w:rFonts w:ascii="Trebuchet MS" w:hAnsi="Trebuchet MS" w:cs="Arial"/>
                <w:b/>
                <w:sz w:val="20"/>
                <w:szCs w:val="20"/>
              </w:rPr>
              <w:t>48(3</w:t>
            </w:r>
            <w:proofErr w:type="gramEnd"/>
            <w:r w:rsidRPr="00AA2E04">
              <w:rPr>
                <w:rFonts w:ascii="Trebuchet MS" w:hAnsi="Trebuchet MS" w:cs="Arial"/>
                <w:b/>
                <w:sz w:val="20"/>
                <w:szCs w:val="20"/>
              </w:rPr>
              <w:t>)</w:t>
            </w:r>
            <w:r w:rsidRPr="00AA2E04">
              <w:rPr>
                <w:rFonts w:ascii="Trebuchet MS" w:hAnsi="Trebuchet MS" w:cs="Arial"/>
                <w:sz w:val="20"/>
                <w:szCs w:val="20"/>
              </w:rPr>
              <w:t>: 167-89.</w:t>
            </w:r>
          </w:p>
          <w:p w:rsidR="00AF6EFC" w:rsidRPr="00AA2E04" w:rsidRDefault="00AF6EFC" w:rsidP="00C14921">
            <w:pPr>
              <w:jc w:val="both"/>
              <w:rPr>
                <w:rFonts w:ascii="Trebuchet MS" w:hAnsi="Trebuchet MS"/>
                <w:sz w:val="20"/>
                <w:szCs w:val="20"/>
              </w:rPr>
            </w:pPr>
          </w:p>
          <w:p w:rsidR="00AF6EFC" w:rsidRPr="00AA2E04" w:rsidRDefault="00AF6EFC" w:rsidP="00C14921">
            <w:pPr>
              <w:jc w:val="both"/>
              <w:rPr>
                <w:rFonts w:ascii="Trebuchet MS" w:hAnsi="Trebuchet MS"/>
                <w:sz w:val="20"/>
                <w:szCs w:val="20"/>
              </w:rPr>
            </w:pPr>
            <w:r w:rsidRPr="00AA2E04">
              <w:rPr>
                <w:rFonts w:ascii="Trebuchet MS" w:hAnsi="Trebuchet MS"/>
                <w:sz w:val="20"/>
                <w:szCs w:val="20"/>
              </w:rPr>
              <w:t xml:space="preserve">Sebastião, A. M. and Ribeiro, J. A. (1988). </w:t>
            </w:r>
            <w:r w:rsidRPr="00AA2E04">
              <w:rPr>
                <w:rFonts w:ascii="Trebuchet MS" w:hAnsi="Trebuchet MS"/>
                <w:sz w:val="20"/>
                <w:szCs w:val="20"/>
                <w:lang w:val="en-US"/>
              </w:rPr>
              <w:t>On the adenosine receptor and adenosine inactiv</w:t>
            </w:r>
            <w:r w:rsidRPr="00AA2E04">
              <w:rPr>
                <w:rFonts w:ascii="Trebuchet MS" w:hAnsi="Trebuchet MS"/>
                <w:sz w:val="20"/>
                <w:szCs w:val="20"/>
                <w:lang w:val="en-US"/>
              </w:rPr>
              <w:t>a</w:t>
            </w:r>
            <w:r w:rsidRPr="00AA2E04">
              <w:rPr>
                <w:rFonts w:ascii="Trebuchet MS" w:hAnsi="Trebuchet MS"/>
                <w:sz w:val="20"/>
                <w:szCs w:val="20"/>
                <w:lang w:val="en-US"/>
              </w:rPr>
              <w:t xml:space="preserve">tion at the rat diaphragm neuromuscular junction. </w:t>
            </w:r>
            <w:r w:rsidRPr="00AA2E04">
              <w:rPr>
                <w:rFonts w:ascii="Trebuchet MS" w:hAnsi="Trebuchet MS"/>
                <w:i/>
                <w:sz w:val="20"/>
                <w:szCs w:val="20"/>
              </w:rPr>
              <w:t>Br. J. Pharmacol.</w:t>
            </w:r>
            <w:r w:rsidRPr="00AA2E04">
              <w:rPr>
                <w:rFonts w:ascii="Trebuchet MS" w:hAnsi="Trebuchet MS"/>
                <w:sz w:val="20"/>
                <w:szCs w:val="20"/>
              </w:rPr>
              <w:t xml:space="preserve"> Volume </w:t>
            </w:r>
            <w:r w:rsidRPr="00AA2E04">
              <w:rPr>
                <w:rFonts w:ascii="Trebuchet MS" w:hAnsi="Trebuchet MS"/>
                <w:b/>
                <w:sz w:val="20"/>
                <w:szCs w:val="20"/>
              </w:rPr>
              <w:t>94</w:t>
            </w:r>
            <w:r w:rsidRPr="00AA2E04">
              <w:rPr>
                <w:rFonts w:ascii="Trebuchet MS" w:hAnsi="Trebuchet MS"/>
                <w:sz w:val="20"/>
                <w:szCs w:val="20"/>
              </w:rPr>
              <w:t>: 109-120.</w:t>
            </w:r>
          </w:p>
          <w:p w:rsidR="00AF6EFC" w:rsidRPr="00AA2E04" w:rsidRDefault="00AF6EFC" w:rsidP="00C14921">
            <w:pPr>
              <w:jc w:val="both"/>
              <w:rPr>
                <w:rFonts w:ascii="Trebuchet MS" w:hAnsi="Trebuchet MS"/>
                <w:sz w:val="20"/>
                <w:szCs w:val="20"/>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rPr>
              <w:t xml:space="preserve">Sebastião, A. M., Cunha, R., A., de Mendonça, A. And Ribeiro, J. A. (2000). </w:t>
            </w:r>
            <w:r w:rsidRPr="00AA2E04">
              <w:rPr>
                <w:rFonts w:ascii="Trebuchet MS" w:hAnsi="Trebuchet MS"/>
                <w:sz w:val="20"/>
                <w:szCs w:val="20"/>
                <w:lang w:val="en-US"/>
              </w:rPr>
              <w:t xml:space="preserve">Modification of adenosine modulation of synaptic transmission in the hippocampus of aged rats. </w:t>
            </w:r>
            <w:r w:rsidRPr="00AA2E04">
              <w:rPr>
                <w:rFonts w:ascii="Trebuchet MS" w:hAnsi="Trebuchet MS"/>
                <w:i/>
                <w:sz w:val="20"/>
                <w:szCs w:val="20"/>
                <w:lang w:val="en-US"/>
              </w:rPr>
              <w:t>British Jou</w:t>
            </w:r>
            <w:r w:rsidRPr="00AA2E04">
              <w:rPr>
                <w:rFonts w:ascii="Trebuchet MS" w:hAnsi="Trebuchet MS"/>
                <w:i/>
                <w:sz w:val="20"/>
                <w:szCs w:val="20"/>
                <w:lang w:val="en-US"/>
              </w:rPr>
              <w:t>r</w:t>
            </w:r>
            <w:r w:rsidRPr="00AA2E04">
              <w:rPr>
                <w:rFonts w:ascii="Trebuchet MS" w:hAnsi="Trebuchet MS"/>
                <w:i/>
                <w:sz w:val="20"/>
                <w:szCs w:val="20"/>
                <w:lang w:val="en-US"/>
              </w:rPr>
              <w:t>nal of Pharmacology</w:t>
            </w:r>
            <w:r w:rsidRPr="00AA2E04">
              <w:rPr>
                <w:rFonts w:ascii="Trebuchet MS" w:hAnsi="Trebuchet MS"/>
                <w:sz w:val="20"/>
                <w:szCs w:val="20"/>
                <w:lang w:val="en-US"/>
              </w:rPr>
              <w:t xml:space="preserve">. Volume </w:t>
            </w:r>
            <w:r w:rsidRPr="00AA2E04">
              <w:rPr>
                <w:rFonts w:ascii="Trebuchet MS" w:hAnsi="Trebuchet MS"/>
                <w:b/>
                <w:sz w:val="20"/>
                <w:szCs w:val="20"/>
                <w:lang w:val="en-US"/>
              </w:rPr>
              <w:t>131</w:t>
            </w:r>
            <w:r w:rsidRPr="00AA2E04">
              <w:rPr>
                <w:rFonts w:ascii="Trebuchet MS" w:hAnsi="Trebuchet MS"/>
                <w:sz w:val="20"/>
                <w:szCs w:val="20"/>
                <w:lang w:val="en-US"/>
              </w:rPr>
              <w:t>: 1629 – 1634.</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hadow/>
                <w:color w:val="333399"/>
                <w:sz w:val="20"/>
                <w:szCs w:val="20"/>
                <w:lang w:val="en-US"/>
              </w:rPr>
            </w:pPr>
            <w:r w:rsidRPr="00AA2E04">
              <w:rPr>
                <w:rFonts w:ascii="Trebuchet MS" w:hAnsi="Trebuchet MS"/>
                <w:sz w:val="20"/>
                <w:szCs w:val="20"/>
                <w:lang w:val="en-US"/>
              </w:rPr>
              <w:t>Sharp</w:t>
            </w:r>
            <w:r w:rsidRPr="00AA2E04">
              <w:rPr>
                <w:rFonts w:ascii="Trebuchet MS" w:hAnsi="Trebuchet MS"/>
                <w:iCs/>
                <w:sz w:val="20"/>
                <w:szCs w:val="20"/>
                <w:lang w:val="en-US"/>
              </w:rPr>
              <w:t xml:space="preserve">, F.R., </w:t>
            </w:r>
            <w:r w:rsidRPr="00AA2E04">
              <w:rPr>
                <w:rFonts w:ascii="Trebuchet MS" w:hAnsi="Trebuchet MS"/>
                <w:sz w:val="20"/>
                <w:szCs w:val="20"/>
                <w:lang w:val="en-US"/>
              </w:rPr>
              <w:t xml:space="preserve">Ran, R., Lu, A., Tang, Y., Strauss, K.I., Glass, T., Ardizzone, T. and Bernaudin, B. </w:t>
            </w:r>
            <w:r w:rsidRPr="00AA2E04">
              <w:rPr>
                <w:rFonts w:ascii="Trebuchet MS" w:hAnsi="Trebuchet MS"/>
                <w:iCs/>
                <w:sz w:val="20"/>
                <w:szCs w:val="20"/>
                <w:lang w:val="en-US"/>
              </w:rPr>
              <w:t xml:space="preserve">(2004) Hypoxic Preconditioning Protects against Ischemic Brain Injury. </w:t>
            </w:r>
            <w:r w:rsidRPr="00AA2E04">
              <w:rPr>
                <w:rFonts w:ascii="Trebuchet MS" w:hAnsi="Trebuchet MS"/>
                <w:i/>
                <w:iCs/>
                <w:sz w:val="20"/>
                <w:szCs w:val="20"/>
                <w:lang w:val="en-US"/>
              </w:rPr>
              <w:t>NeuroRx</w:t>
            </w:r>
            <w:r w:rsidRPr="00AA2E04">
              <w:rPr>
                <w:rFonts w:ascii="Trebuchet MS" w:hAnsi="Trebuchet MS" w:cs="Universal-NewswithCommPi"/>
                <w:i/>
                <w:sz w:val="20"/>
                <w:szCs w:val="20"/>
                <w:vertAlign w:val="superscript"/>
                <w:lang w:val="en-US"/>
              </w:rPr>
              <w:t>®</w:t>
            </w:r>
            <w:r w:rsidRPr="00AA2E04">
              <w:rPr>
                <w:rFonts w:ascii="Trebuchet MS" w:hAnsi="Trebuchet MS"/>
                <w:i/>
                <w:iCs/>
                <w:sz w:val="20"/>
                <w:szCs w:val="20"/>
                <w:lang w:val="en-US"/>
              </w:rPr>
              <w:t>: The Journal of the American Society for Experimental NeuroTherapeutics</w:t>
            </w:r>
            <w:r w:rsidRPr="00AA2E04">
              <w:rPr>
                <w:rFonts w:ascii="Trebuchet MS" w:hAnsi="Trebuchet MS"/>
                <w:iCs/>
                <w:sz w:val="20"/>
                <w:szCs w:val="20"/>
                <w:lang w:val="en-US"/>
              </w:rPr>
              <w:t>.</w:t>
            </w:r>
            <w:r w:rsidRPr="00AA2E04">
              <w:rPr>
                <w:rFonts w:ascii="Trebuchet MS" w:hAnsi="Trebuchet MS"/>
                <w:sz w:val="20"/>
                <w:szCs w:val="20"/>
                <w:lang w:val="en-US"/>
              </w:rPr>
              <w:t xml:space="preserve"> </w:t>
            </w:r>
            <w:r w:rsidRPr="00AA2E04">
              <w:rPr>
                <w:rFonts w:ascii="Trebuchet MS" w:hAnsi="Trebuchet MS"/>
                <w:iCs/>
                <w:sz w:val="20"/>
                <w:szCs w:val="20"/>
                <w:lang w:val="en-US"/>
              </w:rPr>
              <w:t xml:space="preserve">Vol. </w:t>
            </w:r>
            <w:r w:rsidRPr="00AA2E04">
              <w:rPr>
                <w:rFonts w:ascii="Trebuchet MS" w:hAnsi="Trebuchet MS"/>
                <w:b/>
                <w:iCs/>
                <w:sz w:val="20"/>
                <w:szCs w:val="20"/>
                <w:lang w:val="en-US"/>
              </w:rPr>
              <w:t>1:</w:t>
            </w:r>
            <w:r w:rsidRPr="00AA2E04">
              <w:rPr>
                <w:rFonts w:ascii="Trebuchet MS" w:hAnsi="Trebuchet MS"/>
                <w:iCs/>
                <w:sz w:val="20"/>
                <w:szCs w:val="20"/>
                <w:lang w:val="en-US"/>
              </w:rPr>
              <w:t xml:space="preserve"> 26– 35.</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Sigaut, S., Jannier, V., Rouelle, D., Gressens, P., Mantz, J. and Dahmani, S. (2009). </w:t>
            </w:r>
            <w:r w:rsidRPr="00AA2E04">
              <w:rPr>
                <w:rFonts w:ascii="Trebuchet MS" w:hAnsi="Trebuchet MS"/>
                <w:bCs/>
                <w:sz w:val="20"/>
                <w:szCs w:val="20"/>
                <w:lang w:val="en-US"/>
              </w:rPr>
              <w:t>The Pr</w:t>
            </w:r>
            <w:r w:rsidRPr="00AA2E04">
              <w:rPr>
                <w:rFonts w:ascii="Trebuchet MS" w:hAnsi="Trebuchet MS"/>
                <w:bCs/>
                <w:sz w:val="20"/>
                <w:szCs w:val="20"/>
                <w:lang w:val="en-US"/>
              </w:rPr>
              <w:t>e</w:t>
            </w:r>
            <w:r w:rsidRPr="00AA2E04">
              <w:rPr>
                <w:rFonts w:ascii="Trebuchet MS" w:hAnsi="Trebuchet MS"/>
                <w:bCs/>
                <w:sz w:val="20"/>
                <w:szCs w:val="20"/>
                <w:lang w:val="en-US"/>
              </w:rPr>
              <w:t xml:space="preserve">conditioning Effect of Sevoflurane on the Oxygen Glucose-Deprived Hippocampal Slice: The Role of Tyrosine Kinases and Duration of Ischemia. </w:t>
            </w:r>
            <w:r w:rsidRPr="00AA2E04">
              <w:rPr>
                <w:rFonts w:ascii="Trebuchet MS" w:hAnsi="Trebuchet MS"/>
                <w:bCs/>
                <w:i/>
                <w:sz w:val="20"/>
                <w:szCs w:val="20"/>
                <w:lang w:val="en-US"/>
              </w:rPr>
              <w:t xml:space="preserve">Anesthesia </w:t>
            </w:r>
            <w:r w:rsidRPr="00AA2E04">
              <w:rPr>
                <w:rFonts w:ascii="Trebuchet MS" w:hAnsi="Trebuchet MS"/>
                <w:bCs/>
                <w:i/>
                <w:iCs/>
                <w:sz w:val="20"/>
                <w:szCs w:val="20"/>
                <w:lang w:val="en-US"/>
              </w:rPr>
              <w:t xml:space="preserve">&amp; </w:t>
            </w:r>
            <w:r w:rsidRPr="00AA2E04">
              <w:rPr>
                <w:rFonts w:ascii="Trebuchet MS" w:hAnsi="Trebuchet MS"/>
                <w:i/>
                <w:sz w:val="20"/>
                <w:szCs w:val="20"/>
                <w:lang w:val="en-US"/>
              </w:rPr>
              <w:t>Analgesia</w:t>
            </w:r>
            <w:r w:rsidRPr="00AA2E04">
              <w:rPr>
                <w:rFonts w:ascii="Trebuchet MS" w:hAnsi="Trebuchet MS"/>
                <w:sz w:val="20"/>
                <w:szCs w:val="20"/>
                <w:lang w:val="en-US"/>
              </w:rPr>
              <w:t xml:space="preserve">. Vol. </w:t>
            </w:r>
            <w:r w:rsidRPr="00AA2E04">
              <w:rPr>
                <w:rFonts w:ascii="Trebuchet MS" w:hAnsi="Trebuchet MS"/>
                <w:b/>
                <w:sz w:val="20"/>
                <w:szCs w:val="20"/>
                <w:lang w:val="en-US"/>
              </w:rPr>
              <w:t>108</w:t>
            </w:r>
            <w:r w:rsidRPr="00AA2E04">
              <w:rPr>
                <w:rFonts w:ascii="Trebuchet MS" w:hAnsi="Trebuchet MS"/>
                <w:sz w:val="20"/>
                <w:szCs w:val="20"/>
                <w:lang w:val="en-US"/>
              </w:rPr>
              <w:t>, Nº 2.</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cs="AdvTimes"/>
                <w:sz w:val="20"/>
                <w:szCs w:val="20"/>
                <w:lang w:val="en-US"/>
              </w:rPr>
            </w:pPr>
            <w:r w:rsidRPr="00AA2E04">
              <w:rPr>
                <w:rFonts w:ascii="Trebuchet MS" w:hAnsi="Trebuchet MS" w:cs="GillSans-Bold"/>
                <w:bCs/>
                <w:sz w:val="20"/>
                <w:szCs w:val="20"/>
                <w:lang w:val="en-US"/>
              </w:rPr>
              <w:t xml:space="preserve">Storr, M., Thammer, J., Dunkel, R., Schusdziarra, V. and Allescher, H.-D. (2002). Modulatory effect of adenosine receptors on the ascending and descending neural reflex responses of rat </w:t>
            </w:r>
            <w:r w:rsidRPr="00AA2E04">
              <w:rPr>
                <w:rFonts w:ascii="Trebuchet MS" w:hAnsi="Trebuchet MS" w:cs="GillSans-Bold"/>
                <w:bCs/>
                <w:sz w:val="20"/>
                <w:szCs w:val="20"/>
                <w:lang w:val="en-US"/>
              </w:rPr>
              <w:lastRenderedPageBreak/>
              <w:t>ileum.</w:t>
            </w:r>
            <w:r w:rsidRPr="00AA2E04">
              <w:rPr>
                <w:rFonts w:ascii="Trebuchet MS" w:hAnsi="Trebuchet MS" w:cs="GillSans-Italic"/>
                <w:iCs/>
                <w:sz w:val="20"/>
                <w:szCs w:val="20"/>
                <w:lang w:val="en-US"/>
              </w:rPr>
              <w:t xml:space="preserve"> </w:t>
            </w:r>
            <w:r w:rsidRPr="00AA2E04">
              <w:rPr>
                <w:rFonts w:ascii="Trebuchet MS" w:hAnsi="Trebuchet MS" w:cs="GillSans-Italic"/>
                <w:i/>
                <w:iCs/>
                <w:sz w:val="20"/>
                <w:szCs w:val="20"/>
                <w:lang w:val="en-US"/>
              </w:rPr>
              <w:t>BMC Neuroscience</w:t>
            </w:r>
            <w:r w:rsidRPr="00AA2E04">
              <w:rPr>
                <w:rFonts w:ascii="Trebuchet MS" w:hAnsi="Trebuchet MS" w:cs="GillSans-Italic"/>
                <w:iCs/>
                <w:sz w:val="20"/>
                <w:szCs w:val="20"/>
                <w:lang w:val="en-US"/>
              </w:rPr>
              <w:t>. Volume</w:t>
            </w:r>
            <w:r w:rsidRPr="00AA2E04">
              <w:rPr>
                <w:rFonts w:ascii="Trebuchet MS" w:hAnsi="Trebuchet MS" w:cs="GillSans"/>
                <w:sz w:val="20"/>
                <w:szCs w:val="20"/>
                <w:lang w:val="en-US"/>
              </w:rPr>
              <w:t xml:space="preserve"> </w:t>
            </w:r>
            <w:r w:rsidRPr="00AA2E04">
              <w:rPr>
                <w:rFonts w:ascii="Trebuchet MS" w:hAnsi="Trebuchet MS" w:cs="GillSans-Bold"/>
                <w:b/>
                <w:bCs/>
                <w:sz w:val="20"/>
                <w:szCs w:val="20"/>
                <w:lang w:val="en-US"/>
              </w:rPr>
              <w:t>3</w:t>
            </w:r>
            <w:r w:rsidRPr="00AA2E04">
              <w:rPr>
                <w:rFonts w:ascii="Trebuchet MS" w:hAnsi="Trebuchet MS" w:cs="GillSans"/>
                <w:sz w:val="20"/>
                <w:szCs w:val="20"/>
                <w:lang w:val="en-US"/>
              </w:rPr>
              <w:t>:21.</w:t>
            </w:r>
          </w:p>
          <w:p w:rsidR="00AF6EFC" w:rsidRPr="00AA2E04" w:rsidRDefault="00AF6EFC" w:rsidP="00C14921">
            <w:pPr>
              <w:jc w:val="both"/>
              <w:rPr>
                <w:rFonts w:ascii="Trebuchet MS" w:hAnsi="Trebuchet MS"/>
                <w:sz w:val="20"/>
                <w:szCs w:val="20"/>
                <w:lang w:val="en-US"/>
              </w:rPr>
            </w:pPr>
          </w:p>
        </w:tc>
      </w:tr>
      <w:tr w:rsidR="00AF6EFC" w:rsidRPr="00C87882" w:rsidTr="00C14921">
        <w:tc>
          <w:tcPr>
            <w:tcW w:w="5000" w:type="pct"/>
            <w:vAlign w:val="center"/>
          </w:tcPr>
          <w:p w:rsidR="00AF6EFC" w:rsidRPr="00AA2E04" w:rsidRDefault="00AF6EFC" w:rsidP="00C14921">
            <w:pPr>
              <w:contextualSpacing/>
              <w:jc w:val="both"/>
              <w:rPr>
                <w:rFonts w:ascii="Trebuchet MS" w:hAnsi="Trebuchet MS" w:cs="Arial"/>
                <w:bCs/>
                <w:color w:val="365F91" w:themeColor="accent1" w:themeShade="BF"/>
                <w:sz w:val="20"/>
                <w:szCs w:val="20"/>
                <w:lang w:val="en-US"/>
              </w:rPr>
            </w:pPr>
            <w:r w:rsidRPr="00AA2E04">
              <w:rPr>
                <w:rFonts w:ascii="Trebuchet MS" w:hAnsi="Trebuchet MS" w:cs="TimesNewRomanPSMT"/>
                <w:sz w:val="20"/>
                <w:szCs w:val="20"/>
                <w:lang w:val="en-US"/>
              </w:rPr>
              <w:lastRenderedPageBreak/>
              <w:t>Takuma, K., Yao, J., Huang, J., Xu, H., Chen, X., Luddy, J., Trillat, A.-C., Stern, D.M., Ara</w:t>
            </w:r>
            <w:r w:rsidRPr="00AA2E04">
              <w:rPr>
                <w:rFonts w:ascii="Trebuchet MS" w:hAnsi="Trebuchet MS" w:cs="TimesNewRomanPSMT"/>
                <w:sz w:val="20"/>
                <w:szCs w:val="20"/>
                <w:lang w:val="en-US"/>
              </w:rPr>
              <w:t>n</w:t>
            </w:r>
            <w:r w:rsidRPr="00AA2E04">
              <w:rPr>
                <w:rFonts w:ascii="Trebuchet MS" w:hAnsi="Trebuchet MS" w:cs="TimesNewRomanPSMT"/>
                <w:sz w:val="20"/>
                <w:szCs w:val="20"/>
                <w:lang w:val="en-US"/>
              </w:rPr>
              <w:t xml:space="preserve">cio, O. and Yan, S.S. (2005). </w:t>
            </w:r>
            <w:r w:rsidRPr="00AA2E04">
              <w:rPr>
                <w:rFonts w:ascii="Trebuchet MS" w:hAnsi="Trebuchet MS" w:cs="TimesNewRomanPS-BoldMT"/>
                <w:bCs/>
                <w:sz w:val="20"/>
                <w:szCs w:val="20"/>
                <w:lang w:val="en-US"/>
              </w:rPr>
              <w:t>ABAD enhances A</w:t>
            </w:r>
            <w:r w:rsidRPr="00AA2E04">
              <w:rPr>
                <w:rFonts w:ascii="Trebuchet MS" w:hAnsi="Trebuchet MS" w:cs="SymbolMT"/>
                <w:sz w:val="20"/>
                <w:szCs w:val="20"/>
              </w:rPr>
              <w:t>β</w:t>
            </w:r>
            <w:r w:rsidRPr="00AA2E04">
              <w:rPr>
                <w:rFonts w:ascii="Trebuchet MS" w:hAnsi="Trebuchet MS" w:cs="TimesNewRomanPS-BoldMT"/>
                <w:bCs/>
                <w:sz w:val="20"/>
                <w:szCs w:val="20"/>
                <w:lang w:val="en-US"/>
              </w:rPr>
              <w:t>-induced cell stress via mitochondrial dysfun</w:t>
            </w:r>
            <w:r w:rsidRPr="00AA2E04">
              <w:rPr>
                <w:rFonts w:ascii="Trebuchet MS" w:hAnsi="Trebuchet MS" w:cs="TimesNewRomanPS-BoldMT"/>
                <w:bCs/>
                <w:sz w:val="20"/>
                <w:szCs w:val="20"/>
                <w:lang w:val="en-US"/>
              </w:rPr>
              <w:t>c</w:t>
            </w:r>
            <w:r w:rsidRPr="00AA2E04">
              <w:rPr>
                <w:rFonts w:ascii="Trebuchet MS" w:hAnsi="Trebuchet MS" w:cs="TimesNewRomanPS-BoldMT"/>
                <w:bCs/>
                <w:sz w:val="20"/>
                <w:szCs w:val="20"/>
                <w:lang w:val="en-US"/>
              </w:rPr>
              <w:t xml:space="preserve">tion. </w:t>
            </w:r>
            <w:r w:rsidRPr="00AA2E04">
              <w:rPr>
                <w:rFonts w:ascii="Trebuchet MS" w:hAnsi="Trebuchet MS" w:cs="TimesNewRomanPS-BoldMT"/>
                <w:bCs/>
                <w:i/>
                <w:sz w:val="20"/>
                <w:szCs w:val="20"/>
                <w:lang w:val="en-US"/>
              </w:rPr>
              <w:t>The FASEB Journal Express Article doi</w:t>
            </w:r>
            <w:r w:rsidRPr="00AA2E04">
              <w:rPr>
                <w:rFonts w:ascii="Trebuchet MS" w:hAnsi="Trebuchet MS" w:cs="TimesNewRomanPS-BoldMT"/>
                <w:bCs/>
                <w:sz w:val="20"/>
                <w:szCs w:val="20"/>
                <w:lang w:val="en-US"/>
              </w:rPr>
              <w:t xml:space="preserve">: </w:t>
            </w:r>
            <w:r w:rsidRPr="00AA2E04">
              <w:rPr>
                <w:rFonts w:ascii="Trebuchet MS" w:hAnsi="Trebuchet MS" w:cs="TimesNewRomanPS-BoldMT"/>
                <w:b/>
                <w:bCs/>
                <w:sz w:val="20"/>
                <w:szCs w:val="20"/>
                <w:lang w:val="en-US"/>
              </w:rPr>
              <w:t>10.1096/fj.04-2582fje</w:t>
            </w:r>
            <w:r w:rsidRPr="00AA2E04">
              <w:rPr>
                <w:rFonts w:ascii="Trebuchet MS" w:hAnsi="Trebuchet MS" w:cs="TimesNewRomanPS-BoldMT"/>
                <w:bCs/>
                <w:sz w:val="20"/>
                <w:szCs w:val="20"/>
                <w:lang w:val="en-US"/>
              </w:rPr>
              <w:t>.</w:t>
            </w:r>
            <w:r w:rsidRPr="00AA2E04">
              <w:rPr>
                <w:rFonts w:ascii="Trebuchet MS" w:hAnsi="Trebuchet MS"/>
                <w:sz w:val="20"/>
                <w:szCs w:val="20"/>
                <w:lang w:val="en-US"/>
              </w:rPr>
              <w:t xml:space="preserve"> </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Toner, C.C., Milne, A.J., Blatchford, K.L., McLaughlin, D. P. and Stamford, J. A. (2002). An assessment of the cerebroprotective potential of volatile anaesthetics using two independent methods in an </w:t>
            </w:r>
            <w:r w:rsidR="00194A32" w:rsidRPr="00AA2E04">
              <w:rPr>
                <w:rFonts w:ascii="Trebuchet MS" w:hAnsi="Trebuchet MS"/>
                <w:i/>
                <w:sz w:val="20"/>
                <w:szCs w:val="20"/>
                <w:lang w:val="en-US"/>
              </w:rPr>
              <w:t xml:space="preserve">in vitro </w:t>
            </w:r>
            <w:r w:rsidRPr="00AA2E04">
              <w:rPr>
                <w:rFonts w:ascii="Trebuchet MS" w:hAnsi="Trebuchet MS"/>
                <w:sz w:val="20"/>
                <w:szCs w:val="20"/>
                <w:lang w:val="en-US"/>
              </w:rPr>
              <w:t xml:space="preserve">model of cerebral ischaemia. </w:t>
            </w:r>
            <w:r w:rsidRPr="00AA2E04">
              <w:rPr>
                <w:rFonts w:ascii="Trebuchet MS" w:hAnsi="Trebuchet MS"/>
                <w:i/>
                <w:sz w:val="20"/>
                <w:szCs w:val="20"/>
                <w:lang w:val="en-US"/>
              </w:rPr>
              <w:t>Brain Research</w:t>
            </w:r>
            <w:r w:rsidRPr="00AA2E04">
              <w:rPr>
                <w:rFonts w:ascii="Trebuchet MS" w:hAnsi="Trebuchet MS"/>
                <w:sz w:val="20"/>
                <w:szCs w:val="20"/>
                <w:lang w:val="en-US"/>
              </w:rPr>
              <w:t xml:space="preserve"> </w:t>
            </w:r>
            <w:r w:rsidRPr="00AA2E04">
              <w:rPr>
                <w:rFonts w:ascii="Trebuchet MS" w:hAnsi="Trebuchet MS"/>
                <w:b/>
                <w:sz w:val="20"/>
                <w:szCs w:val="20"/>
                <w:lang w:val="en-US"/>
              </w:rPr>
              <w:t>958</w:t>
            </w:r>
            <w:r w:rsidRPr="00AA2E04">
              <w:rPr>
                <w:rFonts w:ascii="Trebuchet MS" w:hAnsi="Trebuchet MS"/>
                <w:sz w:val="20"/>
                <w:szCs w:val="20"/>
                <w:lang w:val="en-US"/>
              </w:rPr>
              <w:t>: 390–398.</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bCs/>
                <w:sz w:val="20"/>
                <w:szCs w:val="20"/>
                <w:lang w:val="en-US"/>
              </w:rPr>
            </w:pPr>
            <w:r w:rsidRPr="00AA2E04">
              <w:rPr>
                <w:rFonts w:ascii="Trebuchet MS" w:hAnsi="Trebuchet MS"/>
                <w:bCs/>
                <w:sz w:val="20"/>
                <w:szCs w:val="20"/>
                <w:lang w:val="en-US"/>
              </w:rPr>
              <w:t>Tucker, A. L., Robeva, A. S., Taylor, H. E., Holeton, D., Bockner, M., Lynch, K., R. and Li</w:t>
            </w:r>
            <w:r w:rsidRPr="00AA2E04">
              <w:rPr>
                <w:rFonts w:ascii="Trebuchet MS" w:hAnsi="Trebuchet MS"/>
                <w:bCs/>
                <w:sz w:val="20"/>
                <w:szCs w:val="20"/>
                <w:lang w:val="en-US"/>
              </w:rPr>
              <w:t>n</w:t>
            </w:r>
            <w:r w:rsidRPr="00AA2E04">
              <w:rPr>
                <w:rFonts w:ascii="Trebuchet MS" w:hAnsi="Trebuchet MS"/>
                <w:bCs/>
                <w:sz w:val="20"/>
                <w:szCs w:val="20"/>
                <w:lang w:val="en-US"/>
              </w:rPr>
              <w:t>den, J. (1994). A</w:t>
            </w:r>
            <w:r w:rsidRPr="00AA2E04">
              <w:rPr>
                <w:rFonts w:ascii="Trebuchet MS" w:hAnsi="Trebuchet MS"/>
                <w:bCs/>
                <w:sz w:val="20"/>
                <w:szCs w:val="20"/>
                <w:vertAlign w:val="subscript"/>
                <w:lang w:val="en-US"/>
              </w:rPr>
              <w:t>1</w:t>
            </w:r>
            <w:r w:rsidRPr="00AA2E04">
              <w:rPr>
                <w:rFonts w:ascii="Trebuchet MS" w:hAnsi="Trebuchet MS"/>
                <w:bCs/>
                <w:sz w:val="20"/>
                <w:szCs w:val="20"/>
                <w:lang w:val="en-US"/>
              </w:rPr>
              <w:t xml:space="preserve"> Adenosine Receptors – Two amino acids are responsible for species difef</w:t>
            </w:r>
            <w:r w:rsidRPr="00AA2E04">
              <w:rPr>
                <w:rFonts w:ascii="Trebuchet MS" w:hAnsi="Trebuchet MS"/>
                <w:bCs/>
                <w:sz w:val="20"/>
                <w:szCs w:val="20"/>
                <w:lang w:val="en-US"/>
              </w:rPr>
              <w:t>e</w:t>
            </w:r>
            <w:r w:rsidRPr="00AA2E04">
              <w:rPr>
                <w:rFonts w:ascii="Trebuchet MS" w:hAnsi="Trebuchet MS"/>
                <w:bCs/>
                <w:sz w:val="20"/>
                <w:szCs w:val="20"/>
                <w:lang w:val="en-US"/>
              </w:rPr>
              <w:t xml:space="preserve">rences in ligand recognition. </w:t>
            </w:r>
            <w:r w:rsidRPr="00AA2E04">
              <w:rPr>
                <w:rFonts w:ascii="Trebuchet MS" w:hAnsi="Trebuchet MS"/>
                <w:bCs/>
                <w:i/>
                <w:sz w:val="20"/>
                <w:szCs w:val="20"/>
                <w:lang w:val="en-US"/>
              </w:rPr>
              <w:t>The Journal of Biological Chemistry</w:t>
            </w:r>
            <w:r w:rsidRPr="00AA2E04">
              <w:rPr>
                <w:rFonts w:ascii="Trebuchet MS" w:hAnsi="Trebuchet MS"/>
                <w:bCs/>
                <w:sz w:val="20"/>
                <w:szCs w:val="20"/>
                <w:lang w:val="en-US"/>
              </w:rPr>
              <w:t xml:space="preserve">. Vol. </w:t>
            </w:r>
            <w:r w:rsidRPr="00AA2E04">
              <w:rPr>
                <w:rFonts w:ascii="Trebuchet MS" w:hAnsi="Trebuchet MS"/>
                <w:b/>
                <w:bCs/>
                <w:sz w:val="20"/>
                <w:szCs w:val="20"/>
                <w:lang w:val="en-US"/>
              </w:rPr>
              <w:t>269</w:t>
            </w:r>
            <w:r w:rsidRPr="00AA2E04">
              <w:rPr>
                <w:rFonts w:ascii="Trebuchet MS" w:hAnsi="Trebuchet MS"/>
                <w:bCs/>
                <w:sz w:val="20"/>
                <w:szCs w:val="20"/>
                <w:lang w:val="en-US"/>
              </w:rPr>
              <w:t>, Nº 45, Issue of November 11:27900-27906.</w:t>
            </w:r>
          </w:p>
        </w:tc>
      </w:tr>
      <w:tr w:rsidR="00AF6EFC" w:rsidRPr="00C87882" w:rsidTr="00C14921">
        <w:tc>
          <w:tcPr>
            <w:tcW w:w="5000" w:type="pct"/>
            <w:vAlign w:val="center"/>
          </w:tcPr>
          <w:p w:rsidR="00AF6EFC" w:rsidRPr="00AA2E04" w:rsidRDefault="00AF6EFC" w:rsidP="00C14921">
            <w:pPr>
              <w:jc w:val="both"/>
              <w:rPr>
                <w:rFonts w:ascii="Trebuchet MS" w:hAnsi="Trebuchet MS"/>
                <w:sz w:val="20"/>
                <w:szCs w:val="20"/>
                <w:lang w:val="en-US"/>
              </w:rPr>
            </w:pPr>
          </w:p>
        </w:tc>
      </w:tr>
      <w:tr w:rsidR="00AF6EFC" w:rsidRPr="00C87882" w:rsidTr="00C14921">
        <w:tc>
          <w:tcPr>
            <w:tcW w:w="5000" w:type="pct"/>
            <w:vAlign w:val="center"/>
          </w:tcPr>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s-ES_tradnl"/>
              </w:rPr>
              <w:t xml:space="preserve">Van de Graaff, K. M. (2001). </w:t>
            </w:r>
            <w:r w:rsidRPr="00AA2E04">
              <w:rPr>
                <w:rFonts w:ascii="Trebuchet MS" w:hAnsi="Trebuchet MS"/>
                <w:i/>
                <w:sz w:val="20"/>
                <w:szCs w:val="20"/>
                <w:lang w:val="en-US"/>
              </w:rPr>
              <w:t>Human Anatomy – Sixth Edition</w:t>
            </w:r>
            <w:r w:rsidRPr="00AA2E04">
              <w:rPr>
                <w:rFonts w:ascii="Trebuchet MS" w:hAnsi="Trebuchet MS"/>
                <w:sz w:val="20"/>
                <w:szCs w:val="20"/>
                <w:lang w:val="en-US"/>
              </w:rPr>
              <w:t>, The McGraw−Hill Companies. pp. 357-501.</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jc w:val="both"/>
              <w:rPr>
                <w:rFonts w:ascii="Trebuchet MS" w:hAnsi="Trebuchet MS"/>
                <w:bCs/>
                <w:sz w:val="20"/>
                <w:szCs w:val="20"/>
                <w:lang w:val="en-US"/>
              </w:rPr>
            </w:pPr>
            <w:r w:rsidRPr="00AA2E04">
              <w:rPr>
                <w:rFonts w:ascii="Trebuchet MS" w:hAnsi="Trebuchet MS"/>
                <w:sz w:val="20"/>
                <w:szCs w:val="20"/>
                <w:lang w:val="en-US"/>
              </w:rPr>
              <w:t xml:space="preserve">Wang, C., Lee, J.J., Jung, H.-H. </w:t>
            </w:r>
            <w:proofErr w:type="gramStart"/>
            <w:r w:rsidRPr="00AA2E04">
              <w:rPr>
                <w:rFonts w:ascii="Trebuchet MS" w:hAnsi="Trebuchet MS"/>
                <w:sz w:val="20"/>
                <w:szCs w:val="20"/>
                <w:lang w:val="en-US"/>
              </w:rPr>
              <w:t>and</w:t>
            </w:r>
            <w:proofErr w:type="gramEnd"/>
            <w:r w:rsidRPr="00AA2E04">
              <w:rPr>
                <w:rFonts w:ascii="Trebuchet MS" w:hAnsi="Trebuchet MS"/>
                <w:sz w:val="20"/>
                <w:szCs w:val="20"/>
                <w:lang w:val="en-US"/>
              </w:rPr>
              <w:t xml:space="preserve"> Zuo, Z. (2007). </w:t>
            </w:r>
            <w:r w:rsidRPr="00AA2E04">
              <w:rPr>
                <w:rFonts w:ascii="Trebuchet MS" w:hAnsi="Trebuchet MS"/>
                <w:bCs/>
                <w:sz w:val="20"/>
                <w:szCs w:val="20"/>
                <w:lang w:val="en-US"/>
              </w:rPr>
              <w:t>Pretreatment with volatile anesthetics, but not with the nonimmobilizer 1</w:t>
            </w:r>
            <w:proofErr w:type="gramStart"/>
            <w:r w:rsidRPr="00AA2E04">
              <w:rPr>
                <w:rFonts w:ascii="Trebuchet MS" w:hAnsi="Trebuchet MS"/>
                <w:bCs/>
                <w:sz w:val="20"/>
                <w:szCs w:val="20"/>
                <w:lang w:val="en-US"/>
              </w:rPr>
              <w:t>,2</w:t>
            </w:r>
            <w:proofErr w:type="gramEnd"/>
            <w:r w:rsidRPr="00AA2E04">
              <w:rPr>
                <w:rFonts w:ascii="Trebuchet MS" w:hAnsi="Trebuchet MS"/>
                <w:bCs/>
                <w:sz w:val="20"/>
                <w:szCs w:val="20"/>
                <w:lang w:val="en-US"/>
              </w:rPr>
              <w:t xml:space="preserve">-dichlorohexafluorocyclobutane, reduced cell injury in rat cerebellar slices after an </w:t>
            </w:r>
            <w:r w:rsidR="00194A32" w:rsidRPr="00AA2E04">
              <w:rPr>
                <w:rFonts w:ascii="Trebuchet MS" w:hAnsi="Trebuchet MS"/>
                <w:bCs/>
                <w:i/>
                <w:iCs/>
                <w:sz w:val="20"/>
                <w:szCs w:val="20"/>
                <w:lang w:val="en-US"/>
              </w:rPr>
              <w:t xml:space="preserve">in vitro </w:t>
            </w:r>
            <w:r w:rsidRPr="00AA2E04">
              <w:rPr>
                <w:rFonts w:ascii="Trebuchet MS" w:hAnsi="Trebuchet MS"/>
                <w:bCs/>
                <w:sz w:val="20"/>
                <w:szCs w:val="20"/>
                <w:lang w:val="en-US"/>
              </w:rPr>
              <w:t xml:space="preserve">simulated ischemia. </w:t>
            </w:r>
            <w:r w:rsidRPr="00AA2E04">
              <w:rPr>
                <w:rFonts w:ascii="Trebuchet MS" w:hAnsi="Trebuchet MS"/>
                <w:bCs/>
                <w:i/>
                <w:iCs/>
                <w:sz w:val="20"/>
                <w:szCs w:val="20"/>
                <w:lang w:val="en-US"/>
              </w:rPr>
              <w:t>Brain Res</w:t>
            </w:r>
            <w:r w:rsidRPr="00AA2E04">
              <w:rPr>
                <w:rFonts w:ascii="Trebuchet MS" w:hAnsi="Trebuchet MS"/>
                <w:bCs/>
                <w:i/>
                <w:sz w:val="20"/>
                <w:szCs w:val="20"/>
                <w:lang w:val="en-US"/>
              </w:rPr>
              <w:t xml:space="preserve">. 4. </w:t>
            </w:r>
            <w:r w:rsidRPr="00AA2E04">
              <w:rPr>
                <w:rFonts w:ascii="Trebuchet MS" w:hAnsi="Trebuchet MS"/>
                <w:b/>
                <w:bCs/>
                <w:sz w:val="20"/>
                <w:szCs w:val="20"/>
                <w:lang w:val="en-US"/>
              </w:rPr>
              <w:t>1152</w:t>
            </w:r>
            <w:r w:rsidRPr="00AA2E04">
              <w:rPr>
                <w:rFonts w:ascii="Trebuchet MS" w:hAnsi="Trebuchet MS"/>
                <w:bCs/>
                <w:sz w:val="20"/>
                <w:szCs w:val="20"/>
                <w:lang w:val="en-US"/>
              </w:rPr>
              <w:t>: 201–208.</w:t>
            </w:r>
          </w:p>
          <w:p w:rsidR="00AF6EFC" w:rsidRPr="00AA2E04" w:rsidRDefault="00AF6EFC" w:rsidP="00C14921">
            <w:pPr>
              <w:jc w:val="both"/>
              <w:rPr>
                <w:rFonts w:ascii="Trebuchet MS" w:hAnsi="Trebuchet MS"/>
                <w:bCs/>
                <w:sz w:val="20"/>
                <w:szCs w:val="20"/>
                <w:lang w:val="en-US"/>
              </w:rPr>
            </w:pPr>
          </w:p>
          <w:p w:rsidR="00AF6EFC" w:rsidRPr="00AA2E04" w:rsidRDefault="00AF6EFC" w:rsidP="00C14921">
            <w:pPr>
              <w:autoSpaceDE w:val="0"/>
              <w:autoSpaceDN w:val="0"/>
              <w:adjustRightInd w:val="0"/>
              <w:jc w:val="both"/>
              <w:rPr>
                <w:rFonts w:ascii="Trebuchet MS" w:hAnsi="Trebuchet MS" w:cs="AdvGillSan-L"/>
                <w:sz w:val="20"/>
                <w:szCs w:val="20"/>
                <w:lang w:val="en-US"/>
              </w:rPr>
            </w:pPr>
            <w:r w:rsidRPr="00AA2E04">
              <w:rPr>
                <w:rFonts w:ascii="Trebuchet MS" w:hAnsi="Trebuchet MS" w:cs="AdvGillSan-L"/>
                <w:sz w:val="20"/>
                <w:szCs w:val="20"/>
                <w:lang w:val="en-US"/>
              </w:rPr>
              <w:t xml:space="preserve">Wang, C.Z. and Johnson, K.M. (2007). The Role of Caspase-3 Activation in Phencyclidine-Induced Neuronal Death in Postnatal Rats. </w:t>
            </w:r>
            <w:r w:rsidRPr="00AA2E04">
              <w:rPr>
                <w:rFonts w:ascii="Trebuchet MS" w:hAnsi="Trebuchet MS" w:cs="AdvGillSan-B"/>
                <w:i/>
                <w:sz w:val="20"/>
                <w:szCs w:val="20"/>
                <w:lang w:val="en-US"/>
              </w:rPr>
              <w:t>Neuropsychopharmacology</w:t>
            </w:r>
            <w:r w:rsidRPr="00AA2E04">
              <w:rPr>
                <w:rFonts w:ascii="Trebuchet MS" w:hAnsi="Trebuchet MS" w:cs="AdvGillSan-B"/>
                <w:sz w:val="20"/>
                <w:szCs w:val="20"/>
                <w:lang w:val="en-US"/>
              </w:rPr>
              <w:t xml:space="preserve">. </w:t>
            </w:r>
            <w:r w:rsidRPr="00AA2E04">
              <w:rPr>
                <w:rFonts w:ascii="Trebuchet MS" w:hAnsi="Trebuchet MS" w:cs="AdvGillSan-B"/>
                <w:b/>
                <w:sz w:val="20"/>
                <w:szCs w:val="20"/>
                <w:lang w:val="en-US"/>
              </w:rPr>
              <w:t>32</w:t>
            </w:r>
            <w:r w:rsidRPr="00AA2E04">
              <w:rPr>
                <w:rFonts w:ascii="Trebuchet MS" w:hAnsi="Trebuchet MS" w:cs="AdvGillSan-B"/>
                <w:sz w:val="20"/>
                <w:szCs w:val="20"/>
                <w:lang w:val="en-US"/>
              </w:rPr>
              <w:t xml:space="preserve">: </w:t>
            </w:r>
            <w:r w:rsidRPr="00AA2E04">
              <w:rPr>
                <w:rFonts w:ascii="Trebuchet MS" w:hAnsi="Trebuchet MS" w:cs="AdvGillSan-L"/>
                <w:sz w:val="20"/>
                <w:szCs w:val="20"/>
                <w:lang w:val="en-US"/>
              </w:rPr>
              <w:t>1178–1194.</w:t>
            </w:r>
          </w:p>
          <w:p w:rsidR="00AF6EFC" w:rsidRPr="00AA2E04" w:rsidRDefault="00AF6EFC" w:rsidP="00C14921">
            <w:pPr>
              <w:jc w:val="both"/>
              <w:rPr>
                <w:rFonts w:ascii="Trebuchet MS" w:hAnsi="Trebuchet MS"/>
                <w:bCs/>
                <w:sz w:val="20"/>
                <w:szCs w:val="20"/>
                <w:lang w:val="en-US"/>
              </w:rPr>
            </w:pPr>
          </w:p>
          <w:p w:rsidR="00AF6EFC" w:rsidRPr="00AA2E04" w:rsidRDefault="00AF6EFC" w:rsidP="00C14921">
            <w:pPr>
              <w:autoSpaceDE w:val="0"/>
              <w:autoSpaceDN w:val="0"/>
              <w:adjustRightInd w:val="0"/>
              <w:jc w:val="both"/>
              <w:rPr>
                <w:rFonts w:ascii="Trebuchet MS" w:hAnsi="Trebuchet MS" w:cs="AdvPSTim"/>
                <w:sz w:val="20"/>
                <w:szCs w:val="20"/>
              </w:rPr>
            </w:pPr>
            <w:r w:rsidRPr="00AA2E04">
              <w:rPr>
                <w:rFonts w:ascii="Trebuchet MS" w:hAnsi="Trebuchet MS" w:cs="AdvPSTim"/>
                <w:sz w:val="20"/>
                <w:szCs w:val="20"/>
                <w:lang w:val="en-US"/>
              </w:rPr>
              <w:t xml:space="preserve">Wang, Z.-Q., Liao, J. and Diwu, Z. (2005). N-DEVD-N´-morpholinecarbonyl-rhodamine 110: novel caspase-3 fluorogenic substrates for cell-based apoptosis assay. </w:t>
            </w:r>
            <w:r w:rsidRPr="00AA2E04">
              <w:rPr>
                <w:rFonts w:ascii="Trebuchet MS" w:hAnsi="Trebuchet MS" w:cs="AdvPSTim"/>
                <w:i/>
                <w:sz w:val="20"/>
                <w:szCs w:val="20"/>
                <w:lang w:val="en-US"/>
              </w:rPr>
              <w:t>Bioorganic &amp; Medicinal Chemistry Letters.</w:t>
            </w:r>
            <w:r w:rsidRPr="00AA2E04">
              <w:rPr>
                <w:rFonts w:ascii="Trebuchet MS" w:hAnsi="Trebuchet MS" w:cs="AdvPSTim"/>
                <w:sz w:val="20"/>
                <w:szCs w:val="20"/>
                <w:lang w:val="en-US"/>
              </w:rPr>
              <w:t xml:space="preserve"> </w:t>
            </w:r>
            <w:r w:rsidRPr="00AA2E04">
              <w:rPr>
                <w:rFonts w:ascii="Trebuchet MS" w:hAnsi="Trebuchet MS" w:cs="AdvPSTim"/>
                <w:b/>
                <w:sz w:val="20"/>
                <w:szCs w:val="20"/>
              </w:rPr>
              <w:t>15</w:t>
            </w:r>
            <w:r w:rsidRPr="00AA2E04">
              <w:rPr>
                <w:rFonts w:ascii="Trebuchet MS" w:hAnsi="Trebuchet MS" w:cs="AdvPSTim"/>
                <w:sz w:val="20"/>
                <w:szCs w:val="20"/>
              </w:rPr>
              <w:t>: 2335– 2338.</w:t>
            </w:r>
          </w:p>
          <w:p w:rsidR="00AF6EFC" w:rsidRPr="00AA2E04" w:rsidRDefault="00AF6EFC" w:rsidP="00C14921">
            <w:pPr>
              <w:jc w:val="both"/>
              <w:rPr>
                <w:rFonts w:ascii="Trebuchet MS" w:hAnsi="Trebuchet MS"/>
                <w:sz w:val="20"/>
                <w:szCs w:val="20"/>
                <w:lang w:val="en-US"/>
              </w:rPr>
            </w:pPr>
          </w:p>
        </w:tc>
      </w:tr>
      <w:tr w:rsidR="00AF6EFC" w:rsidRPr="00C309B0" w:rsidTr="00C14921">
        <w:tc>
          <w:tcPr>
            <w:tcW w:w="5000" w:type="pct"/>
            <w:vAlign w:val="center"/>
          </w:tcPr>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Xu, G.-P., Dave, K. R., Vivero, R., Schmidt-Kastner, R., Sick, T. J. and Pérez-Pinzón, M. (2002). </w:t>
            </w:r>
            <w:proofErr w:type="gramStart"/>
            <w:r w:rsidRPr="00AA2E04">
              <w:rPr>
                <w:rFonts w:ascii="Trebuchet MS" w:hAnsi="Trebuchet MS"/>
                <w:sz w:val="20"/>
                <w:szCs w:val="20"/>
                <w:lang w:val="en-US"/>
              </w:rPr>
              <w:t>Improvement in neuronal survival after ischemic preconditioning in hippocampal slice</w:t>
            </w:r>
            <w:proofErr w:type="gramEnd"/>
            <w:r w:rsidRPr="00AA2E04">
              <w:rPr>
                <w:rFonts w:ascii="Trebuchet MS" w:hAnsi="Trebuchet MS"/>
                <w:sz w:val="20"/>
                <w:szCs w:val="20"/>
                <w:lang w:val="en-US"/>
              </w:rPr>
              <w:t xml:space="preserve"> cultures. </w:t>
            </w:r>
            <w:r w:rsidRPr="00AA2E04">
              <w:rPr>
                <w:rFonts w:ascii="Trebuchet MS" w:hAnsi="Trebuchet MS"/>
                <w:i/>
                <w:sz w:val="20"/>
                <w:szCs w:val="20"/>
                <w:lang w:val="en-US"/>
              </w:rPr>
              <w:t>Brain Research.</w:t>
            </w:r>
            <w:r w:rsidRPr="00AA2E04">
              <w:rPr>
                <w:rFonts w:ascii="Trebuchet MS" w:hAnsi="Trebuchet MS"/>
                <w:sz w:val="20"/>
                <w:szCs w:val="20"/>
                <w:lang w:val="en-US"/>
              </w:rPr>
              <w:t xml:space="preserve"> </w:t>
            </w:r>
            <w:r w:rsidRPr="00AA2E04">
              <w:rPr>
                <w:rFonts w:ascii="Trebuchet MS" w:hAnsi="Trebuchet MS"/>
                <w:b/>
                <w:sz w:val="20"/>
                <w:szCs w:val="20"/>
                <w:lang w:val="en-US"/>
              </w:rPr>
              <w:t>952</w:t>
            </w:r>
            <w:r w:rsidRPr="00AA2E04">
              <w:rPr>
                <w:rFonts w:ascii="Trebuchet MS" w:hAnsi="Trebuchet MS"/>
                <w:sz w:val="20"/>
                <w:szCs w:val="20"/>
                <w:lang w:val="en-US"/>
              </w:rPr>
              <w:t>: 153–158.</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bCs/>
                <w:sz w:val="20"/>
                <w:szCs w:val="20"/>
                <w:lang w:val="en-US"/>
              </w:rPr>
            </w:pPr>
            <w:r w:rsidRPr="00AA2E04">
              <w:rPr>
                <w:rFonts w:ascii="Trebuchet MS" w:hAnsi="Trebuchet MS"/>
                <w:bCs/>
                <w:sz w:val="20"/>
                <w:szCs w:val="20"/>
                <w:lang w:val="en-US"/>
              </w:rPr>
              <w:t xml:space="preserve">Xue, Q.-S., Yu, B.-W., Wang, Z.-J. </w:t>
            </w:r>
            <w:proofErr w:type="gramStart"/>
            <w:r w:rsidRPr="00AA2E04">
              <w:rPr>
                <w:rFonts w:ascii="Trebuchet MS" w:hAnsi="Trebuchet MS"/>
                <w:bCs/>
                <w:sz w:val="20"/>
                <w:szCs w:val="20"/>
                <w:lang w:val="en-US"/>
              </w:rPr>
              <w:t>and</w:t>
            </w:r>
            <w:proofErr w:type="gramEnd"/>
            <w:r w:rsidRPr="00AA2E04">
              <w:rPr>
                <w:rFonts w:ascii="Trebuchet MS" w:hAnsi="Trebuchet MS"/>
                <w:bCs/>
                <w:sz w:val="20"/>
                <w:szCs w:val="20"/>
                <w:lang w:val="en-US"/>
              </w:rPr>
              <w:t xml:space="preserve"> Chen, H.-Z. (2004). Effects of ketamine, midazolam, thiopental, and propofol on brain ischemia injury in rat cerebral cortical slices. </w:t>
            </w:r>
            <w:r w:rsidRPr="00AA2E04">
              <w:rPr>
                <w:rFonts w:ascii="Trebuchet MS" w:hAnsi="Trebuchet MS"/>
                <w:bCs/>
                <w:i/>
                <w:sz w:val="20"/>
                <w:szCs w:val="20"/>
                <w:lang w:val="en-US"/>
              </w:rPr>
              <w:t>Acta Pharm</w:t>
            </w:r>
            <w:r w:rsidRPr="00AA2E04">
              <w:rPr>
                <w:rFonts w:ascii="Trebuchet MS" w:hAnsi="Trebuchet MS"/>
                <w:bCs/>
                <w:i/>
                <w:sz w:val="20"/>
                <w:szCs w:val="20"/>
                <w:lang w:val="en-US"/>
              </w:rPr>
              <w:t>a</w:t>
            </w:r>
            <w:r w:rsidRPr="00AA2E04">
              <w:rPr>
                <w:rFonts w:ascii="Trebuchet MS" w:hAnsi="Trebuchet MS"/>
                <w:bCs/>
                <w:i/>
                <w:sz w:val="20"/>
                <w:szCs w:val="20"/>
                <w:lang w:val="en-US"/>
              </w:rPr>
              <w:t>col Sin</w:t>
            </w:r>
            <w:r w:rsidRPr="00AA2E04">
              <w:rPr>
                <w:rFonts w:ascii="Trebuchet MS" w:hAnsi="Trebuchet MS"/>
                <w:bCs/>
                <w:sz w:val="20"/>
                <w:szCs w:val="20"/>
                <w:lang w:val="en-US"/>
              </w:rPr>
              <w:t xml:space="preserve">. </w:t>
            </w:r>
            <w:r w:rsidRPr="00AA2E04">
              <w:rPr>
                <w:rFonts w:ascii="Trebuchet MS" w:hAnsi="Trebuchet MS"/>
                <w:b/>
                <w:bCs/>
                <w:sz w:val="20"/>
                <w:szCs w:val="20"/>
                <w:lang w:val="en-US"/>
              </w:rPr>
              <w:t>25 (1)</w:t>
            </w:r>
            <w:r w:rsidRPr="00AA2E04">
              <w:rPr>
                <w:rFonts w:ascii="Trebuchet MS" w:hAnsi="Trebuchet MS"/>
                <w:bCs/>
                <w:sz w:val="20"/>
                <w:szCs w:val="20"/>
                <w:lang w:val="en-US"/>
              </w:rPr>
              <w:t>: 115-120.</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Yao, Z. and Gross, G. J. (1994). Activation of ATP-sensitive potassium channels lowers thr</w:t>
            </w:r>
            <w:r w:rsidRPr="00AA2E04">
              <w:rPr>
                <w:rFonts w:ascii="Trebuchet MS" w:hAnsi="Trebuchet MS"/>
                <w:sz w:val="20"/>
                <w:szCs w:val="20"/>
                <w:lang w:val="en-US"/>
              </w:rPr>
              <w:t>e</w:t>
            </w:r>
            <w:r w:rsidRPr="00AA2E04">
              <w:rPr>
                <w:rFonts w:ascii="Trebuchet MS" w:hAnsi="Trebuchet MS"/>
                <w:sz w:val="20"/>
                <w:szCs w:val="20"/>
                <w:lang w:val="en-US"/>
              </w:rPr>
              <w:t xml:space="preserve">shold for ischemic preconditioning in dogs. </w:t>
            </w:r>
            <w:r w:rsidRPr="00AA2E04">
              <w:rPr>
                <w:rFonts w:ascii="Trebuchet MS" w:hAnsi="Trebuchet MS"/>
                <w:i/>
                <w:iCs/>
                <w:sz w:val="20"/>
                <w:szCs w:val="20"/>
                <w:lang w:val="en-US"/>
              </w:rPr>
              <w:t>Am. J. Physiol.</w:t>
            </w:r>
            <w:r w:rsidRPr="00AA2E04">
              <w:rPr>
                <w:rFonts w:ascii="Trebuchet MS" w:hAnsi="Trebuchet MS"/>
                <w:iCs/>
                <w:sz w:val="20"/>
                <w:szCs w:val="20"/>
                <w:lang w:val="en-US"/>
              </w:rPr>
              <w:t xml:space="preserve"> Volume </w:t>
            </w:r>
            <w:r w:rsidRPr="00AA2E04">
              <w:rPr>
                <w:rFonts w:ascii="Trebuchet MS" w:hAnsi="Trebuchet MS"/>
                <w:b/>
                <w:sz w:val="20"/>
                <w:szCs w:val="20"/>
                <w:lang w:val="en-US"/>
              </w:rPr>
              <w:t>267</w:t>
            </w:r>
            <w:r w:rsidRPr="00AA2E04">
              <w:rPr>
                <w:rFonts w:ascii="Trebuchet MS" w:hAnsi="Trebuchet MS"/>
                <w:sz w:val="20"/>
                <w:szCs w:val="20"/>
                <w:lang w:val="en-US"/>
              </w:rPr>
              <w:t>: H1888-H1894.</w:t>
            </w:r>
          </w:p>
          <w:p w:rsidR="00AF6EFC" w:rsidRPr="00AA2E04" w:rsidRDefault="00AF6EFC" w:rsidP="00C14921">
            <w:pPr>
              <w:shd w:val="clear" w:color="auto" w:fill="FFFFFF"/>
              <w:jc w:val="both"/>
              <w:rPr>
                <w:rFonts w:ascii="Trebuchet MS" w:hAnsi="Trebuchet MS" w:cs="HelveticaNeue-Italic"/>
                <w:iCs/>
                <w:sz w:val="20"/>
                <w:szCs w:val="20"/>
                <w:lang w:val="en-US"/>
              </w:rPr>
            </w:pPr>
          </w:p>
          <w:p w:rsidR="00AF6EFC" w:rsidRPr="00AA2E04" w:rsidRDefault="00AF6EFC" w:rsidP="00C14921">
            <w:pPr>
              <w:shd w:val="clear" w:color="auto" w:fill="FFFFFF"/>
              <w:jc w:val="both"/>
              <w:rPr>
                <w:rFonts w:ascii="Trebuchet MS" w:hAnsi="Trebuchet MS"/>
                <w:sz w:val="20"/>
                <w:szCs w:val="20"/>
                <w:lang w:val="en-US" w:eastAsia="pt-PT"/>
              </w:rPr>
            </w:pPr>
            <w:r w:rsidRPr="00AA2E04">
              <w:rPr>
                <w:rFonts w:ascii="Trebuchet MS" w:hAnsi="Trebuchet MS" w:cs="HelveticaNeue-Italic"/>
                <w:iCs/>
                <w:sz w:val="20"/>
                <w:szCs w:val="20"/>
                <w:lang w:val="en-US"/>
              </w:rPr>
              <w:t>Yuan, H.-B., Huang, Y., Zheng, S. and Zuo</w:t>
            </w:r>
            <w:proofErr w:type="gramStart"/>
            <w:r w:rsidRPr="00AA2E04">
              <w:rPr>
                <w:rFonts w:ascii="Trebuchet MS" w:hAnsi="Trebuchet MS" w:cs="HelveticaNeue-Italic"/>
                <w:iCs/>
                <w:sz w:val="20"/>
                <w:szCs w:val="20"/>
                <w:lang w:val="en-US"/>
              </w:rPr>
              <w:t>,Z</w:t>
            </w:r>
            <w:proofErr w:type="gramEnd"/>
            <w:r w:rsidRPr="00AA2E04">
              <w:rPr>
                <w:rFonts w:ascii="Trebuchet MS" w:hAnsi="Trebuchet MS" w:cs="HelveticaNeue-Italic"/>
                <w:iCs/>
                <w:sz w:val="20"/>
                <w:szCs w:val="20"/>
                <w:lang w:val="en-US"/>
              </w:rPr>
              <w:t xml:space="preserve">. (2004).  </w:t>
            </w:r>
            <w:r w:rsidRPr="00AA2E04">
              <w:rPr>
                <w:rFonts w:ascii="Trebuchet MS" w:hAnsi="Trebuchet MS" w:cs="Garamond-BoldItalic"/>
                <w:bCs/>
                <w:iCs/>
                <w:sz w:val="20"/>
                <w:szCs w:val="20"/>
                <w:lang w:val="en-US"/>
              </w:rPr>
              <w:t xml:space="preserve">Hypothermic Preconditioning Increases Survival of Purkinje Neurons in Rat Cerebellar Slices after an </w:t>
            </w:r>
            <w:r w:rsidR="00194A32" w:rsidRPr="00AA2E04">
              <w:rPr>
                <w:rFonts w:ascii="Trebuchet MS" w:hAnsi="Trebuchet MS" w:cs="Garamond-Bold"/>
                <w:bCs/>
                <w:i/>
                <w:sz w:val="20"/>
                <w:szCs w:val="20"/>
                <w:lang w:val="en-US"/>
              </w:rPr>
              <w:t xml:space="preserve">In vitro </w:t>
            </w:r>
            <w:r w:rsidRPr="00AA2E04">
              <w:rPr>
                <w:rFonts w:ascii="Trebuchet MS" w:hAnsi="Trebuchet MS" w:cs="Garamond-BoldItalic"/>
                <w:bCs/>
                <w:iCs/>
                <w:sz w:val="20"/>
                <w:szCs w:val="20"/>
                <w:lang w:val="en-US"/>
              </w:rPr>
              <w:t xml:space="preserve">Simulated Ischemia. </w:t>
            </w:r>
            <w:r w:rsidRPr="00AA2E04">
              <w:rPr>
                <w:rFonts w:ascii="Trebuchet MS" w:hAnsi="Trebuchet MS" w:cs="Garamond-Book"/>
                <w:i/>
                <w:sz w:val="20"/>
                <w:szCs w:val="20"/>
                <w:lang w:val="en-US"/>
              </w:rPr>
              <w:t>Anesthesiology</w:t>
            </w:r>
            <w:r w:rsidRPr="00AA2E04">
              <w:rPr>
                <w:rFonts w:ascii="Trebuchet MS" w:hAnsi="Trebuchet MS" w:cs="Garamond-Book"/>
                <w:sz w:val="20"/>
                <w:szCs w:val="20"/>
                <w:lang w:val="en-US"/>
              </w:rPr>
              <w:t xml:space="preserve">. Volume </w:t>
            </w:r>
            <w:r w:rsidRPr="00AA2E04">
              <w:rPr>
                <w:rFonts w:ascii="Trebuchet MS" w:hAnsi="Trebuchet MS" w:cs="Garamond-Book"/>
                <w:b/>
                <w:sz w:val="20"/>
                <w:szCs w:val="20"/>
                <w:lang w:val="en-US"/>
              </w:rPr>
              <w:t>100</w:t>
            </w:r>
            <w:r w:rsidRPr="00AA2E04">
              <w:rPr>
                <w:rFonts w:ascii="Trebuchet MS" w:hAnsi="Trebuchet MS" w:cs="Garamond-Book"/>
                <w:sz w:val="20"/>
                <w:szCs w:val="20"/>
                <w:lang w:val="en-US"/>
              </w:rPr>
              <w:t>: 331–7.</w:t>
            </w:r>
          </w:p>
          <w:p w:rsidR="00AF6EFC" w:rsidRPr="00AA2E04" w:rsidRDefault="00AF6EFC" w:rsidP="00C14921">
            <w:pPr>
              <w:jc w:val="both"/>
              <w:rPr>
                <w:rFonts w:ascii="Trebuchet MS" w:hAnsi="Trebuchet MS"/>
                <w:sz w:val="20"/>
                <w:szCs w:val="20"/>
                <w:lang w:val="en-US"/>
              </w:rPr>
            </w:pPr>
          </w:p>
        </w:tc>
      </w:tr>
      <w:tr w:rsidR="00AF6EFC" w:rsidRPr="00AA2E04" w:rsidTr="00C14921">
        <w:tc>
          <w:tcPr>
            <w:tcW w:w="5000" w:type="pct"/>
            <w:vAlign w:val="center"/>
          </w:tcPr>
          <w:p w:rsidR="00A66DA5" w:rsidRPr="00AA2E04" w:rsidRDefault="00A66DA5" w:rsidP="00C14921">
            <w:pPr>
              <w:jc w:val="both"/>
              <w:rPr>
                <w:rFonts w:ascii="Trebuchet MS" w:hAnsi="Trebuchet MS"/>
                <w:sz w:val="20"/>
                <w:szCs w:val="20"/>
                <w:lang w:val="en-US"/>
              </w:rPr>
            </w:pPr>
            <w:r w:rsidRPr="00AA2E04">
              <w:rPr>
                <w:rFonts w:ascii="Trebuchet MS" w:hAnsi="Trebuchet MS"/>
                <w:sz w:val="20"/>
                <w:szCs w:val="20"/>
                <w:lang w:val="en-US"/>
              </w:rPr>
              <w:t>Zemke, D., Smith, J. L., Reeves, M. J. and Majid, A. (2004)</w:t>
            </w:r>
            <w:r w:rsidR="00546BCF" w:rsidRPr="00AA2E04">
              <w:rPr>
                <w:rFonts w:ascii="Trebuchet MS" w:hAnsi="Trebuchet MS"/>
                <w:sz w:val="20"/>
                <w:szCs w:val="20"/>
                <w:lang w:val="en-US"/>
              </w:rPr>
              <w:t>.</w:t>
            </w:r>
            <w:r w:rsidRPr="00AA2E04">
              <w:rPr>
                <w:rFonts w:ascii="Trebuchet MS" w:hAnsi="Trebuchet MS"/>
                <w:sz w:val="20"/>
                <w:szCs w:val="20"/>
                <w:lang w:val="en-US"/>
              </w:rPr>
              <w:t xml:space="preserve"> </w:t>
            </w:r>
            <w:r w:rsidR="00546BCF" w:rsidRPr="00AA2E04">
              <w:rPr>
                <w:rFonts w:ascii="Trebuchet MS" w:hAnsi="Trebuchet MS"/>
                <w:sz w:val="20"/>
                <w:szCs w:val="20"/>
                <w:lang w:val="en-US"/>
              </w:rPr>
              <w:t xml:space="preserve">Ischemia and Ischemic Tolerance in the Brain: an Overview. </w:t>
            </w:r>
            <w:r w:rsidR="00546BCF" w:rsidRPr="00AA2E04">
              <w:rPr>
                <w:rFonts w:ascii="Trebuchet MS" w:hAnsi="Trebuchet MS"/>
                <w:i/>
                <w:sz w:val="20"/>
                <w:szCs w:val="20"/>
                <w:lang w:val="en-US"/>
              </w:rPr>
              <w:t>NeuroToxicology.</w:t>
            </w:r>
            <w:r w:rsidR="00546BCF" w:rsidRPr="00AA2E04">
              <w:rPr>
                <w:rFonts w:ascii="Trebuchet MS" w:hAnsi="Trebuchet MS"/>
                <w:sz w:val="20"/>
                <w:szCs w:val="20"/>
                <w:lang w:val="en-US"/>
              </w:rPr>
              <w:t xml:space="preserve"> </w:t>
            </w:r>
            <w:r w:rsidR="00546BCF" w:rsidRPr="00AA2E04">
              <w:rPr>
                <w:rFonts w:ascii="Trebuchet MS" w:hAnsi="Trebuchet MS"/>
                <w:b/>
                <w:sz w:val="20"/>
                <w:szCs w:val="20"/>
                <w:lang w:val="en-US"/>
              </w:rPr>
              <w:t>25</w:t>
            </w:r>
            <w:r w:rsidR="00546BCF" w:rsidRPr="00AA2E04">
              <w:rPr>
                <w:rFonts w:ascii="Trebuchet MS" w:hAnsi="Trebuchet MS"/>
                <w:sz w:val="20"/>
                <w:szCs w:val="20"/>
                <w:lang w:val="en-US"/>
              </w:rPr>
              <w:t>: 895–904.</w:t>
            </w:r>
          </w:p>
          <w:p w:rsidR="00A66DA5" w:rsidRPr="00AA2E04" w:rsidRDefault="00A66DA5" w:rsidP="00C14921">
            <w:pPr>
              <w:jc w:val="both"/>
              <w:rPr>
                <w:rFonts w:ascii="Trebuchet MS" w:hAnsi="Trebuchet MS"/>
                <w:sz w:val="20"/>
                <w:szCs w:val="20"/>
                <w:lang w:val="en-US"/>
              </w:rPr>
            </w:pPr>
          </w:p>
          <w:p w:rsidR="00AF6EFC" w:rsidRPr="00AA2E04" w:rsidRDefault="00AF6EFC" w:rsidP="00C14921">
            <w:pPr>
              <w:jc w:val="both"/>
              <w:rPr>
                <w:rFonts w:ascii="Trebuchet MS" w:hAnsi="Trebuchet MS" w:cs="Garamond-Book"/>
                <w:sz w:val="20"/>
                <w:szCs w:val="20"/>
                <w:lang w:val="en-US"/>
              </w:rPr>
            </w:pPr>
            <w:r w:rsidRPr="00AA2E04">
              <w:rPr>
                <w:rFonts w:ascii="Trebuchet MS" w:hAnsi="Trebuchet MS"/>
                <w:sz w:val="20"/>
                <w:szCs w:val="20"/>
                <w:lang w:val="en-US"/>
              </w:rPr>
              <w:t xml:space="preserve">Zhang, C., Rosenbaum, D. M., Shaikh, A. R., Li, Q., </w:t>
            </w:r>
            <w:r w:rsidRPr="00AA2E04">
              <w:rPr>
                <w:rFonts w:ascii="Trebuchet MS" w:hAnsi="Trebuchet MS" w:cs="Garamond-BookItalic"/>
                <w:iCs/>
                <w:sz w:val="20"/>
                <w:szCs w:val="20"/>
                <w:lang w:val="en-US"/>
              </w:rPr>
              <w:t>Rosenbaum, P. S.,</w:t>
            </w:r>
            <w:r w:rsidRPr="00AA2E04">
              <w:rPr>
                <w:rFonts w:ascii="Trebuchet MS" w:hAnsi="Trebuchet MS" w:cs="Garamond-Book"/>
                <w:sz w:val="20"/>
                <w:szCs w:val="20"/>
                <w:lang w:val="en-US"/>
              </w:rPr>
              <w:t xml:space="preserve"> </w:t>
            </w:r>
            <w:r w:rsidRPr="00AA2E04">
              <w:rPr>
                <w:rFonts w:ascii="Trebuchet MS" w:hAnsi="Trebuchet MS" w:cs="Garamond-BookItalic"/>
                <w:iCs/>
                <w:sz w:val="20"/>
                <w:szCs w:val="20"/>
                <w:lang w:val="en-US"/>
              </w:rPr>
              <w:t xml:space="preserve">Pelham D. J., and Roth S. (2002). </w:t>
            </w:r>
            <w:r w:rsidRPr="00AA2E04">
              <w:rPr>
                <w:rFonts w:ascii="Trebuchet MS" w:hAnsi="Trebuchet MS" w:cs="Garamond-Bold"/>
                <w:bCs/>
                <w:sz w:val="20"/>
                <w:szCs w:val="20"/>
                <w:lang w:val="en-US"/>
              </w:rPr>
              <w:t xml:space="preserve">Ischemic Preconditioning Attenuates Apoptotic Cell Death in the Rat Retina. </w:t>
            </w:r>
            <w:r w:rsidRPr="00AA2E04">
              <w:rPr>
                <w:rFonts w:ascii="Trebuchet MS" w:hAnsi="Trebuchet MS" w:cs="Garamond-Book"/>
                <w:i/>
                <w:sz w:val="20"/>
                <w:szCs w:val="20"/>
                <w:lang w:val="en-US"/>
              </w:rPr>
              <w:t>Inve</w:t>
            </w:r>
            <w:r w:rsidRPr="00AA2E04">
              <w:rPr>
                <w:rFonts w:ascii="Trebuchet MS" w:hAnsi="Trebuchet MS" w:cs="Garamond-Book"/>
                <w:i/>
                <w:sz w:val="20"/>
                <w:szCs w:val="20"/>
                <w:lang w:val="en-US"/>
              </w:rPr>
              <w:t>s</w:t>
            </w:r>
            <w:r w:rsidRPr="00AA2E04">
              <w:rPr>
                <w:rFonts w:ascii="Trebuchet MS" w:hAnsi="Trebuchet MS" w:cs="Garamond-Book"/>
                <w:i/>
                <w:sz w:val="20"/>
                <w:szCs w:val="20"/>
                <w:lang w:val="en-US"/>
              </w:rPr>
              <w:t>tigative Ophthalmology &amp; Visual Science</w:t>
            </w:r>
            <w:r w:rsidRPr="00AA2E04">
              <w:rPr>
                <w:rFonts w:ascii="Trebuchet MS" w:hAnsi="Trebuchet MS" w:cs="Garamond-Book"/>
                <w:sz w:val="20"/>
                <w:szCs w:val="20"/>
                <w:lang w:val="en-US"/>
              </w:rPr>
              <w:t xml:space="preserve">. Vol. </w:t>
            </w:r>
            <w:r w:rsidRPr="00AA2E04">
              <w:rPr>
                <w:rFonts w:ascii="Trebuchet MS" w:hAnsi="Trebuchet MS" w:cs="Garamond-Book"/>
                <w:b/>
                <w:sz w:val="20"/>
                <w:szCs w:val="20"/>
                <w:lang w:val="en-US"/>
              </w:rPr>
              <w:t>43</w:t>
            </w:r>
            <w:r w:rsidRPr="00AA2E04">
              <w:rPr>
                <w:rFonts w:ascii="Trebuchet MS" w:hAnsi="Trebuchet MS" w:cs="Garamond-Book"/>
                <w:sz w:val="20"/>
                <w:szCs w:val="20"/>
                <w:lang w:val="en-US"/>
              </w:rPr>
              <w:t>, Nº 9.</w:t>
            </w:r>
          </w:p>
          <w:p w:rsidR="00AF6EFC" w:rsidRPr="00AA2E04" w:rsidRDefault="00AF6EFC" w:rsidP="00C14921">
            <w:pPr>
              <w:jc w:val="both"/>
              <w:rPr>
                <w:rFonts w:ascii="Trebuchet MS" w:hAnsi="Trebuchet MS" w:cs="Garamond-Bold"/>
                <w:bC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cs="Arial"/>
                <w:bCs/>
                <w:sz w:val="20"/>
                <w:szCs w:val="20"/>
                <w:lang w:val="en-US"/>
              </w:rPr>
              <w:t>Zhang</w:t>
            </w:r>
            <w:r w:rsidRPr="00AA2E04">
              <w:rPr>
                <w:rFonts w:ascii="Trebuchet MS" w:hAnsi="Trebuchet MS" w:cs="Arial"/>
                <w:sz w:val="20"/>
                <w:szCs w:val="20"/>
                <w:lang w:val="en-US"/>
              </w:rPr>
              <w:t>, H.,</w:t>
            </w:r>
            <w:r w:rsidRPr="00AA2E04">
              <w:rPr>
                <w:rFonts w:ascii="Trebuchet MS" w:hAnsi="Trebuchet MS" w:cs="Arial"/>
                <w:bCs/>
                <w:sz w:val="20"/>
                <w:szCs w:val="20"/>
                <w:lang w:val="en-US"/>
              </w:rPr>
              <w:t xml:space="preserve"> Schools</w:t>
            </w:r>
            <w:r w:rsidRPr="00AA2E04">
              <w:rPr>
                <w:rFonts w:ascii="Trebuchet MS" w:hAnsi="Trebuchet MS" w:cs="Arial"/>
                <w:sz w:val="20"/>
                <w:szCs w:val="20"/>
                <w:lang w:val="en-US"/>
              </w:rPr>
              <w:t xml:space="preserve">, </w:t>
            </w:r>
            <w:r w:rsidRPr="00AA2E04">
              <w:rPr>
                <w:rFonts w:ascii="Trebuchet MS" w:hAnsi="Trebuchet MS" w:cs="Arial"/>
                <w:bCs/>
                <w:sz w:val="20"/>
                <w:szCs w:val="20"/>
                <w:lang w:val="en-US"/>
              </w:rPr>
              <w:t>Lei</w:t>
            </w:r>
            <w:r w:rsidRPr="00AA2E04">
              <w:rPr>
                <w:rFonts w:ascii="Trebuchet MS" w:hAnsi="Trebuchet MS" w:cs="Arial"/>
                <w:sz w:val="20"/>
                <w:szCs w:val="20"/>
                <w:lang w:val="en-US"/>
              </w:rPr>
              <w:t xml:space="preserve">, T., Wang, W., Kimelberg, H. and Zhou, M. (2008). </w:t>
            </w:r>
            <w:r w:rsidRPr="00AA2E04">
              <w:rPr>
                <w:rFonts w:ascii="Trebuchet MS" w:hAnsi="Trebuchet MS" w:cs="Arial"/>
                <w:bCs/>
                <w:sz w:val="20"/>
                <w:szCs w:val="20"/>
                <w:lang w:val="en-US"/>
              </w:rPr>
              <w:t>Resveratrol att</w:t>
            </w:r>
            <w:r w:rsidRPr="00AA2E04">
              <w:rPr>
                <w:rFonts w:ascii="Trebuchet MS" w:hAnsi="Trebuchet MS" w:cs="Arial"/>
                <w:bCs/>
                <w:sz w:val="20"/>
                <w:szCs w:val="20"/>
                <w:lang w:val="en-US"/>
              </w:rPr>
              <w:t>e</w:t>
            </w:r>
            <w:r w:rsidRPr="00AA2E04">
              <w:rPr>
                <w:rFonts w:ascii="Trebuchet MS" w:hAnsi="Trebuchet MS" w:cs="Arial"/>
                <w:bCs/>
                <w:sz w:val="20"/>
                <w:szCs w:val="20"/>
                <w:lang w:val="en-US"/>
              </w:rPr>
              <w:t xml:space="preserve">nuates early pyramidal neuron excitability impairment and death in acute rat hippocampal slices caused by oxygen-glucose deprivation. </w:t>
            </w:r>
            <w:r w:rsidRPr="00AA2E04">
              <w:rPr>
                <w:rFonts w:ascii="Trebuchet MS" w:hAnsi="Trebuchet MS"/>
                <w:i/>
                <w:iCs/>
                <w:sz w:val="20"/>
                <w:szCs w:val="20"/>
                <w:lang w:val="en-US"/>
              </w:rPr>
              <w:t>Exp Neurol</w:t>
            </w:r>
            <w:r w:rsidRPr="00AA2E04">
              <w:rPr>
                <w:rFonts w:ascii="Trebuchet MS" w:hAnsi="Trebuchet MS"/>
                <w:i/>
                <w:sz w:val="20"/>
                <w:szCs w:val="20"/>
                <w:lang w:val="en-US"/>
              </w:rPr>
              <w:t>.</w:t>
            </w:r>
            <w:r w:rsidRPr="00AA2E04">
              <w:rPr>
                <w:rFonts w:ascii="Trebuchet MS" w:hAnsi="Trebuchet MS"/>
                <w:sz w:val="20"/>
                <w:szCs w:val="20"/>
                <w:lang w:val="en-US"/>
              </w:rPr>
              <w:t xml:space="preserve">  </w:t>
            </w:r>
            <w:r w:rsidRPr="00AA2E04">
              <w:rPr>
                <w:rFonts w:ascii="Trebuchet MS" w:hAnsi="Trebuchet MS"/>
                <w:b/>
                <w:sz w:val="20"/>
                <w:szCs w:val="20"/>
                <w:lang w:val="en-US"/>
              </w:rPr>
              <w:t>212 (1):</w:t>
            </w:r>
            <w:r w:rsidRPr="00AA2E04">
              <w:rPr>
                <w:rFonts w:ascii="Trebuchet MS" w:hAnsi="Trebuchet MS"/>
                <w:sz w:val="20"/>
                <w:szCs w:val="20"/>
                <w:lang w:val="en-US"/>
              </w:rPr>
              <w:t xml:space="preserve"> 44–52.</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Zheng, S. and Zuo, Z. (2003). Isoflurane preconditioning reduces Purkinje cell death in an </w:t>
            </w:r>
            <w:r w:rsidR="00194A32" w:rsidRPr="00AA2E04">
              <w:rPr>
                <w:rFonts w:ascii="Trebuchet MS" w:hAnsi="Trebuchet MS"/>
                <w:i/>
                <w:sz w:val="20"/>
                <w:szCs w:val="20"/>
                <w:lang w:val="en-US"/>
              </w:rPr>
              <w:t xml:space="preserve">in vitro </w:t>
            </w:r>
            <w:r w:rsidRPr="00AA2E04">
              <w:rPr>
                <w:rFonts w:ascii="Trebuchet MS" w:hAnsi="Trebuchet MS"/>
                <w:sz w:val="20"/>
                <w:szCs w:val="20"/>
                <w:lang w:val="en-US"/>
              </w:rPr>
              <w:t xml:space="preserve">model of rat cerebellar ischemia. </w:t>
            </w:r>
            <w:r w:rsidRPr="00AA2E04">
              <w:rPr>
                <w:rFonts w:ascii="Trebuchet MS" w:hAnsi="Trebuchet MS"/>
                <w:i/>
                <w:sz w:val="20"/>
                <w:szCs w:val="20"/>
                <w:lang w:val="en-US"/>
              </w:rPr>
              <w:t>Neuroscience.</w:t>
            </w:r>
            <w:r w:rsidRPr="00AA2E04">
              <w:rPr>
                <w:rFonts w:ascii="Trebuchet MS" w:hAnsi="Trebuchet MS"/>
                <w:sz w:val="20"/>
                <w:szCs w:val="20"/>
                <w:lang w:val="en-US"/>
              </w:rPr>
              <w:t xml:space="preserve"> </w:t>
            </w:r>
            <w:r w:rsidRPr="00AA2E04">
              <w:rPr>
                <w:rFonts w:ascii="Trebuchet MS" w:hAnsi="Trebuchet MS"/>
                <w:b/>
                <w:sz w:val="20"/>
                <w:szCs w:val="20"/>
                <w:lang w:val="en-US"/>
              </w:rPr>
              <w:t>118</w:t>
            </w:r>
            <w:r w:rsidRPr="00AA2E04">
              <w:rPr>
                <w:rFonts w:ascii="Trebuchet MS" w:hAnsi="Trebuchet MS"/>
                <w:sz w:val="20"/>
                <w:szCs w:val="20"/>
                <w:lang w:val="en-US"/>
              </w:rPr>
              <w:t>:99–106.</w:t>
            </w:r>
          </w:p>
          <w:p w:rsidR="00AF6EFC" w:rsidRPr="00AA2E04" w:rsidRDefault="00AF6EFC" w:rsidP="00C14921">
            <w:pPr>
              <w:autoSpaceDE w:val="0"/>
              <w:autoSpaceDN w:val="0"/>
              <w:adjustRightInd w:val="0"/>
              <w:jc w:val="both"/>
              <w:rPr>
                <w:rFonts w:ascii="Trebuchet MS" w:hAnsi="Trebuchet MS"/>
                <w:sz w:val="20"/>
                <w:szCs w:val="20"/>
                <w:lang w:val="en-US"/>
              </w:rPr>
            </w:pPr>
          </w:p>
          <w:p w:rsidR="00AF6EFC" w:rsidRPr="00AA2E04" w:rsidRDefault="00AF6EFC" w:rsidP="00C14921">
            <w:pPr>
              <w:autoSpaceDE w:val="0"/>
              <w:autoSpaceDN w:val="0"/>
              <w:adjustRightInd w:val="0"/>
              <w:jc w:val="both"/>
              <w:rPr>
                <w:rFonts w:ascii="Trebuchet MS" w:hAnsi="Trebuchet MS"/>
                <w:sz w:val="20"/>
                <w:szCs w:val="20"/>
                <w:lang w:val="en-US"/>
              </w:rPr>
            </w:pPr>
            <w:r w:rsidRPr="00AA2E04">
              <w:rPr>
                <w:rFonts w:ascii="Trebuchet MS" w:hAnsi="Trebuchet MS"/>
                <w:sz w:val="20"/>
                <w:szCs w:val="20"/>
                <w:lang w:val="en-US"/>
              </w:rPr>
              <w:t xml:space="preserve">Zheng, S. and Zuo, Z. (2004). Isoflurane preconditioning induces neuroprotection against ischemia via activation of p38 mitogen-activated protein kinase. </w:t>
            </w:r>
            <w:r w:rsidRPr="00AA2E04">
              <w:rPr>
                <w:rFonts w:ascii="Trebuchet MS" w:hAnsi="Trebuchet MS"/>
                <w:i/>
                <w:sz w:val="20"/>
                <w:szCs w:val="20"/>
                <w:lang w:val="en-US"/>
              </w:rPr>
              <w:t>Mol Pharmacol</w:t>
            </w:r>
            <w:r w:rsidRPr="00AA2E04">
              <w:rPr>
                <w:rFonts w:ascii="Trebuchet MS" w:hAnsi="Trebuchet MS"/>
                <w:sz w:val="20"/>
                <w:szCs w:val="20"/>
                <w:lang w:val="en-US"/>
              </w:rPr>
              <w:t xml:space="preserve">. </w:t>
            </w:r>
            <w:r w:rsidRPr="00AA2E04">
              <w:rPr>
                <w:rFonts w:ascii="Trebuchet MS" w:hAnsi="Trebuchet MS"/>
                <w:b/>
                <w:sz w:val="20"/>
                <w:szCs w:val="20"/>
                <w:lang w:val="en-US"/>
              </w:rPr>
              <w:t>65</w:t>
            </w:r>
            <w:r w:rsidRPr="00AA2E04">
              <w:rPr>
                <w:rFonts w:ascii="Trebuchet MS" w:hAnsi="Trebuchet MS"/>
                <w:sz w:val="20"/>
                <w:szCs w:val="20"/>
                <w:lang w:val="en-US"/>
              </w:rPr>
              <w:t>:1172–</w:t>
            </w:r>
            <w:r w:rsidRPr="00AA2E04">
              <w:rPr>
                <w:rFonts w:ascii="Trebuchet MS" w:hAnsi="Trebuchet MS"/>
                <w:sz w:val="20"/>
                <w:szCs w:val="20"/>
                <w:lang w:val="en-US"/>
              </w:rPr>
              <w:lastRenderedPageBreak/>
              <w:t xml:space="preserve">1180. </w:t>
            </w:r>
          </w:p>
          <w:p w:rsidR="00AF6EFC" w:rsidRPr="00AA2E04" w:rsidRDefault="00AF6EFC" w:rsidP="00C14921">
            <w:pPr>
              <w:jc w:val="both"/>
              <w:rPr>
                <w:rFonts w:ascii="Trebuchet MS" w:hAnsi="Trebuchet MS"/>
                <w:sz w:val="20"/>
                <w:szCs w:val="20"/>
                <w:lang w:val="en-US"/>
              </w:rPr>
            </w:pPr>
          </w:p>
          <w:p w:rsidR="00AF6EFC" w:rsidRPr="00AA2E04" w:rsidRDefault="00AF6EFC" w:rsidP="00C14921">
            <w:pPr>
              <w:jc w:val="both"/>
              <w:rPr>
                <w:rFonts w:ascii="Trebuchet MS" w:hAnsi="Trebuchet MS"/>
                <w:sz w:val="20"/>
                <w:szCs w:val="20"/>
                <w:lang w:val="en-US"/>
              </w:rPr>
            </w:pPr>
            <w:r w:rsidRPr="00AA2E04">
              <w:rPr>
                <w:rFonts w:ascii="Trebuchet MS" w:hAnsi="Trebuchet MS"/>
                <w:sz w:val="20"/>
                <w:szCs w:val="20"/>
                <w:lang w:val="en-US"/>
              </w:rPr>
              <w:t xml:space="preserve">Zhou, Q.-Y., Li, C., Olah, M., E., Johnson, R. A., Stiles, G. L. and Civelli, O. (1992). Molecular cloning and characterization of an adenosine receptor: The A3 adenosine receptor. </w:t>
            </w:r>
            <w:r w:rsidRPr="00AA2E04">
              <w:rPr>
                <w:rFonts w:ascii="Trebuchet MS" w:hAnsi="Trebuchet MS"/>
                <w:i/>
                <w:sz w:val="20"/>
                <w:szCs w:val="20"/>
                <w:lang w:val="en-US"/>
              </w:rPr>
              <w:t>Proc. N</w:t>
            </w:r>
            <w:r w:rsidRPr="00AA2E04">
              <w:rPr>
                <w:rFonts w:ascii="Trebuchet MS" w:hAnsi="Trebuchet MS"/>
                <w:i/>
                <w:sz w:val="20"/>
                <w:szCs w:val="20"/>
                <w:lang w:val="en-US"/>
              </w:rPr>
              <w:t>a</w:t>
            </w:r>
            <w:r w:rsidRPr="00AA2E04">
              <w:rPr>
                <w:rFonts w:ascii="Trebuchet MS" w:hAnsi="Trebuchet MS"/>
                <w:i/>
                <w:sz w:val="20"/>
                <w:szCs w:val="20"/>
                <w:lang w:val="en-US"/>
              </w:rPr>
              <w:t>tI. Acad. Sci. USA</w:t>
            </w:r>
            <w:r w:rsidRPr="00AA2E04">
              <w:rPr>
                <w:rFonts w:ascii="Trebuchet MS" w:hAnsi="Trebuchet MS"/>
                <w:sz w:val="20"/>
                <w:szCs w:val="20"/>
                <w:lang w:val="en-US"/>
              </w:rPr>
              <w:t xml:space="preserve">. Vol. </w:t>
            </w:r>
            <w:r w:rsidRPr="00AA2E04">
              <w:rPr>
                <w:rFonts w:ascii="Trebuchet MS" w:hAnsi="Trebuchet MS"/>
                <w:b/>
                <w:sz w:val="20"/>
                <w:szCs w:val="20"/>
                <w:lang w:val="en-US"/>
              </w:rPr>
              <w:t>89</w:t>
            </w:r>
            <w:r w:rsidRPr="00AA2E04">
              <w:rPr>
                <w:rFonts w:ascii="Trebuchet MS" w:hAnsi="Trebuchet MS"/>
                <w:sz w:val="20"/>
                <w:szCs w:val="20"/>
                <w:lang w:val="en-US"/>
              </w:rPr>
              <w:t>: 7432-7436.</w:t>
            </w:r>
          </w:p>
        </w:tc>
      </w:tr>
    </w:tbl>
    <w:p w:rsidR="00786841" w:rsidRPr="00751D14" w:rsidRDefault="00786841" w:rsidP="00D91CD8">
      <w:pPr>
        <w:pStyle w:val="Corpodetexto"/>
        <w:rPr>
          <w:rFonts w:ascii="Trebuchet MS" w:hAnsi="Trebuchet MS"/>
        </w:rPr>
      </w:pPr>
    </w:p>
    <w:sectPr w:rsidR="00786841" w:rsidRPr="00751D14" w:rsidSect="00622BDB">
      <w:headerReference w:type="default" r:id="rId78"/>
      <w:footerReference w:type="default" r:id="rId79"/>
      <w:pgSz w:w="11906" w:h="16838"/>
      <w:pgMar w:top="1418" w:right="1416" w:bottom="1418" w:left="1985" w:header="851"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765A" w:rsidRDefault="009F765A">
      <w:r>
        <w:separator/>
      </w:r>
    </w:p>
  </w:endnote>
  <w:endnote w:type="continuationSeparator" w:id="0">
    <w:p w:rsidR="009F765A" w:rsidRDefault="009F765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Papyrus">
    <w:panose1 w:val="03070502060502030205"/>
    <w:charset w:val="00"/>
    <w:family w:val="script"/>
    <w:pitch w:val="variable"/>
    <w:sig w:usb0="00000003" w:usb1="00000000" w:usb2="00000000" w:usb3="00000000" w:csb0="00000001" w:csb1="00000000"/>
  </w:font>
  <w:font w:name="Tahoma">
    <w:panose1 w:val="020B0604030504040204"/>
    <w:charset w:val="00"/>
    <w:family w:val="swiss"/>
    <w:pitch w:val="variable"/>
    <w:sig w:usb0="E1002A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andara">
    <w:panose1 w:val="020E0502030303020204"/>
    <w:charset w:val="00"/>
    <w:family w:val="swiss"/>
    <w:pitch w:val="variable"/>
    <w:sig w:usb0="A00002EF" w:usb1="4000204B" w:usb2="00000000" w:usb3="00000000" w:csb0="0000009F" w:csb1="00000000"/>
  </w:font>
  <w:font w:name="AdvTimes">
    <w:panose1 w:val="00000000000000000000"/>
    <w:charset w:val="00"/>
    <w:family w:val="auto"/>
    <w:notTrueType/>
    <w:pitch w:val="default"/>
    <w:sig w:usb0="00000003" w:usb1="00000000" w:usb2="00000000" w:usb3="00000000" w:csb0="00000001" w:csb1="00000000"/>
  </w:font>
  <w:font w:name="Garamond-Book">
    <w:panose1 w:val="00000000000000000000"/>
    <w:charset w:val="00"/>
    <w:family w:val="roman"/>
    <w:notTrueType/>
    <w:pitch w:val="default"/>
    <w:sig w:usb0="00000003" w:usb1="00000000" w:usb2="00000000" w:usb3="00000000" w:csb0="00000001" w:csb1="00000000"/>
  </w:font>
  <w:font w:name="AdvTT5843c571">
    <w:panose1 w:val="00000000000000000000"/>
    <w:charset w:val="00"/>
    <w:family w:val="roman"/>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NewCenturySchlbk-Roman">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AdvMINION-R">
    <w:panose1 w:val="00000000000000000000"/>
    <w:charset w:val="00"/>
    <w:family w:val="roman"/>
    <w:notTrueType/>
    <w:pitch w:val="default"/>
    <w:sig w:usb0="00000003" w:usb1="00000000" w:usb2="00000000" w:usb3="00000000" w:csb0="00000001" w:csb1="00000000"/>
  </w:font>
  <w:font w:name="ComicSansMS">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RMT">
    <w:panose1 w:val="00000000000000000000"/>
    <w:charset w:val="00"/>
    <w:family w:val="roman"/>
    <w:notTrueType/>
    <w:pitch w:val="default"/>
    <w:sig w:usb0="00000003" w:usb1="00000000" w:usb2="00000000" w:usb3="00000000" w:csb0="00000001" w:csb1="00000000"/>
  </w:font>
  <w:font w:name="Palatino-Roman">
    <w:panose1 w:val="00000000000000000000"/>
    <w:charset w:val="00"/>
    <w:family w:val="roman"/>
    <w:notTrueType/>
    <w:pitch w:val="default"/>
    <w:sig w:usb0="00000003" w:usb1="00000000" w:usb2="00000000" w:usb3="00000000" w:csb0="00000001" w:csb1="00000000"/>
  </w:font>
  <w:font w:name="AdvTT6120e2aa">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AdvPSTim">
    <w:panose1 w:val="00000000000000000000"/>
    <w:charset w:val="00"/>
    <w:family w:val="auto"/>
    <w:notTrueType/>
    <w:pitch w:val="default"/>
    <w:sig w:usb0="00000003" w:usb1="00000000" w:usb2="00000000" w:usb3="00000000" w:csb0="00000001" w:csb1="00000000"/>
  </w:font>
  <w:font w:name="AdvP41153C">
    <w:panose1 w:val="00000000000000000000"/>
    <w:charset w:val="00"/>
    <w:family w:val="roman"/>
    <w:notTrueType/>
    <w:pitch w:val="default"/>
    <w:sig w:usb0="00000003" w:usb1="00000000" w:usb2="00000000" w:usb3="00000000" w:csb0="00000001" w:csb1="00000000"/>
  </w:font>
  <w:font w:name="WarnockPro-Regular">
    <w:panose1 w:val="00000000000000000000"/>
    <w:charset w:val="00"/>
    <w:family w:val="auto"/>
    <w:notTrueType/>
    <w:pitch w:val="default"/>
    <w:sig w:usb0="00000003" w:usb1="00000000" w:usb2="00000000" w:usb3="00000000" w:csb0="00000001" w:csb1="00000000"/>
  </w:font>
  <w:font w:name="TimesNewRomanPS-BoldMT">
    <w:panose1 w:val="00000000000000000000"/>
    <w:charset w:val="00"/>
    <w:family w:val="roman"/>
    <w:notTrueType/>
    <w:pitch w:val="default"/>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MyriadMM-SemiBold">
    <w:panose1 w:val="00000000000000000000"/>
    <w:charset w:val="00"/>
    <w:family w:val="swiss"/>
    <w:notTrueType/>
    <w:pitch w:val="default"/>
    <w:sig w:usb0="00000003" w:usb1="00000000" w:usb2="00000000" w:usb3="00000000" w:csb0="00000001" w:csb1="00000000"/>
  </w:font>
  <w:font w:name="MyriadMM-Light">
    <w:panose1 w:val="00000000000000000000"/>
    <w:charset w:val="00"/>
    <w:family w:val="swiss"/>
    <w:notTrueType/>
    <w:pitch w:val="default"/>
    <w:sig w:usb0="00000003" w:usb1="00000000" w:usb2="00000000" w:usb3="00000000" w:csb0="00000001" w:csb1="00000000"/>
  </w:font>
  <w:font w:name="MathematicalPi-Four">
    <w:panose1 w:val="00000000000000000000"/>
    <w:charset w:val="00"/>
    <w:family w:val="auto"/>
    <w:notTrueType/>
    <w:pitch w:val="default"/>
    <w:sig w:usb0="00000003" w:usb1="00000000" w:usb2="00000000" w:usb3="00000000" w:csb0="00000001" w:csb1="00000000"/>
  </w:font>
  <w:font w:name="HelveticaNeue-Bold">
    <w:panose1 w:val="00000000000000000000"/>
    <w:charset w:val="00"/>
    <w:family w:val="swiss"/>
    <w:notTrueType/>
    <w:pitch w:val="default"/>
    <w:sig w:usb0="00000003" w:usb1="00000000" w:usb2="00000000" w:usb3="00000000" w:csb0="00000001" w:csb1="00000000"/>
  </w:font>
  <w:font w:name="HelveticaNeue-Roman">
    <w:panose1 w:val="00000000000000000000"/>
    <w:charset w:val="00"/>
    <w:family w:val="swiss"/>
    <w:notTrueType/>
    <w:pitch w:val="default"/>
    <w:sig w:usb0="00000003" w:usb1="00000000" w:usb2="00000000" w:usb3="00000000" w:csb0="00000001" w:csb1="00000000"/>
  </w:font>
  <w:font w:name="HelveticaNeue-Italic">
    <w:panose1 w:val="00000000000000000000"/>
    <w:charset w:val="00"/>
    <w:family w:val="swiss"/>
    <w:notTrueType/>
    <w:pitch w:val="default"/>
    <w:sig w:usb0="00000003" w:usb1="00000000" w:usb2="00000000" w:usb3="00000000" w:csb0="00000001" w:csb1="00000000"/>
  </w:font>
  <w:font w:name="TimesNewRoman">
    <w:panose1 w:val="00000000000000000000"/>
    <w:charset w:val="00"/>
    <w:family w:val="auto"/>
    <w:notTrueType/>
    <w:pitch w:val="default"/>
    <w:sig w:usb0="00000003" w:usb1="00000000" w:usb2="00000000" w:usb3="00000000" w:csb0="00000001" w:csb1="00000000"/>
  </w:font>
  <w:font w:name="GaramondThree">
    <w:panose1 w:val="00000000000000000000"/>
    <w:charset w:val="00"/>
    <w:family w:val="roman"/>
    <w:notTrueType/>
    <w:pitch w:val="default"/>
    <w:sig w:usb0="00000003" w:usb1="00000000" w:usb2="00000000" w:usb3="00000000" w:csb0="00000001" w:csb1="00000000"/>
  </w:font>
  <w:font w:name="GaramondThree-Italic">
    <w:panose1 w:val="00000000000000000000"/>
    <w:charset w:val="00"/>
    <w:family w:val="roman"/>
    <w:notTrueType/>
    <w:pitch w:val="default"/>
    <w:sig w:usb0="00000003" w:usb1="00000000" w:usb2="00000000" w:usb3="00000000" w:csb0="00000001" w:csb1="00000000"/>
  </w:font>
  <w:font w:name="GaramondThree-Bold">
    <w:panose1 w:val="00000000000000000000"/>
    <w:charset w:val="00"/>
    <w:family w:val="roman"/>
    <w:notTrueType/>
    <w:pitch w:val="default"/>
    <w:sig w:usb0="00000003" w:usb1="00000000" w:usb2="00000000" w:usb3="00000000" w:csb0="00000001" w:csb1="00000000"/>
  </w:font>
  <w:font w:name="AdvGillSan-L">
    <w:panose1 w:val="00000000000000000000"/>
    <w:charset w:val="00"/>
    <w:family w:val="swiss"/>
    <w:notTrueType/>
    <w:pitch w:val="default"/>
    <w:sig w:usb0="00000003" w:usb1="00000000" w:usb2="00000000" w:usb3="00000000" w:csb0="00000001" w:csb1="00000000"/>
  </w:font>
  <w:font w:name="MyriadMM-RegularCondensed">
    <w:panose1 w:val="00000000000000000000"/>
    <w:charset w:val="00"/>
    <w:family w:val="swiss"/>
    <w:notTrueType/>
    <w:pitch w:val="default"/>
    <w:sig w:usb0="00000003" w:usb1="00000000" w:usb2="00000000" w:usb3="00000000" w:csb0="00000001" w:csb1="00000000"/>
  </w:font>
  <w:font w:name="Times-Italic">
    <w:panose1 w:val="00000000000000000000"/>
    <w:charset w:val="00"/>
    <w:family w:val="auto"/>
    <w:notTrueType/>
    <w:pitch w:val="default"/>
    <w:sig w:usb0="00000003" w:usb1="00000000" w:usb2="00000000" w:usb3="00000000" w:csb0="00000001" w:csb1="00000000"/>
  </w:font>
  <w:font w:name="Times-Bold">
    <w:panose1 w:val="00000000000000000000"/>
    <w:charset w:val="00"/>
    <w:family w:val="auto"/>
    <w:notTrueType/>
    <w:pitch w:val="default"/>
    <w:sig w:usb0="00000003" w:usb1="00000000" w:usb2="00000000" w:usb3="00000000" w:csb0="00000001" w:csb1="00000000"/>
  </w:font>
  <w:font w:name="AdvSTSerif-R">
    <w:panose1 w:val="00000000000000000000"/>
    <w:charset w:val="00"/>
    <w:family w:val="roman"/>
    <w:notTrueType/>
    <w:pitch w:val="default"/>
    <w:sig w:usb0="00000003" w:usb1="00000000" w:usb2="00000000" w:usb3="00000000" w:csb0="00000001" w:csb1="00000000"/>
  </w:font>
  <w:font w:name="AdvSTSerif-I">
    <w:panose1 w:val="00000000000000000000"/>
    <w:charset w:val="00"/>
    <w:family w:val="roman"/>
    <w:notTrueType/>
    <w:pitch w:val="default"/>
    <w:sig w:usb0="00000003" w:usb1="00000000" w:usb2="00000000" w:usb3="00000000" w:csb0="00000001" w:csb1="00000000"/>
  </w:font>
  <w:font w:name="AdvStoneS-SB">
    <w:panose1 w:val="00000000000000000000"/>
    <w:charset w:val="00"/>
    <w:family w:val="roman"/>
    <w:notTrueType/>
    <w:pitch w:val="default"/>
    <w:sig w:usb0="00000003" w:usb1="00000000" w:usb2="00000000" w:usb3="00000000" w:csb0="00000001" w:csb1="00000000"/>
  </w:font>
  <w:font w:name="AdvP6EC5">
    <w:panose1 w:val="00000000000000000000"/>
    <w:charset w:val="00"/>
    <w:family w:val="auto"/>
    <w:notTrueType/>
    <w:pitch w:val="default"/>
    <w:sig w:usb0="00000003" w:usb1="00000000" w:usb2="00000000" w:usb3="00000000" w:csb0="00000001" w:csb1="00000000"/>
  </w:font>
  <w:font w:name="HelveticaNeue-Medium">
    <w:panose1 w:val="00000000000000000000"/>
    <w:charset w:val="00"/>
    <w:family w:val="swiss"/>
    <w:notTrueType/>
    <w:pitch w:val="default"/>
    <w:sig w:usb0="00000003" w:usb1="00000000" w:usb2="00000000" w:usb3="00000000" w:csb0="00000001" w:csb1="00000000"/>
  </w:font>
  <w:font w:name="Garamond-BoldItalic">
    <w:panose1 w:val="00000000000000000000"/>
    <w:charset w:val="00"/>
    <w:family w:val="roman"/>
    <w:notTrueType/>
    <w:pitch w:val="default"/>
    <w:sig w:usb0="00000003" w:usb1="00000000" w:usb2="00000000" w:usb3="00000000" w:csb0="00000001" w:csb1="00000000"/>
  </w:font>
  <w:font w:name="Garamond-Bold">
    <w:panose1 w:val="00000000000000000000"/>
    <w:charset w:val="00"/>
    <w:family w:val="roman"/>
    <w:notTrueType/>
    <w:pitch w:val="default"/>
    <w:sig w:usb0="00000003" w:usb1="00000000" w:usb2="00000000" w:usb3="00000000" w:csb0="00000001" w:csb1="00000000"/>
  </w:font>
  <w:font w:name="AdvP1628">
    <w:panose1 w:val="00000000000000000000"/>
    <w:charset w:val="00"/>
    <w:family w:val="auto"/>
    <w:notTrueType/>
    <w:pitch w:val="default"/>
    <w:sig w:usb0="00000003" w:usb1="00000000" w:usb2="00000000" w:usb3="00000000" w:csb0="00000001" w:csb1="00000000"/>
  </w:font>
  <w:font w:name="AdvP1627">
    <w:panose1 w:val="00000000000000000000"/>
    <w:charset w:val="00"/>
    <w:family w:val="auto"/>
    <w:notTrueType/>
    <w:pitch w:val="default"/>
    <w:sig w:usb0="00000003" w:usb1="00000000" w:usb2="00000000" w:usb3="00000000" w:csb0="00000001" w:csb1="00000000"/>
  </w:font>
  <w:font w:name="AdvNewsGothicB">
    <w:panose1 w:val="00000000000000000000"/>
    <w:charset w:val="00"/>
    <w:family w:val="swiss"/>
    <w:notTrueType/>
    <w:pitch w:val="default"/>
    <w:sig w:usb0="00000003" w:usb1="00000000" w:usb2="00000000" w:usb3="00000000" w:csb0="00000001" w:csb1="00000000"/>
  </w:font>
  <w:font w:name="Opddr-Bold">
    <w:panose1 w:val="00000000000000000000"/>
    <w:charset w:val="00"/>
    <w:family w:val="roman"/>
    <w:notTrueType/>
    <w:pitch w:val="default"/>
    <w:sig w:usb0="00000003" w:usb1="00000000" w:usb2="00000000" w:usb3="00000000" w:csb0="00000001" w:csb1="00000000"/>
  </w:font>
  <w:font w:name="OpddrDemi">
    <w:panose1 w:val="00000000000000000000"/>
    <w:charset w:val="00"/>
    <w:family w:val="roman"/>
    <w:notTrueType/>
    <w:pitch w:val="default"/>
    <w:sig w:usb0="00000003" w:usb1="00000000" w:usb2="00000000" w:usb3="00000000" w:csb0="00000001" w:csb1="00000000"/>
  </w:font>
  <w:font w:name="Universal-NewswithCommPi">
    <w:panose1 w:val="00000000000000000000"/>
    <w:charset w:val="00"/>
    <w:family w:val="auto"/>
    <w:notTrueType/>
    <w:pitch w:val="default"/>
    <w:sig w:usb0="00000003" w:usb1="00000000" w:usb2="00000000" w:usb3="00000000" w:csb0="00000001" w:csb1="00000000"/>
  </w:font>
  <w:font w:name="GillSans-Bold">
    <w:panose1 w:val="00000000000000000000"/>
    <w:charset w:val="00"/>
    <w:family w:val="auto"/>
    <w:notTrueType/>
    <w:pitch w:val="default"/>
    <w:sig w:usb0="00000003" w:usb1="00000000" w:usb2="00000000" w:usb3="00000000" w:csb0="00000001" w:csb1="00000000"/>
  </w:font>
  <w:font w:name="GillSans-Italic">
    <w:panose1 w:val="00000000000000000000"/>
    <w:charset w:val="00"/>
    <w:family w:val="auto"/>
    <w:notTrueType/>
    <w:pitch w:val="default"/>
    <w:sig w:usb0="00000003" w:usb1="00000000" w:usb2="00000000" w:usb3="00000000" w:csb0="00000001" w:csb1="00000000"/>
  </w:font>
  <w:font w:name="GillSans">
    <w:panose1 w:val="00000000000000000000"/>
    <w:charset w:val="00"/>
    <w:family w:val="auto"/>
    <w:notTrueType/>
    <w:pitch w:val="default"/>
    <w:sig w:usb0="00000003" w:usb1="00000000" w:usb2="00000000" w:usb3="00000000" w:csb0="00000001" w:csb1="00000000"/>
  </w:font>
  <w:font w:name="SymbolMT">
    <w:altName w:val="Times New Roman"/>
    <w:panose1 w:val="00000000000000000000"/>
    <w:charset w:val="A1"/>
    <w:family w:val="auto"/>
    <w:notTrueType/>
    <w:pitch w:val="default"/>
    <w:sig w:usb0="00000081" w:usb1="00000000" w:usb2="00000000" w:usb3="00000000" w:csb0="00000008" w:csb1="00000000"/>
  </w:font>
  <w:font w:name="AdvGillSan-B">
    <w:panose1 w:val="00000000000000000000"/>
    <w:charset w:val="00"/>
    <w:family w:val="swiss"/>
    <w:notTrueType/>
    <w:pitch w:val="default"/>
    <w:sig w:usb0="00000003" w:usb1="00000000" w:usb2="00000000" w:usb3="00000000" w:csb0="00000001" w:csb1="00000000"/>
  </w:font>
  <w:font w:name="Garamond-BookItalic">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EA7" w:rsidRPr="00537518" w:rsidRDefault="00046EA7" w:rsidP="0030296F">
    <w:pPr>
      <w:pStyle w:val="Rodap"/>
      <w:pBdr>
        <w:top w:val="thickThinSmallGap" w:sz="24" w:space="1" w:color="666699"/>
      </w:pBdr>
      <w:tabs>
        <w:tab w:val="left" w:pos="260"/>
      </w:tabs>
      <w:jc w:val="right"/>
      <w:rPr>
        <w:rFonts w:ascii="Trebuchet MS" w:hAnsi="Trebuchet MS"/>
        <w:color w:val="808080"/>
        <w:sz w:val="18"/>
        <w:szCs w:val="18"/>
      </w:rPr>
    </w:pPr>
    <w:r w:rsidRPr="00537518">
      <w:rPr>
        <w:rStyle w:val="Nmerodepgina"/>
        <w:rFonts w:ascii="Trebuchet MS" w:hAnsi="Trebuchet MS"/>
        <w:color w:val="808080"/>
        <w:sz w:val="18"/>
        <w:szCs w:val="18"/>
      </w:rPr>
      <w:t xml:space="preserve">- </w:t>
    </w:r>
    <w:r w:rsidRPr="00537518">
      <w:rPr>
        <w:rStyle w:val="Nmerodepgina"/>
        <w:rFonts w:ascii="Trebuchet MS" w:hAnsi="Trebuchet MS"/>
        <w:color w:val="808080"/>
        <w:sz w:val="18"/>
        <w:szCs w:val="18"/>
      </w:rPr>
      <w:fldChar w:fldCharType="begin"/>
    </w:r>
    <w:r w:rsidRPr="00537518">
      <w:rPr>
        <w:rStyle w:val="Nmerodepgina"/>
        <w:rFonts w:ascii="Trebuchet MS" w:hAnsi="Trebuchet MS"/>
        <w:color w:val="808080"/>
        <w:sz w:val="18"/>
        <w:szCs w:val="18"/>
      </w:rPr>
      <w:instrText xml:space="preserve"> PAGE </w:instrText>
    </w:r>
    <w:r w:rsidRPr="00537518">
      <w:rPr>
        <w:rStyle w:val="Nmerodepgina"/>
        <w:rFonts w:ascii="Trebuchet MS" w:hAnsi="Trebuchet MS"/>
        <w:color w:val="808080"/>
        <w:sz w:val="18"/>
        <w:szCs w:val="18"/>
      </w:rPr>
      <w:fldChar w:fldCharType="separate"/>
    </w:r>
    <w:r w:rsidR="001974DE">
      <w:rPr>
        <w:rStyle w:val="Nmerodepgina"/>
        <w:rFonts w:ascii="Trebuchet MS" w:hAnsi="Trebuchet MS"/>
        <w:noProof/>
        <w:color w:val="808080"/>
        <w:sz w:val="18"/>
        <w:szCs w:val="18"/>
      </w:rPr>
      <w:t>49</w:t>
    </w:r>
    <w:r w:rsidRPr="00537518">
      <w:rPr>
        <w:rStyle w:val="Nmerodepgina"/>
        <w:rFonts w:ascii="Trebuchet MS" w:hAnsi="Trebuchet MS"/>
        <w:color w:val="808080"/>
        <w:sz w:val="18"/>
        <w:szCs w:val="18"/>
      </w:rPr>
      <w:fldChar w:fldCharType="end"/>
    </w:r>
    <w:r w:rsidRPr="00537518">
      <w:rPr>
        <w:rStyle w:val="Nmerodepgina"/>
        <w:rFonts w:ascii="Trebuchet MS" w:hAnsi="Trebuchet MS"/>
        <w:color w:val="808080"/>
        <w:sz w:val="18"/>
        <w:szCs w:val="18"/>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765A" w:rsidRDefault="009F765A">
      <w:r>
        <w:separator/>
      </w:r>
    </w:p>
  </w:footnote>
  <w:footnote w:type="continuationSeparator" w:id="0">
    <w:p w:rsidR="009F765A" w:rsidRDefault="009F765A">
      <w:r>
        <w:continuationSeparator/>
      </w:r>
    </w:p>
  </w:footnote>
  <w:footnote w:id="1">
    <w:p w:rsidR="00046EA7" w:rsidRPr="009E323D" w:rsidRDefault="00046EA7" w:rsidP="00727764">
      <w:pPr>
        <w:pStyle w:val="Textodenotaderodap"/>
        <w:jc w:val="both"/>
        <w:rPr>
          <w:rFonts w:ascii="Trebuchet MS" w:hAnsi="Trebuchet MS"/>
          <w:sz w:val="18"/>
        </w:rPr>
      </w:pPr>
      <w:r w:rsidRPr="009E323D">
        <w:rPr>
          <w:rStyle w:val="Refdenotaderodap"/>
          <w:rFonts w:ascii="Trebuchet MS" w:hAnsi="Trebuchet MS"/>
          <w:sz w:val="18"/>
        </w:rPr>
        <w:footnoteRef/>
      </w:r>
      <w:r w:rsidRPr="009E323D">
        <w:rPr>
          <w:rFonts w:ascii="Trebuchet MS" w:hAnsi="Trebuchet MS"/>
          <w:sz w:val="18"/>
        </w:rPr>
        <w:t xml:space="preserve"> Halotano: anestésico inalatório.</w:t>
      </w:r>
    </w:p>
  </w:footnote>
  <w:footnote w:id="2">
    <w:p w:rsidR="00046EA7" w:rsidRPr="00954185" w:rsidRDefault="00046EA7" w:rsidP="00727764">
      <w:pPr>
        <w:pStyle w:val="Textodenotaderodap"/>
        <w:jc w:val="both"/>
        <w:rPr>
          <w:rFonts w:ascii="Candara" w:hAnsi="Candara"/>
        </w:rPr>
      </w:pPr>
      <w:r w:rsidRPr="009E323D">
        <w:rPr>
          <w:rStyle w:val="Refdenotaderodap"/>
          <w:rFonts w:ascii="Trebuchet MS" w:hAnsi="Trebuchet MS"/>
          <w:sz w:val="18"/>
        </w:rPr>
        <w:footnoteRef/>
      </w:r>
      <w:r w:rsidRPr="009E323D">
        <w:rPr>
          <w:rFonts w:ascii="Trebuchet MS" w:hAnsi="Trebuchet MS"/>
          <w:sz w:val="18"/>
        </w:rPr>
        <w:t xml:space="preserve"> </w:t>
      </w:r>
      <w:proofErr w:type="gramStart"/>
      <w:r w:rsidRPr="009E323D">
        <w:rPr>
          <w:rFonts w:ascii="Trebuchet MS" w:hAnsi="Trebuchet MS" w:cs="Arial"/>
          <w:color w:val="000000"/>
          <w:sz w:val="18"/>
        </w:rPr>
        <w:t>aCSF</w:t>
      </w:r>
      <w:proofErr w:type="gramEnd"/>
      <w:r w:rsidRPr="009E323D">
        <w:rPr>
          <w:rFonts w:ascii="Trebuchet MS" w:hAnsi="Trebuchet MS" w:cs="Arial"/>
          <w:color w:val="000000"/>
          <w:sz w:val="18"/>
        </w:rPr>
        <w:t xml:space="preserve"> - </w:t>
      </w:r>
      <w:r w:rsidRPr="009E323D">
        <w:rPr>
          <w:rStyle w:val="nfase"/>
          <w:rFonts w:ascii="Trebuchet MS" w:hAnsi="Trebuchet MS" w:cs="Arial"/>
          <w:color w:val="000000"/>
          <w:sz w:val="18"/>
        </w:rPr>
        <w:t>Fluído cérebro-espinal artificial</w:t>
      </w:r>
      <w:r w:rsidRPr="009E323D">
        <w:rPr>
          <w:rFonts w:ascii="Trebuchet MS" w:hAnsi="Trebuchet MS" w:cs="Arial"/>
          <w:color w:val="000000"/>
          <w:sz w:val="18"/>
        </w:rPr>
        <w:t xml:space="preserve"> consiste no tampão Krebs</w:t>
      </w:r>
      <w:r>
        <w:rPr>
          <w:rFonts w:ascii="Trebuchet MS" w:hAnsi="Trebuchet MS" w:cs="Arial"/>
          <w:color w:val="000000"/>
          <w:sz w:val="18"/>
        </w:rPr>
        <w:t xml:space="preserve"> - Henseleit</w:t>
      </w:r>
      <w:r w:rsidRPr="009E323D">
        <w:rPr>
          <w:rFonts w:ascii="Trebuchet MS" w:hAnsi="Trebuchet MS" w:cs="Arial"/>
          <w:color w:val="000000"/>
          <w:sz w:val="18"/>
        </w:rPr>
        <w:t>, ligeiramente modificado.</w:t>
      </w:r>
    </w:p>
  </w:footnote>
  <w:footnote w:id="3">
    <w:p w:rsidR="00046EA7" w:rsidRPr="00474E6A" w:rsidRDefault="00046EA7" w:rsidP="007F2525">
      <w:pPr>
        <w:jc w:val="both"/>
        <w:rPr>
          <w:rFonts w:ascii="Candara" w:hAnsi="Candara" w:cs="Arial"/>
          <w:color w:val="000000"/>
          <w:sz w:val="16"/>
          <w:szCs w:val="16"/>
          <w:shd w:val="clear" w:color="auto" w:fill="FFFFFF"/>
        </w:rPr>
      </w:pPr>
      <w:r w:rsidRPr="00474E6A">
        <w:rPr>
          <w:rStyle w:val="Refdenotaderodap"/>
          <w:rFonts w:ascii="Candara" w:hAnsi="Candara"/>
        </w:rPr>
        <w:footnoteRef/>
      </w:r>
      <w:r>
        <w:t xml:space="preserve"> </w:t>
      </w:r>
      <w:r w:rsidRPr="009E323D">
        <w:rPr>
          <w:rFonts w:ascii="Trebuchet MS" w:hAnsi="Trebuchet MS" w:cs="Arial"/>
          <w:b/>
          <w:color w:val="000000"/>
          <w:sz w:val="18"/>
          <w:szCs w:val="22"/>
          <w:shd w:val="clear" w:color="auto" w:fill="FFFFFF"/>
        </w:rPr>
        <w:t>Reperfusão</w:t>
      </w:r>
      <w:r w:rsidRPr="009E323D">
        <w:rPr>
          <w:rFonts w:ascii="Trebuchet MS" w:hAnsi="Trebuchet MS" w:cs="Arial"/>
          <w:color w:val="000000"/>
          <w:sz w:val="18"/>
          <w:szCs w:val="22"/>
          <w:shd w:val="clear" w:color="auto" w:fill="FFFFFF"/>
        </w:rPr>
        <w:t xml:space="preserve"> é o nome dado ao retorno do sangue a todos os órgãos que estiveram privados dele por algum tempo. Quando há anóxia ou hipóxia num tecido e a oxigenação retorna antes do “ponto de não retorno” é a reperfusão que pode devolver o tecido ao seu estado normal ou </w:t>
      </w:r>
      <w:r>
        <w:rPr>
          <w:rFonts w:ascii="Trebuchet MS" w:hAnsi="Trebuchet MS" w:cs="Arial"/>
          <w:color w:val="000000"/>
          <w:sz w:val="18"/>
          <w:szCs w:val="22"/>
          <w:shd w:val="clear" w:color="auto" w:fill="FFFFFF"/>
        </w:rPr>
        <w:t>induzir necrose</w:t>
      </w:r>
      <w:r w:rsidRPr="009E323D">
        <w:rPr>
          <w:rFonts w:ascii="Trebuchet MS" w:hAnsi="Trebuchet MS" w:cs="Arial"/>
          <w:color w:val="000000"/>
          <w:sz w:val="18"/>
          <w:szCs w:val="22"/>
          <w:shd w:val="clear" w:color="auto" w:fill="FFFFFF"/>
        </w:rPr>
        <w:t>/apoptose.</w:t>
      </w:r>
    </w:p>
  </w:footnote>
  <w:footnote w:id="4">
    <w:p w:rsidR="00046EA7" w:rsidRPr="000F5B51" w:rsidRDefault="00046EA7" w:rsidP="00581827">
      <w:pPr>
        <w:pStyle w:val="Textodenotaderodap"/>
        <w:jc w:val="both"/>
        <w:rPr>
          <w:rFonts w:ascii="Trebuchet MS" w:hAnsi="Trebuchet MS"/>
          <w:sz w:val="18"/>
          <w:szCs w:val="18"/>
        </w:rPr>
      </w:pPr>
      <w:r w:rsidRPr="000F5B51">
        <w:rPr>
          <w:rStyle w:val="Refdenotaderodap"/>
          <w:rFonts w:ascii="Trebuchet MS" w:hAnsi="Trebuchet MS"/>
          <w:sz w:val="18"/>
          <w:szCs w:val="18"/>
        </w:rPr>
        <w:footnoteRef/>
      </w:r>
      <w:r w:rsidRPr="000F5B51">
        <w:rPr>
          <w:rFonts w:ascii="Trebuchet MS" w:hAnsi="Trebuchet MS"/>
          <w:sz w:val="18"/>
          <w:szCs w:val="18"/>
        </w:rPr>
        <w:t xml:space="preserve"> </w:t>
      </w:r>
      <w:r w:rsidRPr="000F5B51">
        <w:rPr>
          <w:rFonts w:ascii="Trebuchet MS" w:eastAsiaTheme="minorHAnsi" w:hAnsi="Trebuchet MS" w:cs="AdvPSTim"/>
          <w:sz w:val="18"/>
          <w:szCs w:val="18"/>
        </w:rPr>
        <w:t>Ac-DEVD-AFC</w:t>
      </w:r>
      <w:r w:rsidRPr="000F5B51">
        <w:rPr>
          <w:rFonts w:ascii="Trebuchet MS" w:hAnsi="Trebuchet MS"/>
          <w:iCs/>
          <w:sz w:val="18"/>
          <w:szCs w:val="18"/>
        </w:rPr>
        <w:t>: N</w:t>
      </w:r>
      <w:r w:rsidRPr="000F5B51">
        <w:rPr>
          <w:rFonts w:ascii="Trebuchet MS" w:hAnsi="Trebuchet MS"/>
          <w:sz w:val="18"/>
          <w:szCs w:val="18"/>
        </w:rPr>
        <w:t>-acetil-Asp-Glu-Val-Asp-7-amino-4-trifluorocumarina (Kudryashov et al., 2001; Kudry</w:t>
      </w:r>
      <w:r w:rsidRPr="000F5B51">
        <w:rPr>
          <w:rFonts w:ascii="Trebuchet MS" w:hAnsi="Trebuchet MS"/>
          <w:sz w:val="18"/>
          <w:szCs w:val="18"/>
        </w:rPr>
        <w:t>a</w:t>
      </w:r>
      <w:r w:rsidRPr="000F5B51">
        <w:rPr>
          <w:rFonts w:ascii="Trebuchet MS" w:hAnsi="Trebuchet MS"/>
          <w:sz w:val="18"/>
          <w:szCs w:val="18"/>
        </w:rPr>
        <w:t>shova et al., 2008).</w:t>
      </w:r>
    </w:p>
  </w:footnote>
  <w:footnote w:id="5">
    <w:p w:rsidR="00046EA7" w:rsidRPr="00140464" w:rsidRDefault="00046EA7" w:rsidP="0082137D">
      <w:pPr>
        <w:ind w:firstLine="720"/>
        <w:jc w:val="both"/>
        <w:rPr>
          <w:rFonts w:ascii="Trebuchet MS" w:hAnsi="Trebuchet MS" w:cs="Arial"/>
          <w:sz w:val="18"/>
          <w:szCs w:val="18"/>
          <w:lang w:eastAsia="pt-PT"/>
        </w:rPr>
      </w:pPr>
      <w:r w:rsidRPr="00140464">
        <w:rPr>
          <w:rStyle w:val="Refdenotaderodap"/>
          <w:rFonts w:ascii="Trebuchet MS" w:hAnsi="Trebuchet MS"/>
          <w:sz w:val="18"/>
          <w:szCs w:val="18"/>
        </w:rPr>
        <w:footnoteRef/>
      </w:r>
      <w:r w:rsidRPr="00140464">
        <w:rPr>
          <w:rFonts w:ascii="Trebuchet MS" w:hAnsi="Trebuchet MS"/>
          <w:sz w:val="18"/>
          <w:szCs w:val="18"/>
        </w:rPr>
        <w:t xml:space="preserve"> É </w:t>
      </w:r>
      <w:r w:rsidRPr="00140464">
        <w:rPr>
          <w:rFonts w:ascii="Trebuchet MS" w:hAnsi="Trebuchet MS" w:cs="Arial"/>
          <w:sz w:val="18"/>
          <w:szCs w:val="18"/>
          <w:lang w:eastAsia="pt-PT"/>
        </w:rPr>
        <w:t>um método simples, rápido e preciso para a detecção e quantificação colorimétrica de pr</w:t>
      </w:r>
      <w:r w:rsidRPr="00140464">
        <w:rPr>
          <w:rFonts w:ascii="Trebuchet MS" w:hAnsi="Trebuchet MS" w:cs="Arial"/>
          <w:sz w:val="18"/>
          <w:szCs w:val="18"/>
          <w:lang w:eastAsia="pt-PT"/>
        </w:rPr>
        <w:t>o</w:t>
      </w:r>
      <w:r w:rsidRPr="00140464">
        <w:rPr>
          <w:rFonts w:ascii="Trebuchet MS" w:hAnsi="Trebuchet MS" w:cs="Arial"/>
          <w:sz w:val="18"/>
          <w:szCs w:val="18"/>
          <w:lang w:eastAsia="pt-PT"/>
        </w:rPr>
        <w:t>teínas totais, compatível com detergentes e inibidores de proteases.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6EA7" w:rsidRPr="006D338F" w:rsidRDefault="00046EA7" w:rsidP="0030296F">
    <w:pPr>
      <w:pStyle w:val="Cabealho"/>
      <w:pBdr>
        <w:bottom w:val="thickThinSmallGap" w:sz="24" w:space="1" w:color="666699"/>
      </w:pBdr>
      <w:jc w:val="right"/>
      <w:rPr>
        <w:rFonts w:ascii="Trebuchet MS" w:hAnsi="Trebuchet MS"/>
        <w:color w:val="808080"/>
        <w:sz w:val="18"/>
        <w:szCs w:val="22"/>
      </w:rPr>
    </w:pPr>
    <w:r>
      <w:rPr>
        <w:rStyle w:val="Nmerodepgina"/>
        <w:rFonts w:ascii="Trebuchet MS" w:hAnsi="Trebuchet MS"/>
        <w:color w:val="808080"/>
        <w:sz w:val="18"/>
        <w:szCs w:val="18"/>
      </w:rPr>
      <w:t xml:space="preserve"> </w:t>
    </w:r>
    <w:r w:rsidRPr="00537518">
      <w:rPr>
        <w:rStyle w:val="Nmerodepgina"/>
        <w:rFonts w:ascii="Trebuchet MS" w:hAnsi="Trebuchet MS"/>
        <w:color w:val="808080"/>
        <w:sz w:val="18"/>
        <w:szCs w:val="18"/>
      </w:rPr>
      <w:t>Efeito neuroprotector de diferentes tipos de pré-condic</w:t>
    </w:r>
    <w:r>
      <w:rPr>
        <w:rStyle w:val="Nmerodepgina"/>
        <w:rFonts w:ascii="Trebuchet MS" w:hAnsi="Trebuchet MS"/>
        <w:color w:val="808080"/>
        <w:sz w:val="18"/>
        <w:szCs w:val="18"/>
      </w:rPr>
      <w:t>ionamento a insultos isquémicos</w:t>
    </w:r>
    <w:r w:rsidRPr="00537518">
      <w:rPr>
        <w:rStyle w:val="Nmerodepgina"/>
        <w:rFonts w:ascii="Trebuchet MS" w:hAnsi="Trebuchet MS"/>
        <w:color w:val="808080"/>
        <w:sz w:val="18"/>
        <w:szCs w:val="18"/>
      </w:rPr>
      <w:t xml:space="preserve">     </w:t>
    </w:r>
    <w:r>
      <w:rPr>
        <w:rStyle w:val="Nmerodepgina"/>
        <w:rFonts w:ascii="Trebuchet MS" w:hAnsi="Trebuchet MS"/>
        <w:color w:val="808080"/>
        <w:sz w:val="18"/>
        <w:szCs w:val="18"/>
      </w:rPr>
      <w:t xml:space="preserve">        </w:t>
    </w:r>
    <w:r w:rsidRPr="00537518">
      <w:rPr>
        <w:rStyle w:val="Nmerodepgina"/>
        <w:rFonts w:ascii="Trebuchet MS" w:hAnsi="Trebuchet MS"/>
        <w:color w:val="808080"/>
        <w:sz w:val="18"/>
        <w:szCs w:val="18"/>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62" type="#_x0000_t75" style="width:8.85pt;height:8.85pt" o:bullet="t">
        <v:imagedata r:id="rId1" o:title="BD10268_"/>
      </v:shape>
    </w:pict>
  </w:numPicBullet>
  <w:numPicBullet w:numPicBulletId="1">
    <w:pict>
      <v:shape id="_x0000_i1963" type="#_x0000_t75" style="width:11.05pt;height:11.05pt" o:bullet="t">
        <v:imagedata r:id="rId2" o:title="BD21518_"/>
      </v:shape>
    </w:pict>
  </w:numPicBullet>
  <w:numPicBullet w:numPicBulletId="2">
    <w:pict>
      <v:shape id="_x0000_i1964" type="#_x0000_t75" style="width:8.85pt;height:8.85pt" o:bullet="t">
        <v:imagedata r:id="rId3" o:title="BD15135_"/>
      </v:shape>
    </w:pict>
  </w:numPicBullet>
  <w:numPicBullet w:numPicBulletId="3">
    <w:pict>
      <v:shape id="_x0000_i1965" type="#_x0000_t75" style="width:11.05pt;height:9.7pt" o:bullet="t">
        <v:imagedata r:id="rId4" o:title="BD21295_"/>
      </v:shape>
    </w:pict>
  </w:numPicBullet>
  <w:numPicBullet w:numPicBulletId="4">
    <w:pict>
      <v:shape id="_x0000_i1966" type="#_x0000_t75" style="width:11.05pt;height:11.05pt" o:bullet="t">
        <v:imagedata r:id="rId5" o:title="mso1025"/>
      </v:shape>
    </w:pict>
  </w:numPicBullet>
  <w:numPicBullet w:numPicBulletId="5">
    <w:pict>
      <v:shape id="_x0000_i1967" type="#_x0000_t75" style="width:11.05pt;height:11.05pt" o:bullet="t">
        <v:imagedata r:id="rId6" o:title="MCBD14981_0000[1]"/>
      </v:shape>
    </w:pict>
  </w:numPicBullet>
  <w:numPicBullet w:numPicBulletId="6">
    <w:pict>
      <v:shape id="_x0000_i1968" type="#_x0000_t75" style="width:11.05pt;height:11.05pt" o:bullet="t">
        <v:imagedata r:id="rId7" o:title="MCBD14980_0000[1]"/>
      </v:shape>
    </w:pict>
  </w:numPicBullet>
  <w:numPicBullet w:numPicBulletId="7">
    <w:pict>
      <v:shape id="_x0000_i1969" type="#_x0000_t75" style="width:8.85pt;height:8.85pt" o:bullet="t">
        <v:imagedata r:id="rId8" o:title="BD14755_"/>
      </v:shape>
    </w:pict>
  </w:numPicBullet>
  <w:abstractNum w:abstractNumId="0">
    <w:nsid w:val="02BD3E8C"/>
    <w:multiLevelType w:val="hybridMultilevel"/>
    <w:tmpl w:val="5DC2636C"/>
    <w:lvl w:ilvl="0" w:tplc="8B326476">
      <w:start w:val="1"/>
      <w:numFmt w:val="bullet"/>
      <w:lvlText w:val=""/>
      <w:lvlJc w:val="left"/>
      <w:pPr>
        <w:tabs>
          <w:tab w:val="num" w:pos="1068"/>
        </w:tabs>
        <w:ind w:left="1068" w:hanging="360"/>
      </w:pPr>
      <w:rPr>
        <w:rFonts w:ascii="Wingdings" w:hAnsi="Wingdings" w:hint="default"/>
        <w:shadow/>
        <w:sz w:val="32"/>
        <w:szCs w:val="32"/>
      </w:rPr>
    </w:lvl>
    <w:lvl w:ilvl="1" w:tplc="08160005">
      <w:start w:val="1"/>
      <w:numFmt w:val="bullet"/>
      <w:lvlText w:val=""/>
      <w:lvlJc w:val="left"/>
      <w:pPr>
        <w:tabs>
          <w:tab w:val="num" w:pos="1788"/>
        </w:tabs>
        <w:ind w:left="1788" w:hanging="360"/>
      </w:pPr>
      <w:rPr>
        <w:rFonts w:ascii="Wingdings" w:hAnsi="Wingdings" w:hint="default"/>
        <w:shadow/>
        <w:sz w:val="32"/>
        <w:szCs w:val="32"/>
      </w:rPr>
    </w:lvl>
    <w:lvl w:ilvl="2" w:tplc="08160005" w:tentative="1">
      <w:start w:val="1"/>
      <w:numFmt w:val="bullet"/>
      <w:lvlText w:val=""/>
      <w:lvlJc w:val="left"/>
      <w:pPr>
        <w:tabs>
          <w:tab w:val="num" w:pos="2508"/>
        </w:tabs>
        <w:ind w:left="2508" w:hanging="360"/>
      </w:pPr>
      <w:rPr>
        <w:rFonts w:ascii="Wingdings" w:hAnsi="Wingdings" w:hint="default"/>
      </w:rPr>
    </w:lvl>
    <w:lvl w:ilvl="3" w:tplc="08160001" w:tentative="1">
      <w:start w:val="1"/>
      <w:numFmt w:val="bullet"/>
      <w:lvlText w:val=""/>
      <w:lvlJc w:val="left"/>
      <w:pPr>
        <w:tabs>
          <w:tab w:val="num" w:pos="3228"/>
        </w:tabs>
        <w:ind w:left="3228" w:hanging="360"/>
      </w:pPr>
      <w:rPr>
        <w:rFonts w:ascii="Symbol" w:hAnsi="Symbol" w:hint="default"/>
      </w:rPr>
    </w:lvl>
    <w:lvl w:ilvl="4" w:tplc="08160003" w:tentative="1">
      <w:start w:val="1"/>
      <w:numFmt w:val="bullet"/>
      <w:lvlText w:val="o"/>
      <w:lvlJc w:val="left"/>
      <w:pPr>
        <w:tabs>
          <w:tab w:val="num" w:pos="3948"/>
        </w:tabs>
        <w:ind w:left="3948" w:hanging="360"/>
      </w:pPr>
      <w:rPr>
        <w:rFonts w:ascii="Courier New" w:hAnsi="Courier New" w:cs="Courier New" w:hint="default"/>
      </w:rPr>
    </w:lvl>
    <w:lvl w:ilvl="5" w:tplc="08160005" w:tentative="1">
      <w:start w:val="1"/>
      <w:numFmt w:val="bullet"/>
      <w:lvlText w:val=""/>
      <w:lvlJc w:val="left"/>
      <w:pPr>
        <w:tabs>
          <w:tab w:val="num" w:pos="4668"/>
        </w:tabs>
        <w:ind w:left="4668" w:hanging="360"/>
      </w:pPr>
      <w:rPr>
        <w:rFonts w:ascii="Wingdings" w:hAnsi="Wingdings" w:hint="default"/>
      </w:rPr>
    </w:lvl>
    <w:lvl w:ilvl="6" w:tplc="08160001" w:tentative="1">
      <w:start w:val="1"/>
      <w:numFmt w:val="bullet"/>
      <w:lvlText w:val=""/>
      <w:lvlJc w:val="left"/>
      <w:pPr>
        <w:tabs>
          <w:tab w:val="num" w:pos="5388"/>
        </w:tabs>
        <w:ind w:left="5388" w:hanging="360"/>
      </w:pPr>
      <w:rPr>
        <w:rFonts w:ascii="Symbol" w:hAnsi="Symbol" w:hint="default"/>
      </w:rPr>
    </w:lvl>
    <w:lvl w:ilvl="7" w:tplc="08160003" w:tentative="1">
      <w:start w:val="1"/>
      <w:numFmt w:val="bullet"/>
      <w:lvlText w:val="o"/>
      <w:lvlJc w:val="left"/>
      <w:pPr>
        <w:tabs>
          <w:tab w:val="num" w:pos="6108"/>
        </w:tabs>
        <w:ind w:left="6108" w:hanging="360"/>
      </w:pPr>
      <w:rPr>
        <w:rFonts w:ascii="Courier New" w:hAnsi="Courier New" w:cs="Courier New" w:hint="default"/>
      </w:rPr>
    </w:lvl>
    <w:lvl w:ilvl="8" w:tplc="08160005" w:tentative="1">
      <w:start w:val="1"/>
      <w:numFmt w:val="bullet"/>
      <w:lvlText w:val=""/>
      <w:lvlJc w:val="left"/>
      <w:pPr>
        <w:tabs>
          <w:tab w:val="num" w:pos="6828"/>
        </w:tabs>
        <w:ind w:left="6828" w:hanging="360"/>
      </w:pPr>
      <w:rPr>
        <w:rFonts w:ascii="Wingdings" w:hAnsi="Wingdings" w:hint="default"/>
      </w:rPr>
    </w:lvl>
  </w:abstractNum>
  <w:abstractNum w:abstractNumId="1">
    <w:nsid w:val="03B84CE1"/>
    <w:multiLevelType w:val="hybridMultilevel"/>
    <w:tmpl w:val="F502E108"/>
    <w:lvl w:ilvl="0" w:tplc="FD428182">
      <w:start w:val="1"/>
      <w:numFmt w:val="bullet"/>
      <w:lvlText w:val=""/>
      <w:lvlJc w:val="left"/>
      <w:pPr>
        <w:tabs>
          <w:tab w:val="num" w:pos="1794"/>
        </w:tabs>
        <w:ind w:left="1794" w:hanging="360"/>
      </w:pPr>
      <w:rPr>
        <w:rFonts w:ascii="Wingdings" w:hAnsi="Wingdings" w:hint="default"/>
        <w:shadow/>
        <w:color w:val="993300"/>
        <w:sz w:val="28"/>
        <w:szCs w:val="28"/>
      </w:rPr>
    </w:lvl>
    <w:lvl w:ilvl="1" w:tplc="08160003" w:tentative="1">
      <w:start w:val="1"/>
      <w:numFmt w:val="bullet"/>
      <w:lvlText w:val="o"/>
      <w:lvlJc w:val="left"/>
      <w:pPr>
        <w:tabs>
          <w:tab w:val="num" w:pos="2166"/>
        </w:tabs>
        <w:ind w:left="2166" w:hanging="360"/>
      </w:pPr>
      <w:rPr>
        <w:rFonts w:ascii="Courier New" w:hAnsi="Courier New" w:cs="Courier New" w:hint="default"/>
      </w:rPr>
    </w:lvl>
    <w:lvl w:ilvl="2" w:tplc="08160005" w:tentative="1">
      <w:start w:val="1"/>
      <w:numFmt w:val="bullet"/>
      <w:lvlText w:val=""/>
      <w:lvlJc w:val="left"/>
      <w:pPr>
        <w:tabs>
          <w:tab w:val="num" w:pos="2886"/>
        </w:tabs>
        <w:ind w:left="2886" w:hanging="360"/>
      </w:pPr>
      <w:rPr>
        <w:rFonts w:ascii="Wingdings" w:hAnsi="Wingdings" w:hint="default"/>
      </w:rPr>
    </w:lvl>
    <w:lvl w:ilvl="3" w:tplc="08160001" w:tentative="1">
      <w:start w:val="1"/>
      <w:numFmt w:val="bullet"/>
      <w:lvlText w:val=""/>
      <w:lvlJc w:val="left"/>
      <w:pPr>
        <w:tabs>
          <w:tab w:val="num" w:pos="3606"/>
        </w:tabs>
        <w:ind w:left="3606" w:hanging="360"/>
      </w:pPr>
      <w:rPr>
        <w:rFonts w:ascii="Symbol" w:hAnsi="Symbol" w:hint="default"/>
      </w:rPr>
    </w:lvl>
    <w:lvl w:ilvl="4" w:tplc="08160003" w:tentative="1">
      <w:start w:val="1"/>
      <w:numFmt w:val="bullet"/>
      <w:lvlText w:val="o"/>
      <w:lvlJc w:val="left"/>
      <w:pPr>
        <w:tabs>
          <w:tab w:val="num" w:pos="4326"/>
        </w:tabs>
        <w:ind w:left="4326" w:hanging="360"/>
      </w:pPr>
      <w:rPr>
        <w:rFonts w:ascii="Courier New" w:hAnsi="Courier New" w:cs="Courier New" w:hint="default"/>
      </w:rPr>
    </w:lvl>
    <w:lvl w:ilvl="5" w:tplc="08160005" w:tentative="1">
      <w:start w:val="1"/>
      <w:numFmt w:val="bullet"/>
      <w:lvlText w:val=""/>
      <w:lvlJc w:val="left"/>
      <w:pPr>
        <w:tabs>
          <w:tab w:val="num" w:pos="5046"/>
        </w:tabs>
        <w:ind w:left="5046" w:hanging="360"/>
      </w:pPr>
      <w:rPr>
        <w:rFonts w:ascii="Wingdings" w:hAnsi="Wingdings" w:hint="default"/>
      </w:rPr>
    </w:lvl>
    <w:lvl w:ilvl="6" w:tplc="08160001" w:tentative="1">
      <w:start w:val="1"/>
      <w:numFmt w:val="bullet"/>
      <w:lvlText w:val=""/>
      <w:lvlJc w:val="left"/>
      <w:pPr>
        <w:tabs>
          <w:tab w:val="num" w:pos="5766"/>
        </w:tabs>
        <w:ind w:left="5766" w:hanging="360"/>
      </w:pPr>
      <w:rPr>
        <w:rFonts w:ascii="Symbol" w:hAnsi="Symbol" w:hint="default"/>
      </w:rPr>
    </w:lvl>
    <w:lvl w:ilvl="7" w:tplc="08160003" w:tentative="1">
      <w:start w:val="1"/>
      <w:numFmt w:val="bullet"/>
      <w:lvlText w:val="o"/>
      <w:lvlJc w:val="left"/>
      <w:pPr>
        <w:tabs>
          <w:tab w:val="num" w:pos="6486"/>
        </w:tabs>
        <w:ind w:left="6486" w:hanging="360"/>
      </w:pPr>
      <w:rPr>
        <w:rFonts w:ascii="Courier New" w:hAnsi="Courier New" w:cs="Courier New" w:hint="default"/>
      </w:rPr>
    </w:lvl>
    <w:lvl w:ilvl="8" w:tplc="08160005" w:tentative="1">
      <w:start w:val="1"/>
      <w:numFmt w:val="bullet"/>
      <w:lvlText w:val=""/>
      <w:lvlJc w:val="left"/>
      <w:pPr>
        <w:tabs>
          <w:tab w:val="num" w:pos="7206"/>
        </w:tabs>
        <w:ind w:left="7206" w:hanging="360"/>
      </w:pPr>
      <w:rPr>
        <w:rFonts w:ascii="Wingdings" w:hAnsi="Wingdings" w:hint="default"/>
      </w:rPr>
    </w:lvl>
  </w:abstractNum>
  <w:abstractNum w:abstractNumId="2">
    <w:nsid w:val="053C0116"/>
    <w:multiLevelType w:val="hybridMultilevel"/>
    <w:tmpl w:val="A94E83C0"/>
    <w:lvl w:ilvl="0" w:tplc="F0BE410C">
      <w:start w:val="1"/>
      <w:numFmt w:val="bullet"/>
      <w:lvlText w:val=""/>
      <w:lvlJc w:val="left"/>
      <w:pPr>
        <w:tabs>
          <w:tab w:val="num" w:pos="1068"/>
        </w:tabs>
        <w:ind w:left="1068" w:hanging="360"/>
      </w:pPr>
      <w:rPr>
        <w:rFonts w:ascii="Wingdings" w:hAnsi="Wingdings" w:hint="default"/>
        <w:shadow/>
        <w:sz w:val="36"/>
        <w:szCs w:val="36"/>
      </w:rPr>
    </w:lvl>
    <w:lvl w:ilvl="1" w:tplc="08160005">
      <w:start w:val="1"/>
      <w:numFmt w:val="bullet"/>
      <w:lvlText w:val=""/>
      <w:lvlJc w:val="left"/>
      <w:pPr>
        <w:tabs>
          <w:tab w:val="num" w:pos="1788"/>
        </w:tabs>
        <w:ind w:left="1788" w:hanging="360"/>
      </w:pPr>
      <w:rPr>
        <w:rFonts w:ascii="Wingdings" w:hAnsi="Wingdings" w:hint="default"/>
        <w:shadow/>
        <w:sz w:val="32"/>
        <w:szCs w:val="32"/>
      </w:rPr>
    </w:lvl>
    <w:lvl w:ilvl="2" w:tplc="08160005" w:tentative="1">
      <w:start w:val="1"/>
      <w:numFmt w:val="bullet"/>
      <w:lvlText w:val=""/>
      <w:lvlJc w:val="left"/>
      <w:pPr>
        <w:tabs>
          <w:tab w:val="num" w:pos="2508"/>
        </w:tabs>
        <w:ind w:left="2508" w:hanging="360"/>
      </w:pPr>
      <w:rPr>
        <w:rFonts w:ascii="Wingdings" w:hAnsi="Wingdings" w:hint="default"/>
      </w:rPr>
    </w:lvl>
    <w:lvl w:ilvl="3" w:tplc="08160001" w:tentative="1">
      <w:start w:val="1"/>
      <w:numFmt w:val="bullet"/>
      <w:lvlText w:val=""/>
      <w:lvlJc w:val="left"/>
      <w:pPr>
        <w:tabs>
          <w:tab w:val="num" w:pos="3228"/>
        </w:tabs>
        <w:ind w:left="3228" w:hanging="360"/>
      </w:pPr>
      <w:rPr>
        <w:rFonts w:ascii="Symbol" w:hAnsi="Symbol" w:hint="default"/>
      </w:rPr>
    </w:lvl>
    <w:lvl w:ilvl="4" w:tplc="08160003" w:tentative="1">
      <w:start w:val="1"/>
      <w:numFmt w:val="bullet"/>
      <w:lvlText w:val="o"/>
      <w:lvlJc w:val="left"/>
      <w:pPr>
        <w:tabs>
          <w:tab w:val="num" w:pos="3948"/>
        </w:tabs>
        <w:ind w:left="3948" w:hanging="360"/>
      </w:pPr>
      <w:rPr>
        <w:rFonts w:ascii="Courier New" w:hAnsi="Courier New" w:cs="Courier New" w:hint="default"/>
      </w:rPr>
    </w:lvl>
    <w:lvl w:ilvl="5" w:tplc="08160005" w:tentative="1">
      <w:start w:val="1"/>
      <w:numFmt w:val="bullet"/>
      <w:lvlText w:val=""/>
      <w:lvlJc w:val="left"/>
      <w:pPr>
        <w:tabs>
          <w:tab w:val="num" w:pos="4668"/>
        </w:tabs>
        <w:ind w:left="4668" w:hanging="360"/>
      </w:pPr>
      <w:rPr>
        <w:rFonts w:ascii="Wingdings" w:hAnsi="Wingdings" w:hint="default"/>
      </w:rPr>
    </w:lvl>
    <w:lvl w:ilvl="6" w:tplc="08160001" w:tentative="1">
      <w:start w:val="1"/>
      <w:numFmt w:val="bullet"/>
      <w:lvlText w:val=""/>
      <w:lvlJc w:val="left"/>
      <w:pPr>
        <w:tabs>
          <w:tab w:val="num" w:pos="5388"/>
        </w:tabs>
        <w:ind w:left="5388" w:hanging="360"/>
      </w:pPr>
      <w:rPr>
        <w:rFonts w:ascii="Symbol" w:hAnsi="Symbol" w:hint="default"/>
      </w:rPr>
    </w:lvl>
    <w:lvl w:ilvl="7" w:tplc="08160003" w:tentative="1">
      <w:start w:val="1"/>
      <w:numFmt w:val="bullet"/>
      <w:lvlText w:val="o"/>
      <w:lvlJc w:val="left"/>
      <w:pPr>
        <w:tabs>
          <w:tab w:val="num" w:pos="6108"/>
        </w:tabs>
        <w:ind w:left="6108" w:hanging="360"/>
      </w:pPr>
      <w:rPr>
        <w:rFonts w:ascii="Courier New" w:hAnsi="Courier New" w:cs="Courier New" w:hint="default"/>
      </w:rPr>
    </w:lvl>
    <w:lvl w:ilvl="8" w:tplc="08160005" w:tentative="1">
      <w:start w:val="1"/>
      <w:numFmt w:val="bullet"/>
      <w:lvlText w:val=""/>
      <w:lvlJc w:val="left"/>
      <w:pPr>
        <w:tabs>
          <w:tab w:val="num" w:pos="6828"/>
        </w:tabs>
        <w:ind w:left="6828" w:hanging="360"/>
      </w:pPr>
      <w:rPr>
        <w:rFonts w:ascii="Wingdings" w:hAnsi="Wingdings" w:hint="default"/>
      </w:rPr>
    </w:lvl>
  </w:abstractNum>
  <w:abstractNum w:abstractNumId="3">
    <w:nsid w:val="07027571"/>
    <w:multiLevelType w:val="hybridMultilevel"/>
    <w:tmpl w:val="4AC4C462"/>
    <w:lvl w:ilvl="0" w:tplc="D3642798">
      <w:start w:val="4"/>
      <w:numFmt w:val="decimal"/>
      <w:lvlText w:val="%1-"/>
      <w:lvlJc w:val="left"/>
      <w:pPr>
        <w:tabs>
          <w:tab w:val="num" w:pos="1108"/>
        </w:tabs>
        <w:ind w:left="1108" w:hanging="360"/>
      </w:pPr>
      <w:rPr>
        <w:rFonts w:hint="default"/>
      </w:rPr>
    </w:lvl>
    <w:lvl w:ilvl="1" w:tplc="08160019" w:tentative="1">
      <w:start w:val="1"/>
      <w:numFmt w:val="lowerLetter"/>
      <w:lvlText w:val="%2."/>
      <w:lvlJc w:val="left"/>
      <w:pPr>
        <w:tabs>
          <w:tab w:val="num" w:pos="1828"/>
        </w:tabs>
        <w:ind w:left="1828" w:hanging="360"/>
      </w:pPr>
    </w:lvl>
    <w:lvl w:ilvl="2" w:tplc="0816001B" w:tentative="1">
      <w:start w:val="1"/>
      <w:numFmt w:val="lowerRoman"/>
      <w:lvlText w:val="%3."/>
      <w:lvlJc w:val="right"/>
      <w:pPr>
        <w:tabs>
          <w:tab w:val="num" w:pos="2548"/>
        </w:tabs>
        <w:ind w:left="2548" w:hanging="180"/>
      </w:pPr>
    </w:lvl>
    <w:lvl w:ilvl="3" w:tplc="0816000F" w:tentative="1">
      <w:start w:val="1"/>
      <w:numFmt w:val="decimal"/>
      <w:lvlText w:val="%4."/>
      <w:lvlJc w:val="left"/>
      <w:pPr>
        <w:tabs>
          <w:tab w:val="num" w:pos="3268"/>
        </w:tabs>
        <w:ind w:left="3268" w:hanging="360"/>
      </w:pPr>
    </w:lvl>
    <w:lvl w:ilvl="4" w:tplc="08160019" w:tentative="1">
      <w:start w:val="1"/>
      <w:numFmt w:val="lowerLetter"/>
      <w:lvlText w:val="%5."/>
      <w:lvlJc w:val="left"/>
      <w:pPr>
        <w:tabs>
          <w:tab w:val="num" w:pos="3988"/>
        </w:tabs>
        <w:ind w:left="3988" w:hanging="360"/>
      </w:pPr>
    </w:lvl>
    <w:lvl w:ilvl="5" w:tplc="0816001B" w:tentative="1">
      <w:start w:val="1"/>
      <w:numFmt w:val="lowerRoman"/>
      <w:lvlText w:val="%6."/>
      <w:lvlJc w:val="right"/>
      <w:pPr>
        <w:tabs>
          <w:tab w:val="num" w:pos="4708"/>
        </w:tabs>
        <w:ind w:left="4708" w:hanging="180"/>
      </w:pPr>
    </w:lvl>
    <w:lvl w:ilvl="6" w:tplc="0816000F" w:tentative="1">
      <w:start w:val="1"/>
      <w:numFmt w:val="decimal"/>
      <w:lvlText w:val="%7."/>
      <w:lvlJc w:val="left"/>
      <w:pPr>
        <w:tabs>
          <w:tab w:val="num" w:pos="5428"/>
        </w:tabs>
        <w:ind w:left="5428" w:hanging="360"/>
      </w:pPr>
    </w:lvl>
    <w:lvl w:ilvl="7" w:tplc="08160019" w:tentative="1">
      <w:start w:val="1"/>
      <w:numFmt w:val="lowerLetter"/>
      <w:lvlText w:val="%8."/>
      <w:lvlJc w:val="left"/>
      <w:pPr>
        <w:tabs>
          <w:tab w:val="num" w:pos="6148"/>
        </w:tabs>
        <w:ind w:left="6148" w:hanging="360"/>
      </w:pPr>
    </w:lvl>
    <w:lvl w:ilvl="8" w:tplc="0816001B" w:tentative="1">
      <w:start w:val="1"/>
      <w:numFmt w:val="lowerRoman"/>
      <w:lvlText w:val="%9."/>
      <w:lvlJc w:val="right"/>
      <w:pPr>
        <w:tabs>
          <w:tab w:val="num" w:pos="6868"/>
        </w:tabs>
        <w:ind w:left="6868" w:hanging="180"/>
      </w:pPr>
    </w:lvl>
  </w:abstractNum>
  <w:abstractNum w:abstractNumId="4">
    <w:nsid w:val="09AF3CC5"/>
    <w:multiLevelType w:val="multilevel"/>
    <w:tmpl w:val="2E1428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FB3F13"/>
    <w:multiLevelType w:val="hybridMultilevel"/>
    <w:tmpl w:val="101C5338"/>
    <w:lvl w:ilvl="0" w:tplc="D0282894">
      <w:start w:val="1"/>
      <w:numFmt w:val="bullet"/>
      <w:lvlText w:val=""/>
      <w:lvlPicBulletId w:val="4"/>
      <w:lvlJc w:val="left"/>
      <w:pPr>
        <w:tabs>
          <w:tab w:val="num" w:pos="726"/>
        </w:tabs>
        <w:ind w:left="726" w:hanging="360"/>
      </w:pPr>
      <w:rPr>
        <w:rFonts w:ascii="Symbol" w:hAnsi="Symbol" w:hint="default"/>
      </w:rPr>
    </w:lvl>
    <w:lvl w:ilvl="1" w:tplc="08160007">
      <w:start w:val="1"/>
      <w:numFmt w:val="bullet"/>
      <w:lvlText w:val=""/>
      <w:lvlPicBulletId w:val="4"/>
      <w:lvlJc w:val="left"/>
      <w:pPr>
        <w:tabs>
          <w:tab w:val="num" w:pos="1446"/>
        </w:tabs>
        <w:ind w:left="1446" w:hanging="360"/>
      </w:pPr>
      <w:rPr>
        <w:rFonts w:ascii="Symbol" w:hAnsi="Symbol" w:hint="default"/>
      </w:rPr>
    </w:lvl>
    <w:lvl w:ilvl="2" w:tplc="FAF29F62" w:tentative="1">
      <w:start w:val="1"/>
      <w:numFmt w:val="bullet"/>
      <w:lvlText w:val=""/>
      <w:lvlJc w:val="left"/>
      <w:pPr>
        <w:tabs>
          <w:tab w:val="num" w:pos="2166"/>
        </w:tabs>
        <w:ind w:left="2166" w:hanging="360"/>
      </w:pPr>
      <w:rPr>
        <w:rFonts w:ascii="Symbol" w:hAnsi="Symbol" w:hint="default"/>
      </w:rPr>
    </w:lvl>
    <w:lvl w:ilvl="3" w:tplc="FF8A08CE" w:tentative="1">
      <w:start w:val="1"/>
      <w:numFmt w:val="bullet"/>
      <w:lvlText w:val=""/>
      <w:lvlJc w:val="left"/>
      <w:pPr>
        <w:tabs>
          <w:tab w:val="num" w:pos="2886"/>
        </w:tabs>
        <w:ind w:left="2886" w:hanging="360"/>
      </w:pPr>
      <w:rPr>
        <w:rFonts w:ascii="Symbol" w:hAnsi="Symbol" w:hint="default"/>
      </w:rPr>
    </w:lvl>
    <w:lvl w:ilvl="4" w:tplc="10E689B4" w:tentative="1">
      <w:start w:val="1"/>
      <w:numFmt w:val="bullet"/>
      <w:lvlText w:val=""/>
      <w:lvlJc w:val="left"/>
      <w:pPr>
        <w:tabs>
          <w:tab w:val="num" w:pos="3606"/>
        </w:tabs>
        <w:ind w:left="3606" w:hanging="360"/>
      </w:pPr>
      <w:rPr>
        <w:rFonts w:ascii="Symbol" w:hAnsi="Symbol" w:hint="default"/>
      </w:rPr>
    </w:lvl>
    <w:lvl w:ilvl="5" w:tplc="3B5CA110" w:tentative="1">
      <w:start w:val="1"/>
      <w:numFmt w:val="bullet"/>
      <w:lvlText w:val=""/>
      <w:lvlJc w:val="left"/>
      <w:pPr>
        <w:tabs>
          <w:tab w:val="num" w:pos="4326"/>
        </w:tabs>
        <w:ind w:left="4326" w:hanging="360"/>
      </w:pPr>
      <w:rPr>
        <w:rFonts w:ascii="Symbol" w:hAnsi="Symbol" w:hint="default"/>
      </w:rPr>
    </w:lvl>
    <w:lvl w:ilvl="6" w:tplc="76B0BA34" w:tentative="1">
      <w:start w:val="1"/>
      <w:numFmt w:val="bullet"/>
      <w:lvlText w:val=""/>
      <w:lvlJc w:val="left"/>
      <w:pPr>
        <w:tabs>
          <w:tab w:val="num" w:pos="5046"/>
        </w:tabs>
        <w:ind w:left="5046" w:hanging="360"/>
      </w:pPr>
      <w:rPr>
        <w:rFonts w:ascii="Symbol" w:hAnsi="Symbol" w:hint="default"/>
      </w:rPr>
    </w:lvl>
    <w:lvl w:ilvl="7" w:tplc="D9007E18" w:tentative="1">
      <w:start w:val="1"/>
      <w:numFmt w:val="bullet"/>
      <w:lvlText w:val=""/>
      <w:lvlJc w:val="left"/>
      <w:pPr>
        <w:tabs>
          <w:tab w:val="num" w:pos="5766"/>
        </w:tabs>
        <w:ind w:left="5766" w:hanging="360"/>
      </w:pPr>
      <w:rPr>
        <w:rFonts w:ascii="Symbol" w:hAnsi="Symbol" w:hint="default"/>
      </w:rPr>
    </w:lvl>
    <w:lvl w:ilvl="8" w:tplc="EBA8173C" w:tentative="1">
      <w:start w:val="1"/>
      <w:numFmt w:val="bullet"/>
      <w:lvlText w:val=""/>
      <w:lvlJc w:val="left"/>
      <w:pPr>
        <w:tabs>
          <w:tab w:val="num" w:pos="6486"/>
        </w:tabs>
        <w:ind w:left="6486" w:hanging="360"/>
      </w:pPr>
      <w:rPr>
        <w:rFonts w:ascii="Symbol" w:hAnsi="Symbol" w:hint="default"/>
      </w:rPr>
    </w:lvl>
  </w:abstractNum>
  <w:abstractNum w:abstractNumId="6">
    <w:nsid w:val="20243934"/>
    <w:multiLevelType w:val="hybridMultilevel"/>
    <w:tmpl w:val="916EC9A6"/>
    <w:lvl w:ilvl="0" w:tplc="D0282894">
      <w:start w:val="1"/>
      <w:numFmt w:val="bullet"/>
      <w:lvlText w:val=""/>
      <w:lvlPicBulletId w:val="4"/>
      <w:lvlJc w:val="left"/>
      <w:pPr>
        <w:tabs>
          <w:tab w:val="num" w:pos="540"/>
        </w:tabs>
        <w:ind w:left="540" w:hanging="360"/>
      </w:pPr>
      <w:rPr>
        <w:rFonts w:ascii="Symbol" w:hAnsi="Symbol" w:hint="default"/>
      </w:rPr>
    </w:lvl>
    <w:lvl w:ilvl="1" w:tplc="08160003" w:tentative="1">
      <w:start w:val="1"/>
      <w:numFmt w:val="bullet"/>
      <w:lvlText w:val="o"/>
      <w:lvlJc w:val="left"/>
      <w:pPr>
        <w:tabs>
          <w:tab w:val="num" w:pos="540"/>
        </w:tabs>
        <w:ind w:left="540" w:hanging="360"/>
      </w:pPr>
      <w:rPr>
        <w:rFonts w:ascii="Courier New" w:hAnsi="Courier New" w:cs="Courier New" w:hint="default"/>
      </w:rPr>
    </w:lvl>
    <w:lvl w:ilvl="2" w:tplc="08160005" w:tentative="1">
      <w:start w:val="1"/>
      <w:numFmt w:val="bullet"/>
      <w:lvlText w:val=""/>
      <w:lvlJc w:val="left"/>
      <w:pPr>
        <w:tabs>
          <w:tab w:val="num" w:pos="1260"/>
        </w:tabs>
        <w:ind w:left="1260" w:hanging="360"/>
      </w:pPr>
      <w:rPr>
        <w:rFonts w:ascii="Wingdings" w:hAnsi="Wingdings" w:hint="default"/>
      </w:rPr>
    </w:lvl>
    <w:lvl w:ilvl="3" w:tplc="08160001" w:tentative="1">
      <w:start w:val="1"/>
      <w:numFmt w:val="bullet"/>
      <w:lvlText w:val=""/>
      <w:lvlJc w:val="left"/>
      <w:pPr>
        <w:tabs>
          <w:tab w:val="num" w:pos="1980"/>
        </w:tabs>
        <w:ind w:left="1980" w:hanging="360"/>
      </w:pPr>
      <w:rPr>
        <w:rFonts w:ascii="Symbol" w:hAnsi="Symbol" w:hint="default"/>
      </w:rPr>
    </w:lvl>
    <w:lvl w:ilvl="4" w:tplc="08160003" w:tentative="1">
      <w:start w:val="1"/>
      <w:numFmt w:val="bullet"/>
      <w:lvlText w:val="o"/>
      <w:lvlJc w:val="left"/>
      <w:pPr>
        <w:tabs>
          <w:tab w:val="num" w:pos="2700"/>
        </w:tabs>
        <w:ind w:left="2700" w:hanging="360"/>
      </w:pPr>
      <w:rPr>
        <w:rFonts w:ascii="Courier New" w:hAnsi="Courier New" w:cs="Courier New" w:hint="default"/>
      </w:rPr>
    </w:lvl>
    <w:lvl w:ilvl="5" w:tplc="08160005" w:tentative="1">
      <w:start w:val="1"/>
      <w:numFmt w:val="bullet"/>
      <w:lvlText w:val=""/>
      <w:lvlJc w:val="left"/>
      <w:pPr>
        <w:tabs>
          <w:tab w:val="num" w:pos="3420"/>
        </w:tabs>
        <w:ind w:left="3420" w:hanging="360"/>
      </w:pPr>
      <w:rPr>
        <w:rFonts w:ascii="Wingdings" w:hAnsi="Wingdings" w:hint="default"/>
      </w:rPr>
    </w:lvl>
    <w:lvl w:ilvl="6" w:tplc="08160001" w:tentative="1">
      <w:start w:val="1"/>
      <w:numFmt w:val="bullet"/>
      <w:lvlText w:val=""/>
      <w:lvlJc w:val="left"/>
      <w:pPr>
        <w:tabs>
          <w:tab w:val="num" w:pos="4140"/>
        </w:tabs>
        <w:ind w:left="4140" w:hanging="360"/>
      </w:pPr>
      <w:rPr>
        <w:rFonts w:ascii="Symbol" w:hAnsi="Symbol" w:hint="default"/>
      </w:rPr>
    </w:lvl>
    <w:lvl w:ilvl="7" w:tplc="08160003" w:tentative="1">
      <w:start w:val="1"/>
      <w:numFmt w:val="bullet"/>
      <w:lvlText w:val="o"/>
      <w:lvlJc w:val="left"/>
      <w:pPr>
        <w:tabs>
          <w:tab w:val="num" w:pos="4860"/>
        </w:tabs>
        <w:ind w:left="4860" w:hanging="360"/>
      </w:pPr>
      <w:rPr>
        <w:rFonts w:ascii="Courier New" w:hAnsi="Courier New" w:cs="Courier New" w:hint="default"/>
      </w:rPr>
    </w:lvl>
    <w:lvl w:ilvl="8" w:tplc="08160005" w:tentative="1">
      <w:start w:val="1"/>
      <w:numFmt w:val="bullet"/>
      <w:lvlText w:val=""/>
      <w:lvlJc w:val="left"/>
      <w:pPr>
        <w:tabs>
          <w:tab w:val="num" w:pos="5580"/>
        </w:tabs>
        <w:ind w:left="5580" w:hanging="360"/>
      </w:pPr>
      <w:rPr>
        <w:rFonts w:ascii="Wingdings" w:hAnsi="Wingdings" w:hint="default"/>
      </w:rPr>
    </w:lvl>
  </w:abstractNum>
  <w:abstractNum w:abstractNumId="7">
    <w:nsid w:val="2592108D"/>
    <w:multiLevelType w:val="hybridMultilevel"/>
    <w:tmpl w:val="62F4BEFC"/>
    <w:lvl w:ilvl="0" w:tplc="E3027274">
      <w:start w:val="1"/>
      <w:numFmt w:val="bullet"/>
      <w:lvlText w:val=""/>
      <w:lvlJc w:val="left"/>
      <w:pPr>
        <w:tabs>
          <w:tab w:val="num" w:pos="3036"/>
        </w:tabs>
        <w:ind w:left="3036" w:hanging="360"/>
      </w:pPr>
      <w:rPr>
        <w:rFonts w:ascii="Wingdings" w:hAnsi="Wingdings" w:hint="default"/>
        <w:shadow/>
        <w:sz w:val="24"/>
        <w:szCs w:val="32"/>
      </w:rPr>
    </w:lvl>
    <w:lvl w:ilvl="1" w:tplc="08160003" w:tentative="1">
      <w:start w:val="1"/>
      <w:numFmt w:val="bullet"/>
      <w:lvlText w:val="o"/>
      <w:lvlJc w:val="left"/>
      <w:pPr>
        <w:tabs>
          <w:tab w:val="num" w:pos="2688"/>
        </w:tabs>
        <w:ind w:left="2688" w:hanging="360"/>
      </w:pPr>
      <w:rPr>
        <w:rFonts w:ascii="Courier New" w:hAnsi="Courier New" w:cs="Courier New" w:hint="default"/>
      </w:rPr>
    </w:lvl>
    <w:lvl w:ilvl="2" w:tplc="08160005" w:tentative="1">
      <w:start w:val="1"/>
      <w:numFmt w:val="bullet"/>
      <w:lvlText w:val=""/>
      <w:lvlJc w:val="left"/>
      <w:pPr>
        <w:tabs>
          <w:tab w:val="num" w:pos="3408"/>
        </w:tabs>
        <w:ind w:left="3408" w:hanging="360"/>
      </w:pPr>
      <w:rPr>
        <w:rFonts w:ascii="Wingdings" w:hAnsi="Wingdings" w:hint="default"/>
      </w:rPr>
    </w:lvl>
    <w:lvl w:ilvl="3" w:tplc="08160001" w:tentative="1">
      <w:start w:val="1"/>
      <w:numFmt w:val="bullet"/>
      <w:lvlText w:val=""/>
      <w:lvlJc w:val="left"/>
      <w:pPr>
        <w:tabs>
          <w:tab w:val="num" w:pos="4128"/>
        </w:tabs>
        <w:ind w:left="4128" w:hanging="360"/>
      </w:pPr>
      <w:rPr>
        <w:rFonts w:ascii="Symbol" w:hAnsi="Symbol" w:hint="default"/>
      </w:rPr>
    </w:lvl>
    <w:lvl w:ilvl="4" w:tplc="08160003" w:tentative="1">
      <w:start w:val="1"/>
      <w:numFmt w:val="bullet"/>
      <w:lvlText w:val="o"/>
      <w:lvlJc w:val="left"/>
      <w:pPr>
        <w:tabs>
          <w:tab w:val="num" w:pos="4848"/>
        </w:tabs>
        <w:ind w:left="4848" w:hanging="360"/>
      </w:pPr>
      <w:rPr>
        <w:rFonts w:ascii="Courier New" w:hAnsi="Courier New" w:cs="Courier New" w:hint="default"/>
      </w:rPr>
    </w:lvl>
    <w:lvl w:ilvl="5" w:tplc="08160005" w:tentative="1">
      <w:start w:val="1"/>
      <w:numFmt w:val="bullet"/>
      <w:lvlText w:val=""/>
      <w:lvlJc w:val="left"/>
      <w:pPr>
        <w:tabs>
          <w:tab w:val="num" w:pos="5568"/>
        </w:tabs>
        <w:ind w:left="5568" w:hanging="360"/>
      </w:pPr>
      <w:rPr>
        <w:rFonts w:ascii="Wingdings" w:hAnsi="Wingdings" w:hint="default"/>
      </w:rPr>
    </w:lvl>
    <w:lvl w:ilvl="6" w:tplc="08160001" w:tentative="1">
      <w:start w:val="1"/>
      <w:numFmt w:val="bullet"/>
      <w:lvlText w:val=""/>
      <w:lvlJc w:val="left"/>
      <w:pPr>
        <w:tabs>
          <w:tab w:val="num" w:pos="6288"/>
        </w:tabs>
        <w:ind w:left="6288" w:hanging="360"/>
      </w:pPr>
      <w:rPr>
        <w:rFonts w:ascii="Symbol" w:hAnsi="Symbol" w:hint="default"/>
      </w:rPr>
    </w:lvl>
    <w:lvl w:ilvl="7" w:tplc="08160003" w:tentative="1">
      <w:start w:val="1"/>
      <w:numFmt w:val="bullet"/>
      <w:lvlText w:val="o"/>
      <w:lvlJc w:val="left"/>
      <w:pPr>
        <w:tabs>
          <w:tab w:val="num" w:pos="7008"/>
        </w:tabs>
        <w:ind w:left="7008" w:hanging="360"/>
      </w:pPr>
      <w:rPr>
        <w:rFonts w:ascii="Courier New" w:hAnsi="Courier New" w:cs="Courier New" w:hint="default"/>
      </w:rPr>
    </w:lvl>
    <w:lvl w:ilvl="8" w:tplc="08160005" w:tentative="1">
      <w:start w:val="1"/>
      <w:numFmt w:val="bullet"/>
      <w:lvlText w:val=""/>
      <w:lvlJc w:val="left"/>
      <w:pPr>
        <w:tabs>
          <w:tab w:val="num" w:pos="7728"/>
        </w:tabs>
        <w:ind w:left="7728" w:hanging="360"/>
      </w:pPr>
      <w:rPr>
        <w:rFonts w:ascii="Wingdings" w:hAnsi="Wingdings" w:hint="default"/>
      </w:rPr>
    </w:lvl>
  </w:abstractNum>
  <w:abstractNum w:abstractNumId="8">
    <w:nsid w:val="2D6B29D4"/>
    <w:multiLevelType w:val="hybridMultilevel"/>
    <w:tmpl w:val="A46C57A4"/>
    <w:lvl w:ilvl="0" w:tplc="70A4C674">
      <w:start w:val="1"/>
      <w:numFmt w:val="bullet"/>
      <w:lvlText w:val=""/>
      <w:lvlJc w:val="left"/>
      <w:pPr>
        <w:tabs>
          <w:tab w:val="num" w:pos="1080"/>
        </w:tabs>
        <w:ind w:left="1080" w:hanging="360"/>
      </w:pPr>
      <w:rPr>
        <w:rFonts w:ascii="Wingdings" w:hAnsi="Wingdings" w:hint="default"/>
        <w:color w:val="000080"/>
      </w:rPr>
    </w:lvl>
    <w:lvl w:ilvl="1" w:tplc="08160003" w:tentative="1">
      <w:start w:val="1"/>
      <w:numFmt w:val="bullet"/>
      <w:lvlText w:val="o"/>
      <w:lvlJc w:val="left"/>
      <w:pPr>
        <w:tabs>
          <w:tab w:val="num" w:pos="1452"/>
        </w:tabs>
        <w:ind w:left="1452" w:hanging="360"/>
      </w:pPr>
      <w:rPr>
        <w:rFonts w:ascii="Courier New" w:hAnsi="Courier New" w:cs="Courier New" w:hint="default"/>
      </w:rPr>
    </w:lvl>
    <w:lvl w:ilvl="2" w:tplc="08160005" w:tentative="1">
      <w:start w:val="1"/>
      <w:numFmt w:val="bullet"/>
      <w:lvlText w:val=""/>
      <w:lvlJc w:val="left"/>
      <w:pPr>
        <w:tabs>
          <w:tab w:val="num" w:pos="2172"/>
        </w:tabs>
        <w:ind w:left="2172" w:hanging="360"/>
      </w:pPr>
      <w:rPr>
        <w:rFonts w:ascii="Wingdings" w:hAnsi="Wingdings" w:hint="default"/>
      </w:rPr>
    </w:lvl>
    <w:lvl w:ilvl="3" w:tplc="08160001" w:tentative="1">
      <w:start w:val="1"/>
      <w:numFmt w:val="bullet"/>
      <w:lvlText w:val=""/>
      <w:lvlJc w:val="left"/>
      <w:pPr>
        <w:tabs>
          <w:tab w:val="num" w:pos="2892"/>
        </w:tabs>
        <w:ind w:left="2892" w:hanging="360"/>
      </w:pPr>
      <w:rPr>
        <w:rFonts w:ascii="Symbol" w:hAnsi="Symbol" w:hint="default"/>
      </w:rPr>
    </w:lvl>
    <w:lvl w:ilvl="4" w:tplc="08160003" w:tentative="1">
      <w:start w:val="1"/>
      <w:numFmt w:val="bullet"/>
      <w:lvlText w:val="o"/>
      <w:lvlJc w:val="left"/>
      <w:pPr>
        <w:tabs>
          <w:tab w:val="num" w:pos="3612"/>
        </w:tabs>
        <w:ind w:left="3612" w:hanging="360"/>
      </w:pPr>
      <w:rPr>
        <w:rFonts w:ascii="Courier New" w:hAnsi="Courier New" w:cs="Courier New" w:hint="default"/>
      </w:rPr>
    </w:lvl>
    <w:lvl w:ilvl="5" w:tplc="08160005" w:tentative="1">
      <w:start w:val="1"/>
      <w:numFmt w:val="bullet"/>
      <w:lvlText w:val=""/>
      <w:lvlJc w:val="left"/>
      <w:pPr>
        <w:tabs>
          <w:tab w:val="num" w:pos="4332"/>
        </w:tabs>
        <w:ind w:left="4332" w:hanging="360"/>
      </w:pPr>
      <w:rPr>
        <w:rFonts w:ascii="Wingdings" w:hAnsi="Wingdings" w:hint="default"/>
      </w:rPr>
    </w:lvl>
    <w:lvl w:ilvl="6" w:tplc="08160001" w:tentative="1">
      <w:start w:val="1"/>
      <w:numFmt w:val="bullet"/>
      <w:lvlText w:val=""/>
      <w:lvlJc w:val="left"/>
      <w:pPr>
        <w:tabs>
          <w:tab w:val="num" w:pos="5052"/>
        </w:tabs>
        <w:ind w:left="5052" w:hanging="360"/>
      </w:pPr>
      <w:rPr>
        <w:rFonts w:ascii="Symbol" w:hAnsi="Symbol" w:hint="default"/>
      </w:rPr>
    </w:lvl>
    <w:lvl w:ilvl="7" w:tplc="08160003" w:tentative="1">
      <w:start w:val="1"/>
      <w:numFmt w:val="bullet"/>
      <w:lvlText w:val="o"/>
      <w:lvlJc w:val="left"/>
      <w:pPr>
        <w:tabs>
          <w:tab w:val="num" w:pos="5772"/>
        </w:tabs>
        <w:ind w:left="5772" w:hanging="360"/>
      </w:pPr>
      <w:rPr>
        <w:rFonts w:ascii="Courier New" w:hAnsi="Courier New" w:cs="Courier New" w:hint="default"/>
      </w:rPr>
    </w:lvl>
    <w:lvl w:ilvl="8" w:tplc="08160005" w:tentative="1">
      <w:start w:val="1"/>
      <w:numFmt w:val="bullet"/>
      <w:lvlText w:val=""/>
      <w:lvlJc w:val="left"/>
      <w:pPr>
        <w:tabs>
          <w:tab w:val="num" w:pos="6492"/>
        </w:tabs>
        <w:ind w:left="6492" w:hanging="360"/>
      </w:pPr>
      <w:rPr>
        <w:rFonts w:ascii="Wingdings" w:hAnsi="Wingdings" w:hint="default"/>
      </w:rPr>
    </w:lvl>
  </w:abstractNum>
  <w:abstractNum w:abstractNumId="9">
    <w:nsid w:val="327872B9"/>
    <w:multiLevelType w:val="multilevel"/>
    <w:tmpl w:val="FF18FB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1E65B5B"/>
    <w:multiLevelType w:val="multilevel"/>
    <w:tmpl w:val="FD9025EC"/>
    <w:lvl w:ilvl="0">
      <w:start w:val="1"/>
      <w:numFmt w:val="bullet"/>
      <w:lvlText w:val=""/>
      <w:lvlPicBulletId w:val="4"/>
      <w:lvlJc w:val="left"/>
      <w:pPr>
        <w:tabs>
          <w:tab w:val="num" w:pos="1510"/>
        </w:tabs>
        <w:ind w:left="1510" w:hanging="360"/>
      </w:pPr>
      <w:rPr>
        <w:rFonts w:ascii="Symbol" w:hAnsi="Symbol" w:hint="default"/>
      </w:rPr>
    </w:lvl>
    <w:lvl w:ilvl="1">
      <w:start w:val="1"/>
      <w:numFmt w:val="bullet"/>
      <w:lvlText w:val="o"/>
      <w:lvlJc w:val="left"/>
      <w:pPr>
        <w:tabs>
          <w:tab w:val="num" w:pos="1510"/>
        </w:tabs>
        <w:ind w:left="1510" w:hanging="360"/>
      </w:pPr>
      <w:rPr>
        <w:rFonts w:ascii="Courier New" w:hAnsi="Courier New" w:cs="Courier New" w:hint="default"/>
      </w:rPr>
    </w:lvl>
    <w:lvl w:ilvl="2">
      <w:start w:val="1"/>
      <w:numFmt w:val="bullet"/>
      <w:lvlText w:val=""/>
      <w:lvlJc w:val="left"/>
      <w:pPr>
        <w:tabs>
          <w:tab w:val="num" w:pos="2230"/>
        </w:tabs>
        <w:ind w:left="2230" w:hanging="360"/>
      </w:pPr>
      <w:rPr>
        <w:rFonts w:ascii="Wingdings" w:hAnsi="Wingdings" w:hint="default"/>
      </w:rPr>
    </w:lvl>
    <w:lvl w:ilvl="3">
      <w:start w:val="1"/>
      <w:numFmt w:val="bullet"/>
      <w:lvlText w:val=""/>
      <w:lvlJc w:val="left"/>
      <w:pPr>
        <w:tabs>
          <w:tab w:val="num" w:pos="2950"/>
        </w:tabs>
        <w:ind w:left="2950" w:hanging="360"/>
      </w:pPr>
      <w:rPr>
        <w:rFonts w:ascii="Symbol" w:hAnsi="Symbol" w:hint="default"/>
      </w:rPr>
    </w:lvl>
    <w:lvl w:ilvl="4">
      <w:start w:val="1"/>
      <w:numFmt w:val="bullet"/>
      <w:lvlText w:val="o"/>
      <w:lvlJc w:val="left"/>
      <w:pPr>
        <w:tabs>
          <w:tab w:val="num" w:pos="3670"/>
        </w:tabs>
        <w:ind w:left="3670" w:hanging="360"/>
      </w:pPr>
      <w:rPr>
        <w:rFonts w:ascii="Courier New" w:hAnsi="Courier New" w:cs="Courier New" w:hint="default"/>
      </w:rPr>
    </w:lvl>
    <w:lvl w:ilvl="5">
      <w:start w:val="1"/>
      <w:numFmt w:val="bullet"/>
      <w:lvlText w:val=""/>
      <w:lvlJc w:val="left"/>
      <w:pPr>
        <w:tabs>
          <w:tab w:val="num" w:pos="4390"/>
        </w:tabs>
        <w:ind w:left="4390" w:hanging="360"/>
      </w:pPr>
      <w:rPr>
        <w:rFonts w:ascii="Wingdings" w:hAnsi="Wingdings" w:hint="default"/>
      </w:rPr>
    </w:lvl>
    <w:lvl w:ilvl="6">
      <w:start w:val="1"/>
      <w:numFmt w:val="bullet"/>
      <w:lvlText w:val=""/>
      <w:lvlJc w:val="left"/>
      <w:pPr>
        <w:tabs>
          <w:tab w:val="num" w:pos="5110"/>
        </w:tabs>
        <w:ind w:left="5110" w:hanging="360"/>
      </w:pPr>
      <w:rPr>
        <w:rFonts w:ascii="Symbol" w:hAnsi="Symbol" w:hint="default"/>
      </w:rPr>
    </w:lvl>
    <w:lvl w:ilvl="7">
      <w:start w:val="1"/>
      <w:numFmt w:val="bullet"/>
      <w:lvlText w:val="o"/>
      <w:lvlJc w:val="left"/>
      <w:pPr>
        <w:tabs>
          <w:tab w:val="num" w:pos="5830"/>
        </w:tabs>
        <w:ind w:left="5830" w:hanging="360"/>
      </w:pPr>
      <w:rPr>
        <w:rFonts w:ascii="Courier New" w:hAnsi="Courier New" w:cs="Courier New" w:hint="default"/>
      </w:rPr>
    </w:lvl>
    <w:lvl w:ilvl="8">
      <w:start w:val="1"/>
      <w:numFmt w:val="bullet"/>
      <w:lvlText w:val=""/>
      <w:lvlJc w:val="left"/>
      <w:pPr>
        <w:tabs>
          <w:tab w:val="num" w:pos="6550"/>
        </w:tabs>
        <w:ind w:left="6550" w:hanging="360"/>
      </w:pPr>
      <w:rPr>
        <w:rFonts w:ascii="Wingdings" w:hAnsi="Wingdings" w:hint="default"/>
      </w:rPr>
    </w:lvl>
  </w:abstractNum>
  <w:abstractNum w:abstractNumId="11">
    <w:nsid w:val="4DD812FC"/>
    <w:multiLevelType w:val="hybridMultilevel"/>
    <w:tmpl w:val="FD9025EC"/>
    <w:lvl w:ilvl="0" w:tplc="D0282894">
      <w:start w:val="1"/>
      <w:numFmt w:val="bullet"/>
      <w:lvlText w:val=""/>
      <w:lvlPicBulletId w:val="4"/>
      <w:lvlJc w:val="left"/>
      <w:pPr>
        <w:tabs>
          <w:tab w:val="num" w:pos="1510"/>
        </w:tabs>
        <w:ind w:left="1510" w:hanging="360"/>
      </w:pPr>
      <w:rPr>
        <w:rFonts w:ascii="Symbol" w:hAnsi="Symbol" w:hint="default"/>
      </w:rPr>
    </w:lvl>
    <w:lvl w:ilvl="1" w:tplc="08160003" w:tentative="1">
      <w:start w:val="1"/>
      <w:numFmt w:val="bullet"/>
      <w:lvlText w:val="o"/>
      <w:lvlJc w:val="left"/>
      <w:pPr>
        <w:tabs>
          <w:tab w:val="num" w:pos="1510"/>
        </w:tabs>
        <w:ind w:left="1510" w:hanging="360"/>
      </w:pPr>
      <w:rPr>
        <w:rFonts w:ascii="Courier New" w:hAnsi="Courier New" w:cs="Courier New" w:hint="default"/>
      </w:rPr>
    </w:lvl>
    <w:lvl w:ilvl="2" w:tplc="08160005" w:tentative="1">
      <w:start w:val="1"/>
      <w:numFmt w:val="bullet"/>
      <w:lvlText w:val=""/>
      <w:lvlJc w:val="left"/>
      <w:pPr>
        <w:tabs>
          <w:tab w:val="num" w:pos="2230"/>
        </w:tabs>
        <w:ind w:left="2230" w:hanging="360"/>
      </w:pPr>
      <w:rPr>
        <w:rFonts w:ascii="Wingdings" w:hAnsi="Wingdings" w:hint="default"/>
      </w:rPr>
    </w:lvl>
    <w:lvl w:ilvl="3" w:tplc="08160001" w:tentative="1">
      <w:start w:val="1"/>
      <w:numFmt w:val="bullet"/>
      <w:lvlText w:val=""/>
      <w:lvlJc w:val="left"/>
      <w:pPr>
        <w:tabs>
          <w:tab w:val="num" w:pos="2950"/>
        </w:tabs>
        <w:ind w:left="2950" w:hanging="360"/>
      </w:pPr>
      <w:rPr>
        <w:rFonts w:ascii="Symbol" w:hAnsi="Symbol" w:hint="default"/>
      </w:rPr>
    </w:lvl>
    <w:lvl w:ilvl="4" w:tplc="08160003" w:tentative="1">
      <w:start w:val="1"/>
      <w:numFmt w:val="bullet"/>
      <w:lvlText w:val="o"/>
      <w:lvlJc w:val="left"/>
      <w:pPr>
        <w:tabs>
          <w:tab w:val="num" w:pos="3670"/>
        </w:tabs>
        <w:ind w:left="3670" w:hanging="360"/>
      </w:pPr>
      <w:rPr>
        <w:rFonts w:ascii="Courier New" w:hAnsi="Courier New" w:cs="Courier New" w:hint="default"/>
      </w:rPr>
    </w:lvl>
    <w:lvl w:ilvl="5" w:tplc="08160005" w:tentative="1">
      <w:start w:val="1"/>
      <w:numFmt w:val="bullet"/>
      <w:lvlText w:val=""/>
      <w:lvlJc w:val="left"/>
      <w:pPr>
        <w:tabs>
          <w:tab w:val="num" w:pos="4390"/>
        </w:tabs>
        <w:ind w:left="4390" w:hanging="360"/>
      </w:pPr>
      <w:rPr>
        <w:rFonts w:ascii="Wingdings" w:hAnsi="Wingdings" w:hint="default"/>
      </w:rPr>
    </w:lvl>
    <w:lvl w:ilvl="6" w:tplc="08160001" w:tentative="1">
      <w:start w:val="1"/>
      <w:numFmt w:val="bullet"/>
      <w:lvlText w:val=""/>
      <w:lvlJc w:val="left"/>
      <w:pPr>
        <w:tabs>
          <w:tab w:val="num" w:pos="5110"/>
        </w:tabs>
        <w:ind w:left="5110" w:hanging="360"/>
      </w:pPr>
      <w:rPr>
        <w:rFonts w:ascii="Symbol" w:hAnsi="Symbol" w:hint="default"/>
      </w:rPr>
    </w:lvl>
    <w:lvl w:ilvl="7" w:tplc="08160003" w:tentative="1">
      <w:start w:val="1"/>
      <w:numFmt w:val="bullet"/>
      <w:lvlText w:val="o"/>
      <w:lvlJc w:val="left"/>
      <w:pPr>
        <w:tabs>
          <w:tab w:val="num" w:pos="5830"/>
        </w:tabs>
        <w:ind w:left="5830" w:hanging="360"/>
      </w:pPr>
      <w:rPr>
        <w:rFonts w:ascii="Courier New" w:hAnsi="Courier New" w:cs="Courier New" w:hint="default"/>
      </w:rPr>
    </w:lvl>
    <w:lvl w:ilvl="8" w:tplc="08160005" w:tentative="1">
      <w:start w:val="1"/>
      <w:numFmt w:val="bullet"/>
      <w:lvlText w:val=""/>
      <w:lvlJc w:val="left"/>
      <w:pPr>
        <w:tabs>
          <w:tab w:val="num" w:pos="6550"/>
        </w:tabs>
        <w:ind w:left="6550" w:hanging="360"/>
      </w:pPr>
      <w:rPr>
        <w:rFonts w:ascii="Wingdings" w:hAnsi="Wingdings" w:hint="default"/>
      </w:rPr>
    </w:lvl>
  </w:abstractNum>
  <w:abstractNum w:abstractNumId="12">
    <w:nsid w:val="4EDB003D"/>
    <w:multiLevelType w:val="hybridMultilevel"/>
    <w:tmpl w:val="890E84FE"/>
    <w:lvl w:ilvl="0" w:tplc="D0282894">
      <w:start w:val="1"/>
      <w:numFmt w:val="bullet"/>
      <w:lvlText w:val=""/>
      <w:lvlPicBulletId w:val="4"/>
      <w:lvlJc w:val="left"/>
      <w:pPr>
        <w:tabs>
          <w:tab w:val="num" w:pos="726"/>
        </w:tabs>
        <w:ind w:left="726" w:hanging="360"/>
      </w:pPr>
      <w:rPr>
        <w:rFonts w:ascii="Symbol" w:hAnsi="Symbol" w:hint="default"/>
      </w:rPr>
    </w:lvl>
    <w:lvl w:ilvl="1" w:tplc="08160007">
      <w:start w:val="1"/>
      <w:numFmt w:val="bullet"/>
      <w:lvlText w:val=""/>
      <w:lvlPicBulletId w:val="4"/>
      <w:lvlJc w:val="left"/>
      <w:pPr>
        <w:tabs>
          <w:tab w:val="num" w:pos="1446"/>
        </w:tabs>
        <w:ind w:left="1446" w:hanging="360"/>
      </w:pPr>
      <w:rPr>
        <w:rFonts w:ascii="Symbol" w:hAnsi="Symbol" w:hint="default"/>
      </w:rPr>
    </w:lvl>
    <w:lvl w:ilvl="2" w:tplc="FAF29F62" w:tentative="1">
      <w:start w:val="1"/>
      <w:numFmt w:val="bullet"/>
      <w:lvlText w:val=""/>
      <w:lvlJc w:val="left"/>
      <w:pPr>
        <w:tabs>
          <w:tab w:val="num" w:pos="2166"/>
        </w:tabs>
        <w:ind w:left="2166" w:hanging="360"/>
      </w:pPr>
      <w:rPr>
        <w:rFonts w:ascii="Symbol" w:hAnsi="Symbol" w:hint="default"/>
      </w:rPr>
    </w:lvl>
    <w:lvl w:ilvl="3" w:tplc="FF8A08CE" w:tentative="1">
      <w:start w:val="1"/>
      <w:numFmt w:val="bullet"/>
      <w:lvlText w:val=""/>
      <w:lvlJc w:val="left"/>
      <w:pPr>
        <w:tabs>
          <w:tab w:val="num" w:pos="2886"/>
        </w:tabs>
        <w:ind w:left="2886" w:hanging="360"/>
      </w:pPr>
      <w:rPr>
        <w:rFonts w:ascii="Symbol" w:hAnsi="Symbol" w:hint="default"/>
      </w:rPr>
    </w:lvl>
    <w:lvl w:ilvl="4" w:tplc="10E689B4" w:tentative="1">
      <w:start w:val="1"/>
      <w:numFmt w:val="bullet"/>
      <w:lvlText w:val=""/>
      <w:lvlJc w:val="left"/>
      <w:pPr>
        <w:tabs>
          <w:tab w:val="num" w:pos="3606"/>
        </w:tabs>
        <w:ind w:left="3606" w:hanging="360"/>
      </w:pPr>
      <w:rPr>
        <w:rFonts w:ascii="Symbol" w:hAnsi="Symbol" w:hint="default"/>
      </w:rPr>
    </w:lvl>
    <w:lvl w:ilvl="5" w:tplc="3B5CA110" w:tentative="1">
      <w:start w:val="1"/>
      <w:numFmt w:val="bullet"/>
      <w:lvlText w:val=""/>
      <w:lvlJc w:val="left"/>
      <w:pPr>
        <w:tabs>
          <w:tab w:val="num" w:pos="4326"/>
        </w:tabs>
        <w:ind w:left="4326" w:hanging="360"/>
      </w:pPr>
      <w:rPr>
        <w:rFonts w:ascii="Symbol" w:hAnsi="Symbol" w:hint="default"/>
      </w:rPr>
    </w:lvl>
    <w:lvl w:ilvl="6" w:tplc="76B0BA34" w:tentative="1">
      <w:start w:val="1"/>
      <w:numFmt w:val="bullet"/>
      <w:lvlText w:val=""/>
      <w:lvlJc w:val="left"/>
      <w:pPr>
        <w:tabs>
          <w:tab w:val="num" w:pos="5046"/>
        </w:tabs>
        <w:ind w:left="5046" w:hanging="360"/>
      </w:pPr>
      <w:rPr>
        <w:rFonts w:ascii="Symbol" w:hAnsi="Symbol" w:hint="default"/>
      </w:rPr>
    </w:lvl>
    <w:lvl w:ilvl="7" w:tplc="D9007E18" w:tentative="1">
      <w:start w:val="1"/>
      <w:numFmt w:val="bullet"/>
      <w:lvlText w:val=""/>
      <w:lvlJc w:val="left"/>
      <w:pPr>
        <w:tabs>
          <w:tab w:val="num" w:pos="5766"/>
        </w:tabs>
        <w:ind w:left="5766" w:hanging="360"/>
      </w:pPr>
      <w:rPr>
        <w:rFonts w:ascii="Symbol" w:hAnsi="Symbol" w:hint="default"/>
      </w:rPr>
    </w:lvl>
    <w:lvl w:ilvl="8" w:tplc="EBA8173C" w:tentative="1">
      <w:start w:val="1"/>
      <w:numFmt w:val="bullet"/>
      <w:lvlText w:val=""/>
      <w:lvlJc w:val="left"/>
      <w:pPr>
        <w:tabs>
          <w:tab w:val="num" w:pos="6486"/>
        </w:tabs>
        <w:ind w:left="6486" w:hanging="360"/>
      </w:pPr>
      <w:rPr>
        <w:rFonts w:ascii="Symbol" w:hAnsi="Symbol" w:hint="default"/>
      </w:rPr>
    </w:lvl>
  </w:abstractNum>
  <w:abstractNum w:abstractNumId="13">
    <w:nsid w:val="52B11E56"/>
    <w:multiLevelType w:val="hybridMultilevel"/>
    <w:tmpl w:val="38EE675E"/>
    <w:lvl w:ilvl="0" w:tplc="AA308C1A">
      <w:start w:val="1"/>
      <w:numFmt w:val="lowerLetter"/>
      <w:lvlText w:val="%1)"/>
      <w:lvlJc w:val="left"/>
      <w:pPr>
        <w:tabs>
          <w:tab w:val="num" w:pos="1933"/>
        </w:tabs>
        <w:ind w:left="1933" w:hanging="1185"/>
      </w:pPr>
      <w:rPr>
        <w:rFonts w:hint="default"/>
        <w:b w:val="0"/>
      </w:rPr>
    </w:lvl>
    <w:lvl w:ilvl="1" w:tplc="08160019" w:tentative="1">
      <w:start w:val="1"/>
      <w:numFmt w:val="lowerLetter"/>
      <w:lvlText w:val="%2."/>
      <w:lvlJc w:val="left"/>
      <w:pPr>
        <w:tabs>
          <w:tab w:val="num" w:pos="1828"/>
        </w:tabs>
        <w:ind w:left="1828" w:hanging="360"/>
      </w:pPr>
    </w:lvl>
    <w:lvl w:ilvl="2" w:tplc="0816001B" w:tentative="1">
      <w:start w:val="1"/>
      <w:numFmt w:val="lowerRoman"/>
      <w:lvlText w:val="%3."/>
      <w:lvlJc w:val="right"/>
      <w:pPr>
        <w:tabs>
          <w:tab w:val="num" w:pos="2548"/>
        </w:tabs>
        <w:ind w:left="2548" w:hanging="180"/>
      </w:pPr>
    </w:lvl>
    <w:lvl w:ilvl="3" w:tplc="0816000F" w:tentative="1">
      <w:start w:val="1"/>
      <w:numFmt w:val="decimal"/>
      <w:lvlText w:val="%4."/>
      <w:lvlJc w:val="left"/>
      <w:pPr>
        <w:tabs>
          <w:tab w:val="num" w:pos="3268"/>
        </w:tabs>
        <w:ind w:left="3268" w:hanging="360"/>
      </w:pPr>
    </w:lvl>
    <w:lvl w:ilvl="4" w:tplc="08160019" w:tentative="1">
      <w:start w:val="1"/>
      <w:numFmt w:val="lowerLetter"/>
      <w:lvlText w:val="%5."/>
      <w:lvlJc w:val="left"/>
      <w:pPr>
        <w:tabs>
          <w:tab w:val="num" w:pos="3988"/>
        </w:tabs>
        <w:ind w:left="3988" w:hanging="360"/>
      </w:pPr>
    </w:lvl>
    <w:lvl w:ilvl="5" w:tplc="0816001B" w:tentative="1">
      <w:start w:val="1"/>
      <w:numFmt w:val="lowerRoman"/>
      <w:lvlText w:val="%6."/>
      <w:lvlJc w:val="right"/>
      <w:pPr>
        <w:tabs>
          <w:tab w:val="num" w:pos="4708"/>
        </w:tabs>
        <w:ind w:left="4708" w:hanging="180"/>
      </w:pPr>
    </w:lvl>
    <w:lvl w:ilvl="6" w:tplc="0816000F" w:tentative="1">
      <w:start w:val="1"/>
      <w:numFmt w:val="decimal"/>
      <w:lvlText w:val="%7."/>
      <w:lvlJc w:val="left"/>
      <w:pPr>
        <w:tabs>
          <w:tab w:val="num" w:pos="5428"/>
        </w:tabs>
        <w:ind w:left="5428" w:hanging="360"/>
      </w:pPr>
    </w:lvl>
    <w:lvl w:ilvl="7" w:tplc="08160019" w:tentative="1">
      <w:start w:val="1"/>
      <w:numFmt w:val="lowerLetter"/>
      <w:lvlText w:val="%8."/>
      <w:lvlJc w:val="left"/>
      <w:pPr>
        <w:tabs>
          <w:tab w:val="num" w:pos="6148"/>
        </w:tabs>
        <w:ind w:left="6148" w:hanging="360"/>
      </w:pPr>
    </w:lvl>
    <w:lvl w:ilvl="8" w:tplc="0816001B" w:tentative="1">
      <w:start w:val="1"/>
      <w:numFmt w:val="lowerRoman"/>
      <w:lvlText w:val="%9."/>
      <w:lvlJc w:val="right"/>
      <w:pPr>
        <w:tabs>
          <w:tab w:val="num" w:pos="6868"/>
        </w:tabs>
        <w:ind w:left="6868" w:hanging="180"/>
      </w:pPr>
    </w:lvl>
  </w:abstractNum>
  <w:abstractNum w:abstractNumId="14">
    <w:nsid w:val="56774BF9"/>
    <w:multiLevelType w:val="hybridMultilevel"/>
    <w:tmpl w:val="3FD2AB62"/>
    <w:lvl w:ilvl="0" w:tplc="95B0FED6">
      <w:start w:val="1"/>
      <w:numFmt w:val="bullet"/>
      <w:lvlText w:val=""/>
      <w:lvlJc w:val="left"/>
      <w:pPr>
        <w:tabs>
          <w:tab w:val="num" w:pos="1068"/>
        </w:tabs>
        <w:ind w:left="1068" w:hanging="360"/>
      </w:pPr>
      <w:rPr>
        <w:rFonts w:ascii="Wingdings" w:hAnsi="Wingdings" w:hint="default"/>
      </w:rPr>
    </w:lvl>
    <w:lvl w:ilvl="1" w:tplc="08160003" w:tentative="1">
      <w:start w:val="1"/>
      <w:numFmt w:val="bullet"/>
      <w:lvlText w:val="o"/>
      <w:lvlJc w:val="left"/>
      <w:pPr>
        <w:tabs>
          <w:tab w:val="num" w:pos="1440"/>
        </w:tabs>
        <w:ind w:left="1440" w:hanging="360"/>
      </w:pPr>
      <w:rPr>
        <w:rFonts w:ascii="Courier New" w:hAnsi="Courier New" w:cs="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cs="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cs="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5">
    <w:nsid w:val="573716D9"/>
    <w:multiLevelType w:val="multilevel"/>
    <w:tmpl w:val="8D685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80B7468"/>
    <w:multiLevelType w:val="multilevel"/>
    <w:tmpl w:val="EFEA9B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00F5902"/>
    <w:multiLevelType w:val="hybridMultilevel"/>
    <w:tmpl w:val="D750998E"/>
    <w:lvl w:ilvl="0" w:tplc="D0282894">
      <w:start w:val="1"/>
      <w:numFmt w:val="bullet"/>
      <w:lvlText w:val=""/>
      <w:lvlPicBulletId w:val="4"/>
      <w:lvlJc w:val="left"/>
      <w:pPr>
        <w:tabs>
          <w:tab w:val="num" w:pos="1800"/>
        </w:tabs>
        <w:ind w:left="1800" w:hanging="360"/>
      </w:pPr>
      <w:rPr>
        <w:rFonts w:ascii="Symbol" w:hAnsi="Symbol" w:hint="default"/>
      </w:rPr>
    </w:lvl>
    <w:lvl w:ilvl="1" w:tplc="08160003" w:tentative="1">
      <w:start w:val="1"/>
      <w:numFmt w:val="bullet"/>
      <w:lvlText w:val="o"/>
      <w:lvlJc w:val="left"/>
      <w:pPr>
        <w:tabs>
          <w:tab w:val="num" w:pos="1800"/>
        </w:tabs>
        <w:ind w:left="1800" w:hanging="360"/>
      </w:pPr>
      <w:rPr>
        <w:rFonts w:ascii="Courier New" w:hAnsi="Courier New" w:cs="Courier New" w:hint="default"/>
      </w:rPr>
    </w:lvl>
    <w:lvl w:ilvl="2" w:tplc="08160005" w:tentative="1">
      <w:start w:val="1"/>
      <w:numFmt w:val="bullet"/>
      <w:lvlText w:val=""/>
      <w:lvlJc w:val="left"/>
      <w:pPr>
        <w:tabs>
          <w:tab w:val="num" w:pos="2520"/>
        </w:tabs>
        <w:ind w:left="2520" w:hanging="360"/>
      </w:pPr>
      <w:rPr>
        <w:rFonts w:ascii="Wingdings" w:hAnsi="Wingdings" w:hint="default"/>
      </w:rPr>
    </w:lvl>
    <w:lvl w:ilvl="3" w:tplc="08160001" w:tentative="1">
      <w:start w:val="1"/>
      <w:numFmt w:val="bullet"/>
      <w:lvlText w:val=""/>
      <w:lvlJc w:val="left"/>
      <w:pPr>
        <w:tabs>
          <w:tab w:val="num" w:pos="3240"/>
        </w:tabs>
        <w:ind w:left="3240" w:hanging="360"/>
      </w:pPr>
      <w:rPr>
        <w:rFonts w:ascii="Symbol" w:hAnsi="Symbol" w:hint="default"/>
      </w:rPr>
    </w:lvl>
    <w:lvl w:ilvl="4" w:tplc="08160003" w:tentative="1">
      <w:start w:val="1"/>
      <w:numFmt w:val="bullet"/>
      <w:lvlText w:val="o"/>
      <w:lvlJc w:val="left"/>
      <w:pPr>
        <w:tabs>
          <w:tab w:val="num" w:pos="3960"/>
        </w:tabs>
        <w:ind w:left="3960" w:hanging="360"/>
      </w:pPr>
      <w:rPr>
        <w:rFonts w:ascii="Courier New" w:hAnsi="Courier New" w:cs="Courier New" w:hint="default"/>
      </w:rPr>
    </w:lvl>
    <w:lvl w:ilvl="5" w:tplc="08160005" w:tentative="1">
      <w:start w:val="1"/>
      <w:numFmt w:val="bullet"/>
      <w:lvlText w:val=""/>
      <w:lvlJc w:val="left"/>
      <w:pPr>
        <w:tabs>
          <w:tab w:val="num" w:pos="4680"/>
        </w:tabs>
        <w:ind w:left="4680" w:hanging="360"/>
      </w:pPr>
      <w:rPr>
        <w:rFonts w:ascii="Wingdings" w:hAnsi="Wingdings" w:hint="default"/>
      </w:rPr>
    </w:lvl>
    <w:lvl w:ilvl="6" w:tplc="08160001" w:tentative="1">
      <w:start w:val="1"/>
      <w:numFmt w:val="bullet"/>
      <w:lvlText w:val=""/>
      <w:lvlJc w:val="left"/>
      <w:pPr>
        <w:tabs>
          <w:tab w:val="num" w:pos="5400"/>
        </w:tabs>
        <w:ind w:left="5400" w:hanging="360"/>
      </w:pPr>
      <w:rPr>
        <w:rFonts w:ascii="Symbol" w:hAnsi="Symbol" w:hint="default"/>
      </w:rPr>
    </w:lvl>
    <w:lvl w:ilvl="7" w:tplc="08160003" w:tentative="1">
      <w:start w:val="1"/>
      <w:numFmt w:val="bullet"/>
      <w:lvlText w:val="o"/>
      <w:lvlJc w:val="left"/>
      <w:pPr>
        <w:tabs>
          <w:tab w:val="num" w:pos="6120"/>
        </w:tabs>
        <w:ind w:left="6120" w:hanging="360"/>
      </w:pPr>
      <w:rPr>
        <w:rFonts w:ascii="Courier New" w:hAnsi="Courier New" w:cs="Courier New" w:hint="default"/>
      </w:rPr>
    </w:lvl>
    <w:lvl w:ilvl="8" w:tplc="08160005" w:tentative="1">
      <w:start w:val="1"/>
      <w:numFmt w:val="bullet"/>
      <w:lvlText w:val=""/>
      <w:lvlJc w:val="left"/>
      <w:pPr>
        <w:tabs>
          <w:tab w:val="num" w:pos="6840"/>
        </w:tabs>
        <w:ind w:left="6840" w:hanging="360"/>
      </w:pPr>
      <w:rPr>
        <w:rFonts w:ascii="Wingdings" w:hAnsi="Wingdings" w:hint="default"/>
      </w:rPr>
    </w:lvl>
  </w:abstractNum>
  <w:abstractNum w:abstractNumId="18">
    <w:nsid w:val="6C262A76"/>
    <w:multiLevelType w:val="hybridMultilevel"/>
    <w:tmpl w:val="704810F4"/>
    <w:lvl w:ilvl="0" w:tplc="08160005">
      <w:start w:val="1"/>
      <w:numFmt w:val="bullet"/>
      <w:lvlText w:val=""/>
      <w:lvlJc w:val="left"/>
      <w:pPr>
        <w:tabs>
          <w:tab w:val="num" w:pos="360"/>
        </w:tabs>
        <w:ind w:left="360" w:hanging="360"/>
      </w:pPr>
      <w:rPr>
        <w:rFonts w:ascii="Wingdings" w:hAnsi="Wingdings" w:hint="default"/>
      </w:rPr>
    </w:lvl>
    <w:lvl w:ilvl="1" w:tplc="08160003" w:tentative="1">
      <w:start w:val="1"/>
      <w:numFmt w:val="bullet"/>
      <w:lvlText w:val="o"/>
      <w:lvlJc w:val="left"/>
      <w:pPr>
        <w:tabs>
          <w:tab w:val="num" w:pos="1080"/>
        </w:tabs>
        <w:ind w:left="1080" w:hanging="360"/>
      </w:pPr>
      <w:rPr>
        <w:rFonts w:ascii="Courier New" w:hAnsi="Courier New" w:cs="Courier New" w:hint="default"/>
      </w:rPr>
    </w:lvl>
    <w:lvl w:ilvl="2" w:tplc="08160005" w:tentative="1">
      <w:start w:val="1"/>
      <w:numFmt w:val="bullet"/>
      <w:lvlText w:val=""/>
      <w:lvlJc w:val="left"/>
      <w:pPr>
        <w:tabs>
          <w:tab w:val="num" w:pos="1800"/>
        </w:tabs>
        <w:ind w:left="1800" w:hanging="360"/>
      </w:pPr>
      <w:rPr>
        <w:rFonts w:ascii="Wingdings" w:hAnsi="Wingdings" w:hint="default"/>
      </w:rPr>
    </w:lvl>
    <w:lvl w:ilvl="3" w:tplc="08160001" w:tentative="1">
      <w:start w:val="1"/>
      <w:numFmt w:val="bullet"/>
      <w:lvlText w:val=""/>
      <w:lvlJc w:val="left"/>
      <w:pPr>
        <w:tabs>
          <w:tab w:val="num" w:pos="2520"/>
        </w:tabs>
        <w:ind w:left="2520" w:hanging="360"/>
      </w:pPr>
      <w:rPr>
        <w:rFonts w:ascii="Symbol" w:hAnsi="Symbol" w:hint="default"/>
      </w:rPr>
    </w:lvl>
    <w:lvl w:ilvl="4" w:tplc="08160003" w:tentative="1">
      <w:start w:val="1"/>
      <w:numFmt w:val="bullet"/>
      <w:lvlText w:val="o"/>
      <w:lvlJc w:val="left"/>
      <w:pPr>
        <w:tabs>
          <w:tab w:val="num" w:pos="3240"/>
        </w:tabs>
        <w:ind w:left="3240" w:hanging="360"/>
      </w:pPr>
      <w:rPr>
        <w:rFonts w:ascii="Courier New" w:hAnsi="Courier New" w:cs="Courier New" w:hint="default"/>
      </w:rPr>
    </w:lvl>
    <w:lvl w:ilvl="5" w:tplc="08160005" w:tentative="1">
      <w:start w:val="1"/>
      <w:numFmt w:val="bullet"/>
      <w:lvlText w:val=""/>
      <w:lvlJc w:val="left"/>
      <w:pPr>
        <w:tabs>
          <w:tab w:val="num" w:pos="3960"/>
        </w:tabs>
        <w:ind w:left="3960" w:hanging="360"/>
      </w:pPr>
      <w:rPr>
        <w:rFonts w:ascii="Wingdings" w:hAnsi="Wingdings" w:hint="default"/>
      </w:rPr>
    </w:lvl>
    <w:lvl w:ilvl="6" w:tplc="08160001" w:tentative="1">
      <w:start w:val="1"/>
      <w:numFmt w:val="bullet"/>
      <w:lvlText w:val=""/>
      <w:lvlJc w:val="left"/>
      <w:pPr>
        <w:tabs>
          <w:tab w:val="num" w:pos="4680"/>
        </w:tabs>
        <w:ind w:left="4680" w:hanging="360"/>
      </w:pPr>
      <w:rPr>
        <w:rFonts w:ascii="Symbol" w:hAnsi="Symbol" w:hint="default"/>
      </w:rPr>
    </w:lvl>
    <w:lvl w:ilvl="7" w:tplc="08160003" w:tentative="1">
      <w:start w:val="1"/>
      <w:numFmt w:val="bullet"/>
      <w:lvlText w:val="o"/>
      <w:lvlJc w:val="left"/>
      <w:pPr>
        <w:tabs>
          <w:tab w:val="num" w:pos="5400"/>
        </w:tabs>
        <w:ind w:left="5400" w:hanging="360"/>
      </w:pPr>
      <w:rPr>
        <w:rFonts w:ascii="Courier New" w:hAnsi="Courier New" w:cs="Courier New" w:hint="default"/>
      </w:rPr>
    </w:lvl>
    <w:lvl w:ilvl="8" w:tplc="08160005" w:tentative="1">
      <w:start w:val="1"/>
      <w:numFmt w:val="bullet"/>
      <w:lvlText w:val=""/>
      <w:lvlJc w:val="left"/>
      <w:pPr>
        <w:tabs>
          <w:tab w:val="num" w:pos="6120"/>
        </w:tabs>
        <w:ind w:left="6120" w:hanging="360"/>
      </w:pPr>
      <w:rPr>
        <w:rFonts w:ascii="Wingdings" w:hAnsi="Wingdings" w:hint="default"/>
      </w:rPr>
    </w:lvl>
  </w:abstractNum>
  <w:abstractNum w:abstractNumId="19">
    <w:nsid w:val="6E904718"/>
    <w:multiLevelType w:val="hybridMultilevel"/>
    <w:tmpl w:val="524CC298"/>
    <w:lvl w:ilvl="0" w:tplc="E3027274">
      <w:start w:val="1"/>
      <w:numFmt w:val="bullet"/>
      <w:lvlText w:val=""/>
      <w:lvlJc w:val="left"/>
      <w:pPr>
        <w:tabs>
          <w:tab w:val="num" w:pos="1080"/>
        </w:tabs>
        <w:ind w:left="1080" w:hanging="360"/>
      </w:pPr>
      <w:rPr>
        <w:rFonts w:ascii="Wingdings" w:hAnsi="Wingdings" w:hint="default"/>
        <w:shadow/>
        <w:sz w:val="24"/>
        <w:szCs w:val="32"/>
      </w:rPr>
    </w:lvl>
    <w:lvl w:ilvl="1" w:tplc="08160003" w:tentative="1">
      <w:start w:val="1"/>
      <w:numFmt w:val="bullet"/>
      <w:lvlText w:val="o"/>
      <w:lvlJc w:val="left"/>
      <w:pPr>
        <w:tabs>
          <w:tab w:val="num" w:pos="1452"/>
        </w:tabs>
        <w:ind w:left="1452" w:hanging="360"/>
      </w:pPr>
      <w:rPr>
        <w:rFonts w:ascii="Courier New" w:hAnsi="Courier New" w:cs="Courier New" w:hint="default"/>
      </w:rPr>
    </w:lvl>
    <w:lvl w:ilvl="2" w:tplc="08160005" w:tentative="1">
      <w:start w:val="1"/>
      <w:numFmt w:val="bullet"/>
      <w:lvlText w:val=""/>
      <w:lvlJc w:val="left"/>
      <w:pPr>
        <w:tabs>
          <w:tab w:val="num" w:pos="2172"/>
        </w:tabs>
        <w:ind w:left="2172" w:hanging="360"/>
      </w:pPr>
      <w:rPr>
        <w:rFonts w:ascii="Wingdings" w:hAnsi="Wingdings" w:hint="default"/>
      </w:rPr>
    </w:lvl>
    <w:lvl w:ilvl="3" w:tplc="08160001" w:tentative="1">
      <w:start w:val="1"/>
      <w:numFmt w:val="bullet"/>
      <w:lvlText w:val=""/>
      <w:lvlJc w:val="left"/>
      <w:pPr>
        <w:tabs>
          <w:tab w:val="num" w:pos="2892"/>
        </w:tabs>
        <w:ind w:left="2892" w:hanging="360"/>
      </w:pPr>
      <w:rPr>
        <w:rFonts w:ascii="Symbol" w:hAnsi="Symbol" w:hint="default"/>
      </w:rPr>
    </w:lvl>
    <w:lvl w:ilvl="4" w:tplc="08160003" w:tentative="1">
      <w:start w:val="1"/>
      <w:numFmt w:val="bullet"/>
      <w:lvlText w:val="o"/>
      <w:lvlJc w:val="left"/>
      <w:pPr>
        <w:tabs>
          <w:tab w:val="num" w:pos="3612"/>
        </w:tabs>
        <w:ind w:left="3612" w:hanging="360"/>
      </w:pPr>
      <w:rPr>
        <w:rFonts w:ascii="Courier New" w:hAnsi="Courier New" w:cs="Courier New" w:hint="default"/>
      </w:rPr>
    </w:lvl>
    <w:lvl w:ilvl="5" w:tplc="08160005" w:tentative="1">
      <w:start w:val="1"/>
      <w:numFmt w:val="bullet"/>
      <w:lvlText w:val=""/>
      <w:lvlJc w:val="left"/>
      <w:pPr>
        <w:tabs>
          <w:tab w:val="num" w:pos="4332"/>
        </w:tabs>
        <w:ind w:left="4332" w:hanging="360"/>
      </w:pPr>
      <w:rPr>
        <w:rFonts w:ascii="Wingdings" w:hAnsi="Wingdings" w:hint="default"/>
      </w:rPr>
    </w:lvl>
    <w:lvl w:ilvl="6" w:tplc="08160001" w:tentative="1">
      <w:start w:val="1"/>
      <w:numFmt w:val="bullet"/>
      <w:lvlText w:val=""/>
      <w:lvlJc w:val="left"/>
      <w:pPr>
        <w:tabs>
          <w:tab w:val="num" w:pos="5052"/>
        </w:tabs>
        <w:ind w:left="5052" w:hanging="360"/>
      </w:pPr>
      <w:rPr>
        <w:rFonts w:ascii="Symbol" w:hAnsi="Symbol" w:hint="default"/>
      </w:rPr>
    </w:lvl>
    <w:lvl w:ilvl="7" w:tplc="08160003" w:tentative="1">
      <w:start w:val="1"/>
      <w:numFmt w:val="bullet"/>
      <w:lvlText w:val="o"/>
      <w:lvlJc w:val="left"/>
      <w:pPr>
        <w:tabs>
          <w:tab w:val="num" w:pos="5772"/>
        </w:tabs>
        <w:ind w:left="5772" w:hanging="360"/>
      </w:pPr>
      <w:rPr>
        <w:rFonts w:ascii="Courier New" w:hAnsi="Courier New" w:cs="Courier New" w:hint="default"/>
      </w:rPr>
    </w:lvl>
    <w:lvl w:ilvl="8" w:tplc="08160005" w:tentative="1">
      <w:start w:val="1"/>
      <w:numFmt w:val="bullet"/>
      <w:lvlText w:val=""/>
      <w:lvlJc w:val="left"/>
      <w:pPr>
        <w:tabs>
          <w:tab w:val="num" w:pos="6492"/>
        </w:tabs>
        <w:ind w:left="6492" w:hanging="360"/>
      </w:pPr>
      <w:rPr>
        <w:rFonts w:ascii="Wingdings" w:hAnsi="Wingdings" w:hint="default"/>
      </w:rPr>
    </w:lvl>
  </w:abstractNum>
  <w:abstractNum w:abstractNumId="20">
    <w:nsid w:val="731B1095"/>
    <w:multiLevelType w:val="hybridMultilevel"/>
    <w:tmpl w:val="21003D1C"/>
    <w:lvl w:ilvl="0" w:tplc="D0282894">
      <w:start w:val="1"/>
      <w:numFmt w:val="bullet"/>
      <w:lvlText w:val=""/>
      <w:lvlPicBulletId w:val="4"/>
      <w:lvlJc w:val="left"/>
      <w:pPr>
        <w:tabs>
          <w:tab w:val="num" w:pos="726"/>
        </w:tabs>
        <w:ind w:left="726" w:hanging="360"/>
      </w:pPr>
      <w:rPr>
        <w:rFonts w:ascii="Symbol" w:hAnsi="Symbol" w:hint="default"/>
      </w:rPr>
    </w:lvl>
    <w:lvl w:ilvl="1" w:tplc="08160007">
      <w:start w:val="1"/>
      <w:numFmt w:val="bullet"/>
      <w:lvlText w:val=""/>
      <w:lvlPicBulletId w:val="4"/>
      <w:lvlJc w:val="left"/>
      <w:pPr>
        <w:tabs>
          <w:tab w:val="num" w:pos="1446"/>
        </w:tabs>
        <w:ind w:left="1446" w:hanging="360"/>
      </w:pPr>
      <w:rPr>
        <w:rFonts w:ascii="Symbol" w:hAnsi="Symbol" w:hint="default"/>
      </w:rPr>
    </w:lvl>
    <w:lvl w:ilvl="2" w:tplc="FAF29F62" w:tentative="1">
      <w:start w:val="1"/>
      <w:numFmt w:val="bullet"/>
      <w:lvlText w:val=""/>
      <w:lvlJc w:val="left"/>
      <w:pPr>
        <w:tabs>
          <w:tab w:val="num" w:pos="2166"/>
        </w:tabs>
        <w:ind w:left="2166" w:hanging="360"/>
      </w:pPr>
      <w:rPr>
        <w:rFonts w:ascii="Symbol" w:hAnsi="Symbol" w:hint="default"/>
      </w:rPr>
    </w:lvl>
    <w:lvl w:ilvl="3" w:tplc="FF8A08CE" w:tentative="1">
      <w:start w:val="1"/>
      <w:numFmt w:val="bullet"/>
      <w:lvlText w:val=""/>
      <w:lvlJc w:val="left"/>
      <w:pPr>
        <w:tabs>
          <w:tab w:val="num" w:pos="2886"/>
        </w:tabs>
        <w:ind w:left="2886" w:hanging="360"/>
      </w:pPr>
      <w:rPr>
        <w:rFonts w:ascii="Symbol" w:hAnsi="Symbol" w:hint="default"/>
      </w:rPr>
    </w:lvl>
    <w:lvl w:ilvl="4" w:tplc="10E689B4" w:tentative="1">
      <w:start w:val="1"/>
      <w:numFmt w:val="bullet"/>
      <w:lvlText w:val=""/>
      <w:lvlJc w:val="left"/>
      <w:pPr>
        <w:tabs>
          <w:tab w:val="num" w:pos="3606"/>
        </w:tabs>
        <w:ind w:left="3606" w:hanging="360"/>
      </w:pPr>
      <w:rPr>
        <w:rFonts w:ascii="Symbol" w:hAnsi="Symbol" w:hint="default"/>
      </w:rPr>
    </w:lvl>
    <w:lvl w:ilvl="5" w:tplc="3B5CA110" w:tentative="1">
      <w:start w:val="1"/>
      <w:numFmt w:val="bullet"/>
      <w:lvlText w:val=""/>
      <w:lvlJc w:val="left"/>
      <w:pPr>
        <w:tabs>
          <w:tab w:val="num" w:pos="4326"/>
        </w:tabs>
        <w:ind w:left="4326" w:hanging="360"/>
      </w:pPr>
      <w:rPr>
        <w:rFonts w:ascii="Symbol" w:hAnsi="Symbol" w:hint="default"/>
      </w:rPr>
    </w:lvl>
    <w:lvl w:ilvl="6" w:tplc="76B0BA34" w:tentative="1">
      <w:start w:val="1"/>
      <w:numFmt w:val="bullet"/>
      <w:lvlText w:val=""/>
      <w:lvlJc w:val="left"/>
      <w:pPr>
        <w:tabs>
          <w:tab w:val="num" w:pos="5046"/>
        </w:tabs>
        <w:ind w:left="5046" w:hanging="360"/>
      </w:pPr>
      <w:rPr>
        <w:rFonts w:ascii="Symbol" w:hAnsi="Symbol" w:hint="default"/>
      </w:rPr>
    </w:lvl>
    <w:lvl w:ilvl="7" w:tplc="D9007E18" w:tentative="1">
      <w:start w:val="1"/>
      <w:numFmt w:val="bullet"/>
      <w:lvlText w:val=""/>
      <w:lvlJc w:val="left"/>
      <w:pPr>
        <w:tabs>
          <w:tab w:val="num" w:pos="5766"/>
        </w:tabs>
        <w:ind w:left="5766" w:hanging="360"/>
      </w:pPr>
      <w:rPr>
        <w:rFonts w:ascii="Symbol" w:hAnsi="Symbol" w:hint="default"/>
      </w:rPr>
    </w:lvl>
    <w:lvl w:ilvl="8" w:tplc="EBA8173C" w:tentative="1">
      <w:start w:val="1"/>
      <w:numFmt w:val="bullet"/>
      <w:lvlText w:val=""/>
      <w:lvlJc w:val="left"/>
      <w:pPr>
        <w:tabs>
          <w:tab w:val="num" w:pos="6486"/>
        </w:tabs>
        <w:ind w:left="6486" w:hanging="360"/>
      </w:pPr>
      <w:rPr>
        <w:rFonts w:ascii="Symbol" w:hAnsi="Symbol" w:hint="default"/>
      </w:rPr>
    </w:lvl>
  </w:abstractNum>
  <w:abstractNum w:abstractNumId="21">
    <w:nsid w:val="74A0751A"/>
    <w:multiLevelType w:val="hybridMultilevel"/>
    <w:tmpl w:val="8918CBA2"/>
    <w:lvl w:ilvl="0" w:tplc="D0282894">
      <w:start w:val="1"/>
      <w:numFmt w:val="bullet"/>
      <w:lvlText w:val=""/>
      <w:lvlPicBulletId w:val="4"/>
      <w:lvlJc w:val="left"/>
      <w:pPr>
        <w:tabs>
          <w:tab w:val="num" w:pos="1510"/>
        </w:tabs>
        <w:ind w:left="1510" w:hanging="360"/>
      </w:pPr>
      <w:rPr>
        <w:rFonts w:ascii="Symbol" w:hAnsi="Symbol" w:hint="default"/>
      </w:rPr>
    </w:lvl>
    <w:lvl w:ilvl="1" w:tplc="08160003" w:tentative="1">
      <w:start w:val="1"/>
      <w:numFmt w:val="bullet"/>
      <w:lvlText w:val="o"/>
      <w:lvlJc w:val="left"/>
      <w:pPr>
        <w:tabs>
          <w:tab w:val="num" w:pos="1510"/>
        </w:tabs>
        <w:ind w:left="1510" w:hanging="360"/>
      </w:pPr>
      <w:rPr>
        <w:rFonts w:ascii="Courier New" w:hAnsi="Courier New" w:cs="Courier New" w:hint="default"/>
      </w:rPr>
    </w:lvl>
    <w:lvl w:ilvl="2" w:tplc="08160005" w:tentative="1">
      <w:start w:val="1"/>
      <w:numFmt w:val="bullet"/>
      <w:lvlText w:val=""/>
      <w:lvlJc w:val="left"/>
      <w:pPr>
        <w:tabs>
          <w:tab w:val="num" w:pos="2230"/>
        </w:tabs>
        <w:ind w:left="2230" w:hanging="360"/>
      </w:pPr>
      <w:rPr>
        <w:rFonts w:ascii="Wingdings" w:hAnsi="Wingdings" w:hint="default"/>
      </w:rPr>
    </w:lvl>
    <w:lvl w:ilvl="3" w:tplc="08160001" w:tentative="1">
      <w:start w:val="1"/>
      <w:numFmt w:val="bullet"/>
      <w:lvlText w:val=""/>
      <w:lvlJc w:val="left"/>
      <w:pPr>
        <w:tabs>
          <w:tab w:val="num" w:pos="2950"/>
        </w:tabs>
        <w:ind w:left="2950" w:hanging="360"/>
      </w:pPr>
      <w:rPr>
        <w:rFonts w:ascii="Symbol" w:hAnsi="Symbol" w:hint="default"/>
      </w:rPr>
    </w:lvl>
    <w:lvl w:ilvl="4" w:tplc="08160003" w:tentative="1">
      <w:start w:val="1"/>
      <w:numFmt w:val="bullet"/>
      <w:lvlText w:val="o"/>
      <w:lvlJc w:val="left"/>
      <w:pPr>
        <w:tabs>
          <w:tab w:val="num" w:pos="3670"/>
        </w:tabs>
        <w:ind w:left="3670" w:hanging="360"/>
      </w:pPr>
      <w:rPr>
        <w:rFonts w:ascii="Courier New" w:hAnsi="Courier New" w:cs="Courier New" w:hint="default"/>
      </w:rPr>
    </w:lvl>
    <w:lvl w:ilvl="5" w:tplc="08160005" w:tentative="1">
      <w:start w:val="1"/>
      <w:numFmt w:val="bullet"/>
      <w:lvlText w:val=""/>
      <w:lvlJc w:val="left"/>
      <w:pPr>
        <w:tabs>
          <w:tab w:val="num" w:pos="4390"/>
        </w:tabs>
        <w:ind w:left="4390" w:hanging="360"/>
      </w:pPr>
      <w:rPr>
        <w:rFonts w:ascii="Wingdings" w:hAnsi="Wingdings" w:hint="default"/>
      </w:rPr>
    </w:lvl>
    <w:lvl w:ilvl="6" w:tplc="08160001" w:tentative="1">
      <w:start w:val="1"/>
      <w:numFmt w:val="bullet"/>
      <w:lvlText w:val=""/>
      <w:lvlJc w:val="left"/>
      <w:pPr>
        <w:tabs>
          <w:tab w:val="num" w:pos="5110"/>
        </w:tabs>
        <w:ind w:left="5110" w:hanging="360"/>
      </w:pPr>
      <w:rPr>
        <w:rFonts w:ascii="Symbol" w:hAnsi="Symbol" w:hint="default"/>
      </w:rPr>
    </w:lvl>
    <w:lvl w:ilvl="7" w:tplc="08160003" w:tentative="1">
      <w:start w:val="1"/>
      <w:numFmt w:val="bullet"/>
      <w:lvlText w:val="o"/>
      <w:lvlJc w:val="left"/>
      <w:pPr>
        <w:tabs>
          <w:tab w:val="num" w:pos="5830"/>
        </w:tabs>
        <w:ind w:left="5830" w:hanging="360"/>
      </w:pPr>
      <w:rPr>
        <w:rFonts w:ascii="Courier New" w:hAnsi="Courier New" w:cs="Courier New" w:hint="default"/>
      </w:rPr>
    </w:lvl>
    <w:lvl w:ilvl="8" w:tplc="08160005" w:tentative="1">
      <w:start w:val="1"/>
      <w:numFmt w:val="bullet"/>
      <w:lvlText w:val=""/>
      <w:lvlJc w:val="left"/>
      <w:pPr>
        <w:tabs>
          <w:tab w:val="num" w:pos="6550"/>
        </w:tabs>
        <w:ind w:left="6550" w:hanging="360"/>
      </w:pPr>
      <w:rPr>
        <w:rFonts w:ascii="Wingdings" w:hAnsi="Wingdings" w:hint="default"/>
      </w:rPr>
    </w:lvl>
  </w:abstractNum>
  <w:abstractNum w:abstractNumId="22">
    <w:nsid w:val="784E1F66"/>
    <w:multiLevelType w:val="multilevel"/>
    <w:tmpl w:val="7D161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8F06596"/>
    <w:multiLevelType w:val="hybridMultilevel"/>
    <w:tmpl w:val="F300D532"/>
    <w:lvl w:ilvl="0" w:tplc="D0282894">
      <w:start w:val="1"/>
      <w:numFmt w:val="bullet"/>
      <w:lvlText w:val=""/>
      <w:lvlPicBulletId w:val="4"/>
      <w:lvlJc w:val="left"/>
      <w:pPr>
        <w:tabs>
          <w:tab w:val="num" w:pos="1080"/>
        </w:tabs>
        <w:ind w:left="1080" w:hanging="360"/>
      </w:pPr>
      <w:rPr>
        <w:rFonts w:ascii="Symbol" w:hAnsi="Symbol" w:hint="default"/>
      </w:rPr>
    </w:lvl>
    <w:lvl w:ilvl="1" w:tplc="08160003" w:tentative="1">
      <w:start w:val="1"/>
      <w:numFmt w:val="bullet"/>
      <w:lvlText w:val="o"/>
      <w:lvlJc w:val="left"/>
      <w:pPr>
        <w:tabs>
          <w:tab w:val="num" w:pos="1080"/>
        </w:tabs>
        <w:ind w:left="1080" w:hanging="360"/>
      </w:pPr>
      <w:rPr>
        <w:rFonts w:ascii="Courier New" w:hAnsi="Courier New" w:cs="Courier New" w:hint="default"/>
      </w:rPr>
    </w:lvl>
    <w:lvl w:ilvl="2" w:tplc="08160005" w:tentative="1">
      <w:start w:val="1"/>
      <w:numFmt w:val="bullet"/>
      <w:lvlText w:val=""/>
      <w:lvlJc w:val="left"/>
      <w:pPr>
        <w:tabs>
          <w:tab w:val="num" w:pos="1800"/>
        </w:tabs>
        <w:ind w:left="1800" w:hanging="360"/>
      </w:pPr>
      <w:rPr>
        <w:rFonts w:ascii="Wingdings" w:hAnsi="Wingdings" w:hint="default"/>
      </w:rPr>
    </w:lvl>
    <w:lvl w:ilvl="3" w:tplc="08160001" w:tentative="1">
      <w:start w:val="1"/>
      <w:numFmt w:val="bullet"/>
      <w:lvlText w:val=""/>
      <w:lvlJc w:val="left"/>
      <w:pPr>
        <w:tabs>
          <w:tab w:val="num" w:pos="2520"/>
        </w:tabs>
        <w:ind w:left="2520" w:hanging="360"/>
      </w:pPr>
      <w:rPr>
        <w:rFonts w:ascii="Symbol" w:hAnsi="Symbol" w:hint="default"/>
      </w:rPr>
    </w:lvl>
    <w:lvl w:ilvl="4" w:tplc="08160003" w:tentative="1">
      <w:start w:val="1"/>
      <w:numFmt w:val="bullet"/>
      <w:lvlText w:val="o"/>
      <w:lvlJc w:val="left"/>
      <w:pPr>
        <w:tabs>
          <w:tab w:val="num" w:pos="3240"/>
        </w:tabs>
        <w:ind w:left="3240" w:hanging="360"/>
      </w:pPr>
      <w:rPr>
        <w:rFonts w:ascii="Courier New" w:hAnsi="Courier New" w:cs="Courier New" w:hint="default"/>
      </w:rPr>
    </w:lvl>
    <w:lvl w:ilvl="5" w:tplc="08160005" w:tentative="1">
      <w:start w:val="1"/>
      <w:numFmt w:val="bullet"/>
      <w:lvlText w:val=""/>
      <w:lvlJc w:val="left"/>
      <w:pPr>
        <w:tabs>
          <w:tab w:val="num" w:pos="3960"/>
        </w:tabs>
        <w:ind w:left="3960" w:hanging="360"/>
      </w:pPr>
      <w:rPr>
        <w:rFonts w:ascii="Wingdings" w:hAnsi="Wingdings" w:hint="default"/>
      </w:rPr>
    </w:lvl>
    <w:lvl w:ilvl="6" w:tplc="08160001" w:tentative="1">
      <w:start w:val="1"/>
      <w:numFmt w:val="bullet"/>
      <w:lvlText w:val=""/>
      <w:lvlJc w:val="left"/>
      <w:pPr>
        <w:tabs>
          <w:tab w:val="num" w:pos="4680"/>
        </w:tabs>
        <w:ind w:left="4680" w:hanging="360"/>
      </w:pPr>
      <w:rPr>
        <w:rFonts w:ascii="Symbol" w:hAnsi="Symbol" w:hint="default"/>
      </w:rPr>
    </w:lvl>
    <w:lvl w:ilvl="7" w:tplc="08160003" w:tentative="1">
      <w:start w:val="1"/>
      <w:numFmt w:val="bullet"/>
      <w:lvlText w:val="o"/>
      <w:lvlJc w:val="left"/>
      <w:pPr>
        <w:tabs>
          <w:tab w:val="num" w:pos="5400"/>
        </w:tabs>
        <w:ind w:left="5400" w:hanging="360"/>
      </w:pPr>
      <w:rPr>
        <w:rFonts w:ascii="Courier New" w:hAnsi="Courier New" w:cs="Courier New" w:hint="default"/>
      </w:rPr>
    </w:lvl>
    <w:lvl w:ilvl="8" w:tplc="08160005" w:tentative="1">
      <w:start w:val="1"/>
      <w:numFmt w:val="bullet"/>
      <w:lvlText w:val=""/>
      <w:lvlJc w:val="left"/>
      <w:pPr>
        <w:tabs>
          <w:tab w:val="num" w:pos="6120"/>
        </w:tabs>
        <w:ind w:left="6120" w:hanging="360"/>
      </w:pPr>
      <w:rPr>
        <w:rFonts w:ascii="Wingdings" w:hAnsi="Wingdings" w:hint="default"/>
      </w:rPr>
    </w:lvl>
  </w:abstractNum>
  <w:abstractNum w:abstractNumId="24">
    <w:nsid w:val="7A4151EB"/>
    <w:multiLevelType w:val="hybridMultilevel"/>
    <w:tmpl w:val="AB0A3F50"/>
    <w:lvl w:ilvl="0" w:tplc="4B428D1A">
      <w:start w:val="1"/>
      <w:numFmt w:val="decimal"/>
      <w:lvlText w:val="%1-"/>
      <w:lvlJc w:val="left"/>
      <w:pPr>
        <w:tabs>
          <w:tab w:val="num" w:pos="3913"/>
        </w:tabs>
        <w:ind w:left="3913" w:hanging="360"/>
      </w:pPr>
      <w:rPr>
        <w:rFonts w:hint="default"/>
      </w:rPr>
    </w:lvl>
    <w:lvl w:ilvl="1" w:tplc="08160019" w:tentative="1">
      <w:start w:val="1"/>
      <w:numFmt w:val="lowerLetter"/>
      <w:lvlText w:val="%2."/>
      <w:lvlJc w:val="left"/>
      <w:pPr>
        <w:tabs>
          <w:tab w:val="num" w:pos="4633"/>
        </w:tabs>
        <w:ind w:left="4633" w:hanging="360"/>
      </w:pPr>
    </w:lvl>
    <w:lvl w:ilvl="2" w:tplc="0816001B" w:tentative="1">
      <w:start w:val="1"/>
      <w:numFmt w:val="lowerRoman"/>
      <w:lvlText w:val="%3."/>
      <w:lvlJc w:val="right"/>
      <w:pPr>
        <w:tabs>
          <w:tab w:val="num" w:pos="5353"/>
        </w:tabs>
        <w:ind w:left="5353" w:hanging="180"/>
      </w:pPr>
    </w:lvl>
    <w:lvl w:ilvl="3" w:tplc="0816000F" w:tentative="1">
      <w:start w:val="1"/>
      <w:numFmt w:val="decimal"/>
      <w:lvlText w:val="%4."/>
      <w:lvlJc w:val="left"/>
      <w:pPr>
        <w:tabs>
          <w:tab w:val="num" w:pos="6073"/>
        </w:tabs>
        <w:ind w:left="6073" w:hanging="360"/>
      </w:pPr>
    </w:lvl>
    <w:lvl w:ilvl="4" w:tplc="08160019" w:tentative="1">
      <w:start w:val="1"/>
      <w:numFmt w:val="lowerLetter"/>
      <w:lvlText w:val="%5."/>
      <w:lvlJc w:val="left"/>
      <w:pPr>
        <w:tabs>
          <w:tab w:val="num" w:pos="6793"/>
        </w:tabs>
        <w:ind w:left="6793" w:hanging="360"/>
      </w:pPr>
    </w:lvl>
    <w:lvl w:ilvl="5" w:tplc="0816001B" w:tentative="1">
      <w:start w:val="1"/>
      <w:numFmt w:val="lowerRoman"/>
      <w:lvlText w:val="%6."/>
      <w:lvlJc w:val="right"/>
      <w:pPr>
        <w:tabs>
          <w:tab w:val="num" w:pos="7513"/>
        </w:tabs>
        <w:ind w:left="7513" w:hanging="180"/>
      </w:pPr>
    </w:lvl>
    <w:lvl w:ilvl="6" w:tplc="0816000F" w:tentative="1">
      <w:start w:val="1"/>
      <w:numFmt w:val="decimal"/>
      <w:lvlText w:val="%7."/>
      <w:lvlJc w:val="left"/>
      <w:pPr>
        <w:tabs>
          <w:tab w:val="num" w:pos="8233"/>
        </w:tabs>
        <w:ind w:left="8233" w:hanging="360"/>
      </w:pPr>
    </w:lvl>
    <w:lvl w:ilvl="7" w:tplc="08160019" w:tentative="1">
      <w:start w:val="1"/>
      <w:numFmt w:val="lowerLetter"/>
      <w:lvlText w:val="%8."/>
      <w:lvlJc w:val="left"/>
      <w:pPr>
        <w:tabs>
          <w:tab w:val="num" w:pos="8953"/>
        </w:tabs>
        <w:ind w:left="8953" w:hanging="360"/>
      </w:pPr>
    </w:lvl>
    <w:lvl w:ilvl="8" w:tplc="0816001B" w:tentative="1">
      <w:start w:val="1"/>
      <w:numFmt w:val="lowerRoman"/>
      <w:lvlText w:val="%9."/>
      <w:lvlJc w:val="right"/>
      <w:pPr>
        <w:tabs>
          <w:tab w:val="num" w:pos="9673"/>
        </w:tabs>
        <w:ind w:left="9673" w:hanging="180"/>
      </w:pPr>
    </w:lvl>
  </w:abstractNum>
  <w:num w:numId="1">
    <w:abstractNumId w:val="0"/>
  </w:num>
  <w:num w:numId="2">
    <w:abstractNumId w:val="18"/>
  </w:num>
  <w:num w:numId="3">
    <w:abstractNumId w:val="1"/>
  </w:num>
  <w:num w:numId="4">
    <w:abstractNumId w:val="19"/>
  </w:num>
  <w:num w:numId="5">
    <w:abstractNumId w:val="14"/>
  </w:num>
  <w:num w:numId="6">
    <w:abstractNumId w:val="2"/>
  </w:num>
  <w:num w:numId="7">
    <w:abstractNumId w:val="23"/>
  </w:num>
  <w:num w:numId="8">
    <w:abstractNumId w:val="20"/>
  </w:num>
  <w:num w:numId="9">
    <w:abstractNumId w:val="5"/>
  </w:num>
  <w:num w:numId="10">
    <w:abstractNumId w:val="12"/>
  </w:num>
  <w:num w:numId="11">
    <w:abstractNumId w:val="6"/>
  </w:num>
  <w:num w:numId="12">
    <w:abstractNumId w:val="7"/>
  </w:num>
  <w:num w:numId="13">
    <w:abstractNumId w:val="11"/>
  </w:num>
  <w:num w:numId="14">
    <w:abstractNumId w:val="10"/>
  </w:num>
  <w:num w:numId="15">
    <w:abstractNumId w:val="21"/>
  </w:num>
  <w:num w:numId="16">
    <w:abstractNumId w:val="17"/>
  </w:num>
  <w:num w:numId="17">
    <w:abstractNumId w:val="24"/>
  </w:num>
  <w:num w:numId="18">
    <w:abstractNumId w:val="8"/>
  </w:num>
  <w:num w:numId="19">
    <w:abstractNumId w:val="3"/>
  </w:num>
  <w:num w:numId="20">
    <w:abstractNumId w:val="13"/>
  </w:num>
  <w:num w:numId="21">
    <w:abstractNumId w:val="15"/>
  </w:num>
  <w:num w:numId="22">
    <w:abstractNumId w:val="22"/>
  </w:num>
  <w:num w:numId="23">
    <w:abstractNumId w:val="4"/>
  </w:num>
  <w:num w:numId="24">
    <w:abstractNumId w:val="9"/>
  </w:num>
  <w:num w:numId="25">
    <w:abstractNumId w:val="16"/>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embedSystemFonts/>
  <w:proofState w:grammar="clean"/>
  <w:stylePaneFormatFilter w:val="3F01"/>
  <w:defaultTabStop w:val="720"/>
  <w:autoHyphenation/>
  <w:hyphenationZone w:val="357"/>
  <w:drawingGridHorizontalSpacing w:val="120"/>
  <w:displayHorizontalDrawingGridEvery w:val="2"/>
  <w:noPunctuationKerning/>
  <w:characterSpacingControl w:val="doNotCompress"/>
  <w:hdrShapeDefaults>
    <o:shapedefaults v:ext="edit" spidmax="89090" fill="f" fillcolor="#669" strokecolor="#036">
      <v:fill color="#669" rotate="t" on="f"/>
      <v:stroke color="#036" weight="1pt"/>
      <o:colormru v:ext="edit" colors="#ddd,#eaeaea,#ccecff,#f8f8f8,#ff6,#c60,#f60,#36f"/>
    </o:shapedefaults>
  </w:hdrShapeDefaults>
  <w:footnotePr>
    <w:footnote w:id="-1"/>
    <w:footnote w:id="0"/>
  </w:footnotePr>
  <w:endnotePr>
    <w:endnote w:id="-1"/>
    <w:endnote w:id="0"/>
  </w:endnotePr>
  <w:compat/>
  <w:rsids>
    <w:rsidRoot w:val="00D43AAC"/>
    <w:rsid w:val="000002F8"/>
    <w:rsid w:val="00000D79"/>
    <w:rsid w:val="00000EE0"/>
    <w:rsid w:val="0000122A"/>
    <w:rsid w:val="000012B6"/>
    <w:rsid w:val="00001533"/>
    <w:rsid w:val="00001B94"/>
    <w:rsid w:val="00001D0B"/>
    <w:rsid w:val="00002226"/>
    <w:rsid w:val="0000276D"/>
    <w:rsid w:val="00002E13"/>
    <w:rsid w:val="000032A8"/>
    <w:rsid w:val="00003332"/>
    <w:rsid w:val="00003345"/>
    <w:rsid w:val="000037CB"/>
    <w:rsid w:val="00003832"/>
    <w:rsid w:val="000038ED"/>
    <w:rsid w:val="00003C0D"/>
    <w:rsid w:val="00003C86"/>
    <w:rsid w:val="0000471A"/>
    <w:rsid w:val="000047EE"/>
    <w:rsid w:val="000049B6"/>
    <w:rsid w:val="00004D94"/>
    <w:rsid w:val="000051FB"/>
    <w:rsid w:val="000053F9"/>
    <w:rsid w:val="00005A50"/>
    <w:rsid w:val="00005D23"/>
    <w:rsid w:val="00005D44"/>
    <w:rsid w:val="00005F0C"/>
    <w:rsid w:val="00006369"/>
    <w:rsid w:val="00006825"/>
    <w:rsid w:val="000077B5"/>
    <w:rsid w:val="00007921"/>
    <w:rsid w:val="00007D68"/>
    <w:rsid w:val="00007E21"/>
    <w:rsid w:val="0001043F"/>
    <w:rsid w:val="00010871"/>
    <w:rsid w:val="0001111F"/>
    <w:rsid w:val="00011142"/>
    <w:rsid w:val="00011230"/>
    <w:rsid w:val="00011299"/>
    <w:rsid w:val="00011503"/>
    <w:rsid w:val="000117DB"/>
    <w:rsid w:val="000120D1"/>
    <w:rsid w:val="00012193"/>
    <w:rsid w:val="0001233E"/>
    <w:rsid w:val="0001282F"/>
    <w:rsid w:val="0001299A"/>
    <w:rsid w:val="00012B6A"/>
    <w:rsid w:val="00013331"/>
    <w:rsid w:val="0001345E"/>
    <w:rsid w:val="0001372E"/>
    <w:rsid w:val="00013B02"/>
    <w:rsid w:val="00013CD9"/>
    <w:rsid w:val="00014505"/>
    <w:rsid w:val="000147B0"/>
    <w:rsid w:val="0001484A"/>
    <w:rsid w:val="00014A69"/>
    <w:rsid w:val="00014C23"/>
    <w:rsid w:val="00014C64"/>
    <w:rsid w:val="00014E16"/>
    <w:rsid w:val="000151B3"/>
    <w:rsid w:val="000152D0"/>
    <w:rsid w:val="0001559B"/>
    <w:rsid w:val="000156CE"/>
    <w:rsid w:val="00016862"/>
    <w:rsid w:val="00016D39"/>
    <w:rsid w:val="00016E07"/>
    <w:rsid w:val="00016F96"/>
    <w:rsid w:val="00016FDD"/>
    <w:rsid w:val="00017C03"/>
    <w:rsid w:val="00017E6C"/>
    <w:rsid w:val="00017F77"/>
    <w:rsid w:val="00017FB8"/>
    <w:rsid w:val="00020B0E"/>
    <w:rsid w:val="00020C68"/>
    <w:rsid w:val="00020CF3"/>
    <w:rsid w:val="000210AB"/>
    <w:rsid w:val="000214F2"/>
    <w:rsid w:val="00021692"/>
    <w:rsid w:val="0002173C"/>
    <w:rsid w:val="00021E75"/>
    <w:rsid w:val="00022004"/>
    <w:rsid w:val="000222AD"/>
    <w:rsid w:val="00022444"/>
    <w:rsid w:val="000227B7"/>
    <w:rsid w:val="00022A46"/>
    <w:rsid w:val="00022E10"/>
    <w:rsid w:val="00023422"/>
    <w:rsid w:val="00023836"/>
    <w:rsid w:val="0002383A"/>
    <w:rsid w:val="00023C87"/>
    <w:rsid w:val="000243FA"/>
    <w:rsid w:val="00024417"/>
    <w:rsid w:val="00024446"/>
    <w:rsid w:val="0002457C"/>
    <w:rsid w:val="0002465E"/>
    <w:rsid w:val="00024A62"/>
    <w:rsid w:val="00024A7A"/>
    <w:rsid w:val="00024B5D"/>
    <w:rsid w:val="00024DAF"/>
    <w:rsid w:val="00024F2E"/>
    <w:rsid w:val="00024F51"/>
    <w:rsid w:val="0002502B"/>
    <w:rsid w:val="0002532D"/>
    <w:rsid w:val="00025698"/>
    <w:rsid w:val="00025810"/>
    <w:rsid w:val="00025936"/>
    <w:rsid w:val="00025CCF"/>
    <w:rsid w:val="00026A87"/>
    <w:rsid w:val="0002719D"/>
    <w:rsid w:val="0002746A"/>
    <w:rsid w:val="0002753C"/>
    <w:rsid w:val="00027FE3"/>
    <w:rsid w:val="00030B3D"/>
    <w:rsid w:val="00030D30"/>
    <w:rsid w:val="00030E91"/>
    <w:rsid w:val="00031258"/>
    <w:rsid w:val="000319FF"/>
    <w:rsid w:val="00031E2A"/>
    <w:rsid w:val="000324EF"/>
    <w:rsid w:val="000329BF"/>
    <w:rsid w:val="00032E9A"/>
    <w:rsid w:val="00033183"/>
    <w:rsid w:val="000339B7"/>
    <w:rsid w:val="00033BF0"/>
    <w:rsid w:val="00033C96"/>
    <w:rsid w:val="00033E52"/>
    <w:rsid w:val="00033F01"/>
    <w:rsid w:val="000345FA"/>
    <w:rsid w:val="00034732"/>
    <w:rsid w:val="00034874"/>
    <w:rsid w:val="00034A20"/>
    <w:rsid w:val="00034C9A"/>
    <w:rsid w:val="00034EBA"/>
    <w:rsid w:val="00035391"/>
    <w:rsid w:val="000357A4"/>
    <w:rsid w:val="00035A1E"/>
    <w:rsid w:val="00035F5C"/>
    <w:rsid w:val="000361F1"/>
    <w:rsid w:val="00036317"/>
    <w:rsid w:val="000363ED"/>
    <w:rsid w:val="000367F7"/>
    <w:rsid w:val="0003680F"/>
    <w:rsid w:val="00036F09"/>
    <w:rsid w:val="00036F2D"/>
    <w:rsid w:val="0003734B"/>
    <w:rsid w:val="00037D5B"/>
    <w:rsid w:val="00037EBA"/>
    <w:rsid w:val="00037FB6"/>
    <w:rsid w:val="0004015C"/>
    <w:rsid w:val="0004078E"/>
    <w:rsid w:val="00040C66"/>
    <w:rsid w:val="00040ECC"/>
    <w:rsid w:val="00040FB5"/>
    <w:rsid w:val="000410C3"/>
    <w:rsid w:val="00041355"/>
    <w:rsid w:val="00041B33"/>
    <w:rsid w:val="000423AF"/>
    <w:rsid w:val="00042405"/>
    <w:rsid w:val="000424CB"/>
    <w:rsid w:val="0004279E"/>
    <w:rsid w:val="000428C5"/>
    <w:rsid w:val="00042B91"/>
    <w:rsid w:val="00042E16"/>
    <w:rsid w:val="00042EC8"/>
    <w:rsid w:val="00043132"/>
    <w:rsid w:val="000437DB"/>
    <w:rsid w:val="00043D09"/>
    <w:rsid w:val="00043D21"/>
    <w:rsid w:val="00043F2B"/>
    <w:rsid w:val="00043F6D"/>
    <w:rsid w:val="000440AD"/>
    <w:rsid w:val="000442B0"/>
    <w:rsid w:val="00044A9D"/>
    <w:rsid w:val="00044AA0"/>
    <w:rsid w:val="00044B47"/>
    <w:rsid w:val="00044D6D"/>
    <w:rsid w:val="00044DC6"/>
    <w:rsid w:val="0004529F"/>
    <w:rsid w:val="0004542C"/>
    <w:rsid w:val="0004584A"/>
    <w:rsid w:val="00045A43"/>
    <w:rsid w:val="00045D9D"/>
    <w:rsid w:val="00045F77"/>
    <w:rsid w:val="000465E0"/>
    <w:rsid w:val="0004696A"/>
    <w:rsid w:val="00046EA7"/>
    <w:rsid w:val="000471FA"/>
    <w:rsid w:val="0004767D"/>
    <w:rsid w:val="000476DF"/>
    <w:rsid w:val="00047879"/>
    <w:rsid w:val="0004787C"/>
    <w:rsid w:val="000479F4"/>
    <w:rsid w:val="00047C75"/>
    <w:rsid w:val="00047D9D"/>
    <w:rsid w:val="00050181"/>
    <w:rsid w:val="000505BE"/>
    <w:rsid w:val="000506E3"/>
    <w:rsid w:val="0005087C"/>
    <w:rsid w:val="000509C1"/>
    <w:rsid w:val="00050BDB"/>
    <w:rsid w:val="00050E91"/>
    <w:rsid w:val="000516B9"/>
    <w:rsid w:val="0005172F"/>
    <w:rsid w:val="0005188C"/>
    <w:rsid w:val="0005189B"/>
    <w:rsid w:val="000519DC"/>
    <w:rsid w:val="00051DA3"/>
    <w:rsid w:val="00051FDC"/>
    <w:rsid w:val="000523A0"/>
    <w:rsid w:val="00052E69"/>
    <w:rsid w:val="0005332E"/>
    <w:rsid w:val="00053866"/>
    <w:rsid w:val="00054101"/>
    <w:rsid w:val="0005467A"/>
    <w:rsid w:val="00054710"/>
    <w:rsid w:val="00054DD9"/>
    <w:rsid w:val="00054EB6"/>
    <w:rsid w:val="00054F1F"/>
    <w:rsid w:val="0005511F"/>
    <w:rsid w:val="00055221"/>
    <w:rsid w:val="0005538E"/>
    <w:rsid w:val="000556FB"/>
    <w:rsid w:val="00055E7A"/>
    <w:rsid w:val="000569E0"/>
    <w:rsid w:val="00056C54"/>
    <w:rsid w:val="00056F93"/>
    <w:rsid w:val="0005703B"/>
    <w:rsid w:val="000570FD"/>
    <w:rsid w:val="000571BE"/>
    <w:rsid w:val="000573B0"/>
    <w:rsid w:val="0005743F"/>
    <w:rsid w:val="000574B9"/>
    <w:rsid w:val="000574CB"/>
    <w:rsid w:val="00057907"/>
    <w:rsid w:val="00060854"/>
    <w:rsid w:val="00060A7E"/>
    <w:rsid w:val="00060AAF"/>
    <w:rsid w:val="00060D49"/>
    <w:rsid w:val="00060EED"/>
    <w:rsid w:val="00061366"/>
    <w:rsid w:val="00061406"/>
    <w:rsid w:val="00061526"/>
    <w:rsid w:val="000615C0"/>
    <w:rsid w:val="0006177B"/>
    <w:rsid w:val="00061893"/>
    <w:rsid w:val="000619AD"/>
    <w:rsid w:val="00061E34"/>
    <w:rsid w:val="000624E2"/>
    <w:rsid w:val="0006253A"/>
    <w:rsid w:val="000627D2"/>
    <w:rsid w:val="000631A4"/>
    <w:rsid w:val="00063210"/>
    <w:rsid w:val="00063677"/>
    <w:rsid w:val="000637BF"/>
    <w:rsid w:val="00063C88"/>
    <w:rsid w:val="00063FC4"/>
    <w:rsid w:val="00064641"/>
    <w:rsid w:val="000647EA"/>
    <w:rsid w:val="00064A00"/>
    <w:rsid w:val="0006581F"/>
    <w:rsid w:val="00065A0C"/>
    <w:rsid w:val="00065B27"/>
    <w:rsid w:val="00065C3B"/>
    <w:rsid w:val="00066010"/>
    <w:rsid w:val="000667F6"/>
    <w:rsid w:val="00066EF6"/>
    <w:rsid w:val="00067056"/>
    <w:rsid w:val="00067324"/>
    <w:rsid w:val="0006740E"/>
    <w:rsid w:val="0006763F"/>
    <w:rsid w:val="00067652"/>
    <w:rsid w:val="00067977"/>
    <w:rsid w:val="00067F44"/>
    <w:rsid w:val="0007014A"/>
    <w:rsid w:val="0007053B"/>
    <w:rsid w:val="000709D9"/>
    <w:rsid w:val="000710D2"/>
    <w:rsid w:val="000710E9"/>
    <w:rsid w:val="00071BBD"/>
    <w:rsid w:val="00071E5A"/>
    <w:rsid w:val="00072064"/>
    <w:rsid w:val="00072436"/>
    <w:rsid w:val="0007254E"/>
    <w:rsid w:val="00072C0B"/>
    <w:rsid w:val="00072EB7"/>
    <w:rsid w:val="000734EE"/>
    <w:rsid w:val="000735B7"/>
    <w:rsid w:val="000735F4"/>
    <w:rsid w:val="0007365E"/>
    <w:rsid w:val="00073E1E"/>
    <w:rsid w:val="00073F34"/>
    <w:rsid w:val="000740BA"/>
    <w:rsid w:val="00074192"/>
    <w:rsid w:val="000749DB"/>
    <w:rsid w:val="00074B4C"/>
    <w:rsid w:val="00074CC4"/>
    <w:rsid w:val="00075034"/>
    <w:rsid w:val="00075A6A"/>
    <w:rsid w:val="00075C06"/>
    <w:rsid w:val="00075E75"/>
    <w:rsid w:val="00075F27"/>
    <w:rsid w:val="0007610A"/>
    <w:rsid w:val="0007688F"/>
    <w:rsid w:val="000770D9"/>
    <w:rsid w:val="0007718C"/>
    <w:rsid w:val="00077321"/>
    <w:rsid w:val="0007759C"/>
    <w:rsid w:val="0007764D"/>
    <w:rsid w:val="000776A3"/>
    <w:rsid w:val="00077CDE"/>
    <w:rsid w:val="00077D8D"/>
    <w:rsid w:val="00077D9D"/>
    <w:rsid w:val="00080023"/>
    <w:rsid w:val="0008075A"/>
    <w:rsid w:val="000809D6"/>
    <w:rsid w:val="00080C73"/>
    <w:rsid w:val="00081681"/>
    <w:rsid w:val="00081AA3"/>
    <w:rsid w:val="0008275F"/>
    <w:rsid w:val="00082AEB"/>
    <w:rsid w:val="00082C27"/>
    <w:rsid w:val="00082C43"/>
    <w:rsid w:val="00082C71"/>
    <w:rsid w:val="00083A3F"/>
    <w:rsid w:val="00083E48"/>
    <w:rsid w:val="00083F0B"/>
    <w:rsid w:val="0008450D"/>
    <w:rsid w:val="0008489E"/>
    <w:rsid w:val="00084C0F"/>
    <w:rsid w:val="00084E24"/>
    <w:rsid w:val="00085A67"/>
    <w:rsid w:val="00085D55"/>
    <w:rsid w:val="00086229"/>
    <w:rsid w:val="00086596"/>
    <w:rsid w:val="0008665C"/>
    <w:rsid w:val="0008671E"/>
    <w:rsid w:val="00086773"/>
    <w:rsid w:val="000869E9"/>
    <w:rsid w:val="00086C82"/>
    <w:rsid w:val="00086E89"/>
    <w:rsid w:val="000870C1"/>
    <w:rsid w:val="000871C1"/>
    <w:rsid w:val="0008765C"/>
    <w:rsid w:val="00087755"/>
    <w:rsid w:val="00090897"/>
    <w:rsid w:val="00090CF6"/>
    <w:rsid w:val="000910F0"/>
    <w:rsid w:val="0009137F"/>
    <w:rsid w:val="000916A8"/>
    <w:rsid w:val="00091BBF"/>
    <w:rsid w:val="00091BDE"/>
    <w:rsid w:val="00091DAA"/>
    <w:rsid w:val="000920D3"/>
    <w:rsid w:val="000922E3"/>
    <w:rsid w:val="000926E2"/>
    <w:rsid w:val="00092818"/>
    <w:rsid w:val="00092895"/>
    <w:rsid w:val="00092C8A"/>
    <w:rsid w:val="00092D56"/>
    <w:rsid w:val="000933FC"/>
    <w:rsid w:val="00093417"/>
    <w:rsid w:val="00093472"/>
    <w:rsid w:val="00093595"/>
    <w:rsid w:val="000936C3"/>
    <w:rsid w:val="000942B6"/>
    <w:rsid w:val="0009438D"/>
    <w:rsid w:val="00094544"/>
    <w:rsid w:val="00094612"/>
    <w:rsid w:val="0009467B"/>
    <w:rsid w:val="0009544D"/>
    <w:rsid w:val="00095760"/>
    <w:rsid w:val="00095ACA"/>
    <w:rsid w:val="00095E04"/>
    <w:rsid w:val="0009601C"/>
    <w:rsid w:val="00096071"/>
    <w:rsid w:val="00096598"/>
    <w:rsid w:val="000966FB"/>
    <w:rsid w:val="00096787"/>
    <w:rsid w:val="000969E6"/>
    <w:rsid w:val="000972E7"/>
    <w:rsid w:val="000975CC"/>
    <w:rsid w:val="000977D2"/>
    <w:rsid w:val="00097F47"/>
    <w:rsid w:val="000A01FF"/>
    <w:rsid w:val="000A061E"/>
    <w:rsid w:val="000A0668"/>
    <w:rsid w:val="000A076F"/>
    <w:rsid w:val="000A07A1"/>
    <w:rsid w:val="000A094A"/>
    <w:rsid w:val="000A0951"/>
    <w:rsid w:val="000A165C"/>
    <w:rsid w:val="000A251A"/>
    <w:rsid w:val="000A28E8"/>
    <w:rsid w:val="000A2913"/>
    <w:rsid w:val="000A2E8A"/>
    <w:rsid w:val="000A31D7"/>
    <w:rsid w:val="000A37A1"/>
    <w:rsid w:val="000A382F"/>
    <w:rsid w:val="000A38B6"/>
    <w:rsid w:val="000A3A8B"/>
    <w:rsid w:val="000A3E43"/>
    <w:rsid w:val="000A4440"/>
    <w:rsid w:val="000A4511"/>
    <w:rsid w:val="000A45FA"/>
    <w:rsid w:val="000A493C"/>
    <w:rsid w:val="000A4966"/>
    <w:rsid w:val="000A4C19"/>
    <w:rsid w:val="000A5278"/>
    <w:rsid w:val="000A52F4"/>
    <w:rsid w:val="000A5546"/>
    <w:rsid w:val="000A56E4"/>
    <w:rsid w:val="000A58F0"/>
    <w:rsid w:val="000A59E9"/>
    <w:rsid w:val="000A5A43"/>
    <w:rsid w:val="000A5E40"/>
    <w:rsid w:val="000A5E55"/>
    <w:rsid w:val="000A6347"/>
    <w:rsid w:val="000A65B6"/>
    <w:rsid w:val="000A65E4"/>
    <w:rsid w:val="000A6634"/>
    <w:rsid w:val="000A6D7E"/>
    <w:rsid w:val="000A7008"/>
    <w:rsid w:val="000A701A"/>
    <w:rsid w:val="000A72CE"/>
    <w:rsid w:val="000A7511"/>
    <w:rsid w:val="000A7A63"/>
    <w:rsid w:val="000A7C8B"/>
    <w:rsid w:val="000A7E54"/>
    <w:rsid w:val="000A7F7E"/>
    <w:rsid w:val="000B0018"/>
    <w:rsid w:val="000B0025"/>
    <w:rsid w:val="000B0049"/>
    <w:rsid w:val="000B07B8"/>
    <w:rsid w:val="000B08D6"/>
    <w:rsid w:val="000B08E7"/>
    <w:rsid w:val="000B0A18"/>
    <w:rsid w:val="000B0FFB"/>
    <w:rsid w:val="000B12B6"/>
    <w:rsid w:val="000B1A88"/>
    <w:rsid w:val="000B1B06"/>
    <w:rsid w:val="000B23CD"/>
    <w:rsid w:val="000B23F2"/>
    <w:rsid w:val="000B2686"/>
    <w:rsid w:val="000B27ED"/>
    <w:rsid w:val="000B286C"/>
    <w:rsid w:val="000B2A50"/>
    <w:rsid w:val="000B2C54"/>
    <w:rsid w:val="000B3658"/>
    <w:rsid w:val="000B382F"/>
    <w:rsid w:val="000B3A1A"/>
    <w:rsid w:val="000B3C73"/>
    <w:rsid w:val="000B3C8D"/>
    <w:rsid w:val="000B4094"/>
    <w:rsid w:val="000B40FE"/>
    <w:rsid w:val="000B42A8"/>
    <w:rsid w:val="000B42C6"/>
    <w:rsid w:val="000B47F0"/>
    <w:rsid w:val="000B4BB8"/>
    <w:rsid w:val="000B5230"/>
    <w:rsid w:val="000B5605"/>
    <w:rsid w:val="000B573D"/>
    <w:rsid w:val="000B57C5"/>
    <w:rsid w:val="000B5999"/>
    <w:rsid w:val="000B5AD9"/>
    <w:rsid w:val="000B5B57"/>
    <w:rsid w:val="000B5D0B"/>
    <w:rsid w:val="000B5D97"/>
    <w:rsid w:val="000B5F07"/>
    <w:rsid w:val="000B664D"/>
    <w:rsid w:val="000B6AB5"/>
    <w:rsid w:val="000B6B06"/>
    <w:rsid w:val="000B6E84"/>
    <w:rsid w:val="000B6F1A"/>
    <w:rsid w:val="000B6F61"/>
    <w:rsid w:val="000B6FFB"/>
    <w:rsid w:val="000B7644"/>
    <w:rsid w:val="000B769E"/>
    <w:rsid w:val="000B7B0F"/>
    <w:rsid w:val="000B7C8B"/>
    <w:rsid w:val="000C0169"/>
    <w:rsid w:val="000C0388"/>
    <w:rsid w:val="000C04C0"/>
    <w:rsid w:val="000C0A3D"/>
    <w:rsid w:val="000C1244"/>
    <w:rsid w:val="000C1859"/>
    <w:rsid w:val="000C1CBF"/>
    <w:rsid w:val="000C1D0F"/>
    <w:rsid w:val="000C2125"/>
    <w:rsid w:val="000C22FC"/>
    <w:rsid w:val="000C236E"/>
    <w:rsid w:val="000C2992"/>
    <w:rsid w:val="000C2C1B"/>
    <w:rsid w:val="000C32A6"/>
    <w:rsid w:val="000C33C9"/>
    <w:rsid w:val="000C3B1D"/>
    <w:rsid w:val="000C44E3"/>
    <w:rsid w:val="000C474C"/>
    <w:rsid w:val="000C4ED2"/>
    <w:rsid w:val="000C563B"/>
    <w:rsid w:val="000C58F6"/>
    <w:rsid w:val="000C5900"/>
    <w:rsid w:val="000C6299"/>
    <w:rsid w:val="000C65B3"/>
    <w:rsid w:val="000C6B18"/>
    <w:rsid w:val="000C747E"/>
    <w:rsid w:val="000C749E"/>
    <w:rsid w:val="000C7503"/>
    <w:rsid w:val="000C75FD"/>
    <w:rsid w:val="000C7A22"/>
    <w:rsid w:val="000C7DC4"/>
    <w:rsid w:val="000C7E81"/>
    <w:rsid w:val="000D03DA"/>
    <w:rsid w:val="000D10B1"/>
    <w:rsid w:val="000D10CD"/>
    <w:rsid w:val="000D1124"/>
    <w:rsid w:val="000D12E2"/>
    <w:rsid w:val="000D1BE7"/>
    <w:rsid w:val="000D1FE5"/>
    <w:rsid w:val="000D2CEF"/>
    <w:rsid w:val="000D2F9A"/>
    <w:rsid w:val="000D33F9"/>
    <w:rsid w:val="000D3480"/>
    <w:rsid w:val="000D3523"/>
    <w:rsid w:val="000D39AE"/>
    <w:rsid w:val="000D3C21"/>
    <w:rsid w:val="000D3D9F"/>
    <w:rsid w:val="000D3E14"/>
    <w:rsid w:val="000D4117"/>
    <w:rsid w:val="000D457D"/>
    <w:rsid w:val="000D4684"/>
    <w:rsid w:val="000D46A2"/>
    <w:rsid w:val="000D4EBD"/>
    <w:rsid w:val="000D5104"/>
    <w:rsid w:val="000D545B"/>
    <w:rsid w:val="000D567E"/>
    <w:rsid w:val="000D59FA"/>
    <w:rsid w:val="000D5D1F"/>
    <w:rsid w:val="000D6418"/>
    <w:rsid w:val="000D6888"/>
    <w:rsid w:val="000D6D2C"/>
    <w:rsid w:val="000D6F1D"/>
    <w:rsid w:val="000D72A8"/>
    <w:rsid w:val="000D791D"/>
    <w:rsid w:val="000D7B87"/>
    <w:rsid w:val="000D7E82"/>
    <w:rsid w:val="000D7E88"/>
    <w:rsid w:val="000D7F0B"/>
    <w:rsid w:val="000E0029"/>
    <w:rsid w:val="000E007A"/>
    <w:rsid w:val="000E03B2"/>
    <w:rsid w:val="000E0702"/>
    <w:rsid w:val="000E0F9A"/>
    <w:rsid w:val="000E1784"/>
    <w:rsid w:val="000E1D3D"/>
    <w:rsid w:val="000E2236"/>
    <w:rsid w:val="000E2757"/>
    <w:rsid w:val="000E2CAA"/>
    <w:rsid w:val="000E313F"/>
    <w:rsid w:val="000E35C7"/>
    <w:rsid w:val="000E388C"/>
    <w:rsid w:val="000E3A27"/>
    <w:rsid w:val="000E3C65"/>
    <w:rsid w:val="000E3C71"/>
    <w:rsid w:val="000E402A"/>
    <w:rsid w:val="000E40FE"/>
    <w:rsid w:val="000E4306"/>
    <w:rsid w:val="000E43C5"/>
    <w:rsid w:val="000E453D"/>
    <w:rsid w:val="000E46D3"/>
    <w:rsid w:val="000E516D"/>
    <w:rsid w:val="000E5789"/>
    <w:rsid w:val="000E5F5E"/>
    <w:rsid w:val="000E6210"/>
    <w:rsid w:val="000E70DA"/>
    <w:rsid w:val="000E7146"/>
    <w:rsid w:val="000E74B6"/>
    <w:rsid w:val="000E7938"/>
    <w:rsid w:val="000E7978"/>
    <w:rsid w:val="000E7A71"/>
    <w:rsid w:val="000E7BBA"/>
    <w:rsid w:val="000F0BF7"/>
    <w:rsid w:val="000F0F61"/>
    <w:rsid w:val="000F1933"/>
    <w:rsid w:val="000F1DC2"/>
    <w:rsid w:val="000F2118"/>
    <w:rsid w:val="000F25BE"/>
    <w:rsid w:val="000F25CF"/>
    <w:rsid w:val="000F2AFC"/>
    <w:rsid w:val="000F2B4B"/>
    <w:rsid w:val="000F2B9E"/>
    <w:rsid w:val="000F2E1F"/>
    <w:rsid w:val="000F2EDB"/>
    <w:rsid w:val="000F2FDE"/>
    <w:rsid w:val="000F3176"/>
    <w:rsid w:val="000F3829"/>
    <w:rsid w:val="000F3B24"/>
    <w:rsid w:val="000F3B57"/>
    <w:rsid w:val="000F3D0B"/>
    <w:rsid w:val="000F3D74"/>
    <w:rsid w:val="000F40F8"/>
    <w:rsid w:val="000F43EC"/>
    <w:rsid w:val="000F4417"/>
    <w:rsid w:val="000F472E"/>
    <w:rsid w:val="000F4C88"/>
    <w:rsid w:val="000F4F81"/>
    <w:rsid w:val="000F58FB"/>
    <w:rsid w:val="000F5B51"/>
    <w:rsid w:val="000F62B3"/>
    <w:rsid w:val="000F631D"/>
    <w:rsid w:val="000F64A9"/>
    <w:rsid w:val="000F64C1"/>
    <w:rsid w:val="000F672F"/>
    <w:rsid w:val="000F6795"/>
    <w:rsid w:val="000F6AF0"/>
    <w:rsid w:val="000F6B97"/>
    <w:rsid w:val="000F6EBE"/>
    <w:rsid w:val="0010007A"/>
    <w:rsid w:val="001000CF"/>
    <w:rsid w:val="001000F7"/>
    <w:rsid w:val="001013A2"/>
    <w:rsid w:val="001013D4"/>
    <w:rsid w:val="00101443"/>
    <w:rsid w:val="00101484"/>
    <w:rsid w:val="00101534"/>
    <w:rsid w:val="00101827"/>
    <w:rsid w:val="001018AA"/>
    <w:rsid w:val="00101BD0"/>
    <w:rsid w:val="00101CAB"/>
    <w:rsid w:val="00101F6D"/>
    <w:rsid w:val="00102736"/>
    <w:rsid w:val="00102781"/>
    <w:rsid w:val="001029A7"/>
    <w:rsid w:val="00102D8D"/>
    <w:rsid w:val="00103564"/>
    <w:rsid w:val="00103CE4"/>
    <w:rsid w:val="00103D70"/>
    <w:rsid w:val="00103EB7"/>
    <w:rsid w:val="00103F32"/>
    <w:rsid w:val="0010411F"/>
    <w:rsid w:val="001044CD"/>
    <w:rsid w:val="001045C9"/>
    <w:rsid w:val="001046A2"/>
    <w:rsid w:val="00104716"/>
    <w:rsid w:val="00104ABB"/>
    <w:rsid w:val="00104B32"/>
    <w:rsid w:val="0010528B"/>
    <w:rsid w:val="001052DC"/>
    <w:rsid w:val="00105312"/>
    <w:rsid w:val="001056AC"/>
    <w:rsid w:val="0010598B"/>
    <w:rsid w:val="00105C80"/>
    <w:rsid w:val="00105FD4"/>
    <w:rsid w:val="00106219"/>
    <w:rsid w:val="001063F0"/>
    <w:rsid w:val="00106437"/>
    <w:rsid w:val="00106F02"/>
    <w:rsid w:val="00107662"/>
    <w:rsid w:val="00107699"/>
    <w:rsid w:val="00107B2B"/>
    <w:rsid w:val="00107B91"/>
    <w:rsid w:val="00110AED"/>
    <w:rsid w:val="00110DA0"/>
    <w:rsid w:val="00112282"/>
    <w:rsid w:val="001127C1"/>
    <w:rsid w:val="001128B0"/>
    <w:rsid w:val="00112D5B"/>
    <w:rsid w:val="00112F7A"/>
    <w:rsid w:val="0011373F"/>
    <w:rsid w:val="001139F3"/>
    <w:rsid w:val="00113B9A"/>
    <w:rsid w:val="00113C27"/>
    <w:rsid w:val="00113F9B"/>
    <w:rsid w:val="0011408A"/>
    <w:rsid w:val="0011475A"/>
    <w:rsid w:val="0011489E"/>
    <w:rsid w:val="001149B8"/>
    <w:rsid w:val="00114F70"/>
    <w:rsid w:val="0011536D"/>
    <w:rsid w:val="001155FA"/>
    <w:rsid w:val="00116442"/>
    <w:rsid w:val="00116D4C"/>
    <w:rsid w:val="00116DC8"/>
    <w:rsid w:val="00117476"/>
    <w:rsid w:val="0011771B"/>
    <w:rsid w:val="00117A55"/>
    <w:rsid w:val="00117F44"/>
    <w:rsid w:val="0012081F"/>
    <w:rsid w:val="00120850"/>
    <w:rsid w:val="001208CD"/>
    <w:rsid w:val="00120CDF"/>
    <w:rsid w:val="001211E4"/>
    <w:rsid w:val="001213EB"/>
    <w:rsid w:val="0012173A"/>
    <w:rsid w:val="00121BD9"/>
    <w:rsid w:val="0012280B"/>
    <w:rsid w:val="00122C6A"/>
    <w:rsid w:val="00122D3B"/>
    <w:rsid w:val="00123289"/>
    <w:rsid w:val="001233FC"/>
    <w:rsid w:val="001234EB"/>
    <w:rsid w:val="00123A02"/>
    <w:rsid w:val="00123A12"/>
    <w:rsid w:val="00123A55"/>
    <w:rsid w:val="00123B68"/>
    <w:rsid w:val="0012433D"/>
    <w:rsid w:val="001250B9"/>
    <w:rsid w:val="0012525E"/>
    <w:rsid w:val="00125344"/>
    <w:rsid w:val="00125677"/>
    <w:rsid w:val="00125B8D"/>
    <w:rsid w:val="00125CD2"/>
    <w:rsid w:val="00125F8B"/>
    <w:rsid w:val="001267D9"/>
    <w:rsid w:val="00126937"/>
    <w:rsid w:val="00126979"/>
    <w:rsid w:val="00126DA8"/>
    <w:rsid w:val="00126F5C"/>
    <w:rsid w:val="00127205"/>
    <w:rsid w:val="001279FB"/>
    <w:rsid w:val="00127A40"/>
    <w:rsid w:val="00127DE3"/>
    <w:rsid w:val="00130028"/>
    <w:rsid w:val="001303EE"/>
    <w:rsid w:val="00130487"/>
    <w:rsid w:val="00130D93"/>
    <w:rsid w:val="001312E1"/>
    <w:rsid w:val="00131340"/>
    <w:rsid w:val="0013145B"/>
    <w:rsid w:val="001318A9"/>
    <w:rsid w:val="00131BB6"/>
    <w:rsid w:val="00132E29"/>
    <w:rsid w:val="00132F5E"/>
    <w:rsid w:val="0013320F"/>
    <w:rsid w:val="001332D3"/>
    <w:rsid w:val="001337A5"/>
    <w:rsid w:val="00133B84"/>
    <w:rsid w:val="0013469C"/>
    <w:rsid w:val="00134752"/>
    <w:rsid w:val="00134822"/>
    <w:rsid w:val="00134A8E"/>
    <w:rsid w:val="0013548A"/>
    <w:rsid w:val="0013554A"/>
    <w:rsid w:val="00135589"/>
    <w:rsid w:val="00135A2E"/>
    <w:rsid w:val="00135C55"/>
    <w:rsid w:val="00135C6C"/>
    <w:rsid w:val="00135F83"/>
    <w:rsid w:val="001362D3"/>
    <w:rsid w:val="00136557"/>
    <w:rsid w:val="00136A37"/>
    <w:rsid w:val="00136FEE"/>
    <w:rsid w:val="00137662"/>
    <w:rsid w:val="00137BBB"/>
    <w:rsid w:val="00137E5A"/>
    <w:rsid w:val="00137F65"/>
    <w:rsid w:val="00137FEA"/>
    <w:rsid w:val="00140464"/>
    <w:rsid w:val="001407F6"/>
    <w:rsid w:val="00141042"/>
    <w:rsid w:val="001411E2"/>
    <w:rsid w:val="001413BF"/>
    <w:rsid w:val="00141556"/>
    <w:rsid w:val="0014189D"/>
    <w:rsid w:val="0014193B"/>
    <w:rsid w:val="00141A63"/>
    <w:rsid w:val="00141B11"/>
    <w:rsid w:val="00141FF0"/>
    <w:rsid w:val="00142014"/>
    <w:rsid w:val="00142070"/>
    <w:rsid w:val="00142A78"/>
    <w:rsid w:val="00142A85"/>
    <w:rsid w:val="00143AC2"/>
    <w:rsid w:val="00143AF0"/>
    <w:rsid w:val="00143C49"/>
    <w:rsid w:val="00143C5C"/>
    <w:rsid w:val="001441DB"/>
    <w:rsid w:val="00144552"/>
    <w:rsid w:val="001448E3"/>
    <w:rsid w:val="001448ED"/>
    <w:rsid w:val="00144AD0"/>
    <w:rsid w:val="00144D7E"/>
    <w:rsid w:val="00145132"/>
    <w:rsid w:val="00145389"/>
    <w:rsid w:val="00145481"/>
    <w:rsid w:val="001454AE"/>
    <w:rsid w:val="00145D92"/>
    <w:rsid w:val="00145F63"/>
    <w:rsid w:val="001461E3"/>
    <w:rsid w:val="001465F0"/>
    <w:rsid w:val="00146D10"/>
    <w:rsid w:val="001474AB"/>
    <w:rsid w:val="00147C79"/>
    <w:rsid w:val="00147E3B"/>
    <w:rsid w:val="00147EFB"/>
    <w:rsid w:val="00150402"/>
    <w:rsid w:val="00150465"/>
    <w:rsid w:val="00150524"/>
    <w:rsid w:val="00150911"/>
    <w:rsid w:val="001509CF"/>
    <w:rsid w:val="00150E64"/>
    <w:rsid w:val="001510DA"/>
    <w:rsid w:val="00151106"/>
    <w:rsid w:val="001514CC"/>
    <w:rsid w:val="001515D3"/>
    <w:rsid w:val="001520BB"/>
    <w:rsid w:val="00152996"/>
    <w:rsid w:val="00152B7B"/>
    <w:rsid w:val="00152C95"/>
    <w:rsid w:val="00152DB9"/>
    <w:rsid w:val="00152E12"/>
    <w:rsid w:val="001530B0"/>
    <w:rsid w:val="00153222"/>
    <w:rsid w:val="001532D4"/>
    <w:rsid w:val="00153A89"/>
    <w:rsid w:val="001542BE"/>
    <w:rsid w:val="001543FC"/>
    <w:rsid w:val="00154573"/>
    <w:rsid w:val="001546A6"/>
    <w:rsid w:val="001547E8"/>
    <w:rsid w:val="00154B75"/>
    <w:rsid w:val="00154CB5"/>
    <w:rsid w:val="00154CF4"/>
    <w:rsid w:val="00155CEE"/>
    <w:rsid w:val="00155D48"/>
    <w:rsid w:val="00155F1F"/>
    <w:rsid w:val="00155FBD"/>
    <w:rsid w:val="0015611D"/>
    <w:rsid w:val="00156152"/>
    <w:rsid w:val="00156447"/>
    <w:rsid w:val="00156C3C"/>
    <w:rsid w:val="0015713A"/>
    <w:rsid w:val="00157456"/>
    <w:rsid w:val="0015791E"/>
    <w:rsid w:val="00157BB2"/>
    <w:rsid w:val="00157C89"/>
    <w:rsid w:val="00157CF6"/>
    <w:rsid w:val="0016034A"/>
    <w:rsid w:val="001603D2"/>
    <w:rsid w:val="0016081D"/>
    <w:rsid w:val="0016098B"/>
    <w:rsid w:val="00160999"/>
    <w:rsid w:val="00160C32"/>
    <w:rsid w:val="00161363"/>
    <w:rsid w:val="00161410"/>
    <w:rsid w:val="00162037"/>
    <w:rsid w:val="001620F0"/>
    <w:rsid w:val="0016238F"/>
    <w:rsid w:val="00162644"/>
    <w:rsid w:val="00163304"/>
    <w:rsid w:val="00163592"/>
    <w:rsid w:val="0016397F"/>
    <w:rsid w:val="00163AAB"/>
    <w:rsid w:val="00163C8F"/>
    <w:rsid w:val="00163E76"/>
    <w:rsid w:val="001646FF"/>
    <w:rsid w:val="00164AFD"/>
    <w:rsid w:val="00164B91"/>
    <w:rsid w:val="001658EA"/>
    <w:rsid w:val="001659C1"/>
    <w:rsid w:val="001659DC"/>
    <w:rsid w:val="00165C98"/>
    <w:rsid w:val="00165E3D"/>
    <w:rsid w:val="00165F72"/>
    <w:rsid w:val="0016643F"/>
    <w:rsid w:val="00166EB1"/>
    <w:rsid w:val="00166F50"/>
    <w:rsid w:val="00167035"/>
    <w:rsid w:val="00167350"/>
    <w:rsid w:val="00167558"/>
    <w:rsid w:val="00167561"/>
    <w:rsid w:val="00167643"/>
    <w:rsid w:val="00167697"/>
    <w:rsid w:val="00167723"/>
    <w:rsid w:val="00167873"/>
    <w:rsid w:val="00167B4B"/>
    <w:rsid w:val="00167E7F"/>
    <w:rsid w:val="00167F5B"/>
    <w:rsid w:val="00170184"/>
    <w:rsid w:val="001701C9"/>
    <w:rsid w:val="00170A1F"/>
    <w:rsid w:val="00170A23"/>
    <w:rsid w:val="00170A72"/>
    <w:rsid w:val="00171130"/>
    <w:rsid w:val="00171162"/>
    <w:rsid w:val="001719A0"/>
    <w:rsid w:val="00171D46"/>
    <w:rsid w:val="0017264C"/>
    <w:rsid w:val="001729C1"/>
    <w:rsid w:val="00172CDD"/>
    <w:rsid w:val="001730B8"/>
    <w:rsid w:val="00173361"/>
    <w:rsid w:val="00173529"/>
    <w:rsid w:val="00173647"/>
    <w:rsid w:val="00173D6E"/>
    <w:rsid w:val="00173E78"/>
    <w:rsid w:val="00174915"/>
    <w:rsid w:val="00174F8F"/>
    <w:rsid w:val="0017510E"/>
    <w:rsid w:val="0017532F"/>
    <w:rsid w:val="00175773"/>
    <w:rsid w:val="001758E0"/>
    <w:rsid w:val="00176154"/>
    <w:rsid w:val="00176418"/>
    <w:rsid w:val="00176777"/>
    <w:rsid w:val="00176AF4"/>
    <w:rsid w:val="00176D44"/>
    <w:rsid w:val="00176DEF"/>
    <w:rsid w:val="00176E18"/>
    <w:rsid w:val="00176F22"/>
    <w:rsid w:val="001775D0"/>
    <w:rsid w:val="00177951"/>
    <w:rsid w:val="001779E1"/>
    <w:rsid w:val="00177A09"/>
    <w:rsid w:val="00177C48"/>
    <w:rsid w:val="00177DD6"/>
    <w:rsid w:val="00180883"/>
    <w:rsid w:val="0018099A"/>
    <w:rsid w:val="001815B7"/>
    <w:rsid w:val="00181680"/>
    <w:rsid w:val="001818B1"/>
    <w:rsid w:val="001819BB"/>
    <w:rsid w:val="001819F9"/>
    <w:rsid w:val="00181BC3"/>
    <w:rsid w:val="00181ED2"/>
    <w:rsid w:val="00182154"/>
    <w:rsid w:val="00182650"/>
    <w:rsid w:val="00182685"/>
    <w:rsid w:val="00182BA7"/>
    <w:rsid w:val="001831A9"/>
    <w:rsid w:val="00183787"/>
    <w:rsid w:val="00183F07"/>
    <w:rsid w:val="001845F4"/>
    <w:rsid w:val="0018461B"/>
    <w:rsid w:val="00184DFA"/>
    <w:rsid w:val="001850A3"/>
    <w:rsid w:val="0018557D"/>
    <w:rsid w:val="001857AE"/>
    <w:rsid w:val="0018589C"/>
    <w:rsid w:val="00185AD8"/>
    <w:rsid w:val="00185EDA"/>
    <w:rsid w:val="00186141"/>
    <w:rsid w:val="0018622E"/>
    <w:rsid w:val="001864E9"/>
    <w:rsid w:val="00186F47"/>
    <w:rsid w:val="00187196"/>
    <w:rsid w:val="001874CB"/>
    <w:rsid w:val="00187BB8"/>
    <w:rsid w:val="00187C5C"/>
    <w:rsid w:val="00187C61"/>
    <w:rsid w:val="00190973"/>
    <w:rsid w:val="00190BB7"/>
    <w:rsid w:val="00191133"/>
    <w:rsid w:val="0019197E"/>
    <w:rsid w:val="00192111"/>
    <w:rsid w:val="0019244E"/>
    <w:rsid w:val="00192450"/>
    <w:rsid w:val="0019254A"/>
    <w:rsid w:val="00192ADE"/>
    <w:rsid w:val="00192D49"/>
    <w:rsid w:val="00192E20"/>
    <w:rsid w:val="0019349F"/>
    <w:rsid w:val="001934A6"/>
    <w:rsid w:val="001938F2"/>
    <w:rsid w:val="00193D3C"/>
    <w:rsid w:val="00193EF3"/>
    <w:rsid w:val="00193FC9"/>
    <w:rsid w:val="00193FD0"/>
    <w:rsid w:val="0019439F"/>
    <w:rsid w:val="001945B6"/>
    <w:rsid w:val="001945C4"/>
    <w:rsid w:val="00194724"/>
    <w:rsid w:val="00194804"/>
    <w:rsid w:val="00194A32"/>
    <w:rsid w:val="00194A9D"/>
    <w:rsid w:val="00195FAA"/>
    <w:rsid w:val="00195FF9"/>
    <w:rsid w:val="0019650B"/>
    <w:rsid w:val="00196964"/>
    <w:rsid w:val="001969F0"/>
    <w:rsid w:val="00196B1C"/>
    <w:rsid w:val="00196BAE"/>
    <w:rsid w:val="00196D5E"/>
    <w:rsid w:val="00196E45"/>
    <w:rsid w:val="00197138"/>
    <w:rsid w:val="00197216"/>
    <w:rsid w:val="001974BA"/>
    <w:rsid w:val="001974DE"/>
    <w:rsid w:val="00197605"/>
    <w:rsid w:val="00197A6F"/>
    <w:rsid w:val="00197C23"/>
    <w:rsid w:val="00197C50"/>
    <w:rsid w:val="001A008D"/>
    <w:rsid w:val="001A00E7"/>
    <w:rsid w:val="001A05AA"/>
    <w:rsid w:val="001A0A29"/>
    <w:rsid w:val="001A0C5F"/>
    <w:rsid w:val="001A0E98"/>
    <w:rsid w:val="001A176F"/>
    <w:rsid w:val="001A18F6"/>
    <w:rsid w:val="001A1E45"/>
    <w:rsid w:val="001A1EB9"/>
    <w:rsid w:val="001A1ED9"/>
    <w:rsid w:val="001A2054"/>
    <w:rsid w:val="001A2307"/>
    <w:rsid w:val="001A2574"/>
    <w:rsid w:val="001A2583"/>
    <w:rsid w:val="001A372B"/>
    <w:rsid w:val="001A3C7B"/>
    <w:rsid w:val="001A3D84"/>
    <w:rsid w:val="001A4505"/>
    <w:rsid w:val="001A4E57"/>
    <w:rsid w:val="001A5387"/>
    <w:rsid w:val="001A591C"/>
    <w:rsid w:val="001A5A66"/>
    <w:rsid w:val="001A5D11"/>
    <w:rsid w:val="001A5E50"/>
    <w:rsid w:val="001A6214"/>
    <w:rsid w:val="001A6AEA"/>
    <w:rsid w:val="001A70BD"/>
    <w:rsid w:val="001A758C"/>
    <w:rsid w:val="001A791C"/>
    <w:rsid w:val="001A79CA"/>
    <w:rsid w:val="001A7A93"/>
    <w:rsid w:val="001A7B09"/>
    <w:rsid w:val="001A7CEB"/>
    <w:rsid w:val="001B007E"/>
    <w:rsid w:val="001B02CB"/>
    <w:rsid w:val="001B0547"/>
    <w:rsid w:val="001B05D2"/>
    <w:rsid w:val="001B0A41"/>
    <w:rsid w:val="001B11E2"/>
    <w:rsid w:val="001B1530"/>
    <w:rsid w:val="001B16F6"/>
    <w:rsid w:val="001B19D9"/>
    <w:rsid w:val="001B1D5D"/>
    <w:rsid w:val="001B1E5B"/>
    <w:rsid w:val="001B1F03"/>
    <w:rsid w:val="001B2250"/>
    <w:rsid w:val="001B234F"/>
    <w:rsid w:val="001B2D45"/>
    <w:rsid w:val="001B3524"/>
    <w:rsid w:val="001B3625"/>
    <w:rsid w:val="001B39E0"/>
    <w:rsid w:val="001B3ABD"/>
    <w:rsid w:val="001B415A"/>
    <w:rsid w:val="001B434D"/>
    <w:rsid w:val="001B5535"/>
    <w:rsid w:val="001B59D3"/>
    <w:rsid w:val="001B5B90"/>
    <w:rsid w:val="001B5DEE"/>
    <w:rsid w:val="001B634D"/>
    <w:rsid w:val="001B64B6"/>
    <w:rsid w:val="001B66AE"/>
    <w:rsid w:val="001B66DA"/>
    <w:rsid w:val="001B6AEF"/>
    <w:rsid w:val="001B787E"/>
    <w:rsid w:val="001B7B49"/>
    <w:rsid w:val="001B7B5E"/>
    <w:rsid w:val="001B7C7C"/>
    <w:rsid w:val="001C011F"/>
    <w:rsid w:val="001C0306"/>
    <w:rsid w:val="001C1C17"/>
    <w:rsid w:val="001C25FA"/>
    <w:rsid w:val="001C27CC"/>
    <w:rsid w:val="001C2AF2"/>
    <w:rsid w:val="001C2C61"/>
    <w:rsid w:val="001C31C2"/>
    <w:rsid w:val="001C32B3"/>
    <w:rsid w:val="001C36F5"/>
    <w:rsid w:val="001C3945"/>
    <w:rsid w:val="001C3EC5"/>
    <w:rsid w:val="001C3F05"/>
    <w:rsid w:val="001C434B"/>
    <w:rsid w:val="001C43FF"/>
    <w:rsid w:val="001C481B"/>
    <w:rsid w:val="001C52FB"/>
    <w:rsid w:val="001C5786"/>
    <w:rsid w:val="001C5F77"/>
    <w:rsid w:val="001C6241"/>
    <w:rsid w:val="001C63AA"/>
    <w:rsid w:val="001C659B"/>
    <w:rsid w:val="001C67C4"/>
    <w:rsid w:val="001C68C6"/>
    <w:rsid w:val="001C6DA4"/>
    <w:rsid w:val="001C70F9"/>
    <w:rsid w:val="001C7321"/>
    <w:rsid w:val="001C7842"/>
    <w:rsid w:val="001D016B"/>
    <w:rsid w:val="001D04E9"/>
    <w:rsid w:val="001D06A7"/>
    <w:rsid w:val="001D0879"/>
    <w:rsid w:val="001D0A92"/>
    <w:rsid w:val="001D0F70"/>
    <w:rsid w:val="001D11B9"/>
    <w:rsid w:val="001D17CC"/>
    <w:rsid w:val="001D1912"/>
    <w:rsid w:val="001D1FF6"/>
    <w:rsid w:val="001D2C76"/>
    <w:rsid w:val="001D33EC"/>
    <w:rsid w:val="001D3568"/>
    <w:rsid w:val="001D3580"/>
    <w:rsid w:val="001D3634"/>
    <w:rsid w:val="001D3D12"/>
    <w:rsid w:val="001D3E22"/>
    <w:rsid w:val="001D3E71"/>
    <w:rsid w:val="001D4468"/>
    <w:rsid w:val="001D47E8"/>
    <w:rsid w:val="001D4904"/>
    <w:rsid w:val="001D50FE"/>
    <w:rsid w:val="001D52C6"/>
    <w:rsid w:val="001D5452"/>
    <w:rsid w:val="001D55DE"/>
    <w:rsid w:val="001D57F8"/>
    <w:rsid w:val="001D5875"/>
    <w:rsid w:val="001D588B"/>
    <w:rsid w:val="001D5D6C"/>
    <w:rsid w:val="001D634E"/>
    <w:rsid w:val="001D682F"/>
    <w:rsid w:val="001D6E46"/>
    <w:rsid w:val="001D6FE9"/>
    <w:rsid w:val="001D74E6"/>
    <w:rsid w:val="001D7715"/>
    <w:rsid w:val="001D7956"/>
    <w:rsid w:val="001D7A5F"/>
    <w:rsid w:val="001E0062"/>
    <w:rsid w:val="001E0175"/>
    <w:rsid w:val="001E0964"/>
    <w:rsid w:val="001E097B"/>
    <w:rsid w:val="001E0CC0"/>
    <w:rsid w:val="001E0DFA"/>
    <w:rsid w:val="001E1377"/>
    <w:rsid w:val="001E147A"/>
    <w:rsid w:val="001E1486"/>
    <w:rsid w:val="001E197E"/>
    <w:rsid w:val="001E1C82"/>
    <w:rsid w:val="001E1E93"/>
    <w:rsid w:val="001E290B"/>
    <w:rsid w:val="001E29BE"/>
    <w:rsid w:val="001E2C7B"/>
    <w:rsid w:val="001E33CF"/>
    <w:rsid w:val="001E3880"/>
    <w:rsid w:val="001E398C"/>
    <w:rsid w:val="001E3AF4"/>
    <w:rsid w:val="001E3D24"/>
    <w:rsid w:val="001E3E14"/>
    <w:rsid w:val="001E40F2"/>
    <w:rsid w:val="001E4722"/>
    <w:rsid w:val="001E5757"/>
    <w:rsid w:val="001E5763"/>
    <w:rsid w:val="001E57E0"/>
    <w:rsid w:val="001E5A8B"/>
    <w:rsid w:val="001E5B93"/>
    <w:rsid w:val="001E5CD0"/>
    <w:rsid w:val="001E608C"/>
    <w:rsid w:val="001E60DC"/>
    <w:rsid w:val="001E6171"/>
    <w:rsid w:val="001E63D2"/>
    <w:rsid w:val="001E64BA"/>
    <w:rsid w:val="001E6804"/>
    <w:rsid w:val="001E6BB7"/>
    <w:rsid w:val="001E6D40"/>
    <w:rsid w:val="001E6E7F"/>
    <w:rsid w:val="001E7A51"/>
    <w:rsid w:val="001E7CE0"/>
    <w:rsid w:val="001E7DCA"/>
    <w:rsid w:val="001E7E21"/>
    <w:rsid w:val="001F04FF"/>
    <w:rsid w:val="001F07E1"/>
    <w:rsid w:val="001F0C98"/>
    <w:rsid w:val="001F0CBC"/>
    <w:rsid w:val="001F125E"/>
    <w:rsid w:val="001F1362"/>
    <w:rsid w:val="001F1532"/>
    <w:rsid w:val="001F17B2"/>
    <w:rsid w:val="001F21FF"/>
    <w:rsid w:val="001F2332"/>
    <w:rsid w:val="001F2994"/>
    <w:rsid w:val="001F2C64"/>
    <w:rsid w:val="001F3AE4"/>
    <w:rsid w:val="001F3BB2"/>
    <w:rsid w:val="001F3C4A"/>
    <w:rsid w:val="001F4252"/>
    <w:rsid w:val="001F4B5B"/>
    <w:rsid w:val="001F4CD1"/>
    <w:rsid w:val="001F526B"/>
    <w:rsid w:val="001F53E4"/>
    <w:rsid w:val="001F5722"/>
    <w:rsid w:val="001F59F5"/>
    <w:rsid w:val="001F5CB0"/>
    <w:rsid w:val="001F5EB4"/>
    <w:rsid w:val="001F5F31"/>
    <w:rsid w:val="001F67B0"/>
    <w:rsid w:val="001F6BEE"/>
    <w:rsid w:val="001F6C93"/>
    <w:rsid w:val="001F733F"/>
    <w:rsid w:val="001F7744"/>
    <w:rsid w:val="001F77C6"/>
    <w:rsid w:val="001F7956"/>
    <w:rsid w:val="00200458"/>
    <w:rsid w:val="00200907"/>
    <w:rsid w:val="00200CC5"/>
    <w:rsid w:val="00200D5F"/>
    <w:rsid w:val="0020164A"/>
    <w:rsid w:val="00201C7E"/>
    <w:rsid w:val="00201D8F"/>
    <w:rsid w:val="00201DE4"/>
    <w:rsid w:val="002020B5"/>
    <w:rsid w:val="0020231A"/>
    <w:rsid w:val="0020242A"/>
    <w:rsid w:val="0020264C"/>
    <w:rsid w:val="00202730"/>
    <w:rsid w:val="00202881"/>
    <w:rsid w:val="00202992"/>
    <w:rsid w:val="00202E06"/>
    <w:rsid w:val="00202E81"/>
    <w:rsid w:val="00203171"/>
    <w:rsid w:val="002032C5"/>
    <w:rsid w:val="00203362"/>
    <w:rsid w:val="002033B3"/>
    <w:rsid w:val="002033EE"/>
    <w:rsid w:val="002035C8"/>
    <w:rsid w:val="002038B8"/>
    <w:rsid w:val="00203939"/>
    <w:rsid w:val="00204035"/>
    <w:rsid w:val="00204813"/>
    <w:rsid w:val="002049DA"/>
    <w:rsid w:val="00204A33"/>
    <w:rsid w:val="00204ED7"/>
    <w:rsid w:val="00205164"/>
    <w:rsid w:val="00205227"/>
    <w:rsid w:val="0020527F"/>
    <w:rsid w:val="002052B4"/>
    <w:rsid w:val="002057B2"/>
    <w:rsid w:val="002058CD"/>
    <w:rsid w:val="002059A3"/>
    <w:rsid w:val="00205A14"/>
    <w:rsid w:val="00205FE4"/>
    <w:rsid w:val="00206062"/>
    <w:rsid w:val="00206283"/>
    <w:rsid w:val="002063BF"/>
    <w:rsid w:val="00206839"/>
    <w:rsid w:val="00207050"/>
    <w:rsid w:val="002073D9"/>
    <w:rsid w:val="00207CCA"/>
    <w:rsid w:val="00207E68"/>
    <w:rsid w:val="00207F04"/>
    <w:rsid w:val="00210CA5"/>
    <w:rsid w:val="00210D45"/>
    <w:rsid w:val="00210EDA"/>
    <w:rsid w:val="00211A1B"/>
    <w:rsid w:val="0021213B"/>
    <w:rsid w:val="0021237B"/>
    <w:rsid w:val="00212775"/>
    <w:rsid w:val="0021278E"/>
    <w:rsid w:val="0021289F"/>
    <w:rsid w:val="00212C06"/>
    <w:rsid w:val="00212C2D"/>
    <w:rsid w:val="00212F28"/>
    <w:rsid w:val="002130BA"/>
    <w:rsid w:val="00213300"/>
    <w:rsid w:val="002134CB"/>
    <w:rsid w:val="00213C2A"/>
    <w:rsid w:val="0021461E"/>
    <w:rsid w:val="00214F63"/>
    <w:rsid w:val="00215232"/>
    <w:rsid w:val="00215BD5"/>
    <w:rsid w:val="00215FAD"/>
    <w:rsid w:val="002161B1"/>
    <w:rsid w:val="002161F5"/>
    <w:rsid w:val="00216439"/>
    <w:rsid w:val="002164E2"/>
    <w:rsid w:val="002167E6"/>
    <w:rsid w:val="00216C22"/>
    <w:rsid w:val="00216C61"/>
    <w:rsid w:val="00216F55"/>
    <w:rsid w:val="00216FEC"/>
    <w:rsid w:val="002171DD"/>
    <w:rsid w:val="00217DA8"/>
    <w:rsid w:val="00217E9E"/>
    <w:rsid w:val="002200EB"/>
    <w:rsid w:val="002207B1"/>
    <w:rsid w:val="00220EB9"/>
    <w:rsid w:val="00221416"/>
    <w:rsid w:val="002215F8"/>
    <w:rsid w:val="00222172"/>
    <w:rsid w:val="0022227F"/>
    <w:rsid w:val="002228E5"/>
    <w:rsid w:val="00222911"/>
    <w:rsid w:val="00222918"/>
    <w:rsid w:val="00222E05"/>
    <w:rsid w:val="00222E46"/>
    <w:rsid w:val="00224208"/>
    <w:rsid w:val="002243BE"/>
    <w:rsid w:val="00224437"/>
    <w:rsid w:val="002244BB"/>
    <w:rsid w:val="00224D87"/>
    <w:rsid w:val="002251CA"/>
    <w:rsid w:val="00226377"/>
    <w:rsid w:val="002268A1"/>
    <w:rsid w:val="0022694E"/>
    <w:rsid w:val="002269B6"/>
    <w:rsid w:val="002269EC"/>
    <w:rsid w:val="00226ABD"/>
    <w:rsid w:val="00226B15"/>
    <w:rsid w:val="00227010"/>
    <w:rsid w:val="00227299"/>
    <w:rsid w:val="00227417"/>
    <w:rsid w:val="00227D34"/>
    <w:rsid w:val="00227E38"/>
    <w:rsid w:val="00227F19"/>
    <w:rsid w:val="00230117"/>
    <w:rsid w:val="00230619"/>
    <w:rsid w:val="00230EA2"/>
    <w:rsid w:val="002319B9"/>
    <w:rsid w:val="00231ACD"/>
    <w:rsid w:val="00231D89"/>
    <w:rsid w:val="00232416"/>
    <w:rsid w:val="0023243F"/>
    <w:rsid w:val="00232694"/>
    <w:rsid w:val="00232BC8"/>
    <w:rsid w:val="00232E59"/>
    <w:rsid w:val="00233050"/>
    <w:rsid w:val="00233081"/>
    <w:rsid w:val="00233383"/>
    <w:rsid w:val="0023388D"/>
    <w:rsid w:val="00234052"/>
    <w:rsid w:val="00234D14"/>
    <w:rsid w:val="00234E43"/>
    <w:rsid w:val="00235326"/>
    <w:rsid w:val="002353E8"/>
    <w:rsid w:val="002359B6"/>
    <w:rsid w:val="00235C0B"/>
    <w:rsid w:val="00235E4E"/>
    <w:rsid w:val="0023685E"/>
    <w:rsid w:val="0023699C"/>
    <w:rsid w:val="00236BF6"/>
    <w:rsid w:val="00236D01"/>
    <w:rsid w:val="00237614"/>
    <w:rsid w:val="00237671"/>
    <w:rsid w:val="00237833"/>
    <w:rsid w:val="00237CF3"/>
    <w:rsid w:val="00237E61"/>
    <w:rsid w:val="0024014C"/>
    <w:rsid w:val="00240754"/>
    <w:rsid w:val="0024075F"/>
    <w:rsid w:val="00240855"/>
    <w:rsid w:val="00240EA3"/>
    <w:rsid w:val="00241258"/>
    <w:rsid w:val="00241270"/>
    <w:rsid w:val="00241559"/>
    <w:rsid w:val="00241608"/>
    <w:rsid w:val="00241A51"/>
    <w:rsid w:val="00241A9F"/>
    <w:rsid w:val="00241C06"/>
    <w:rsid w:val="00241CC8"/>
    <w:rsid w:val="00241FAC"/>
    <w:rsid w:val="0024203E"/>
    <w:rsid w:val="00242D46"/>
    <w:rsid w:val="0024347C"/>
    <w:rsid w:val="00243715"/>
    <w:rsid w:val="002439E1"/>
    <w:rsid w:val="00243A7A"/>
    <w:rsid w:val="00243C0E"/>
    <w:rsid w:val="00243D40"/>
    <w:rsid w:val="0024403C"/>
    <w:rsid w:val="00244113"/>
    <w:rsid w:val="002441ED"/>
    <w:rsid w:val="0024425B"/>
    <w:rsid w:val="0024473D"/>
    <w:rsid w:val="0024494E"/>
    <w:rsid w:val="00244ADA"/>
    <w:rsid w:val="00244E14"/>
    <w:rsid w:val="0024503E"/>
    <w:rsid w:val="00245586"/>
    <w:rsid w:val="0024561B"/>
    <w:rsid w:val="00245838"/>
    <w:rsid w:val="0024617D"/>
    <w:rsid w:val="0024640F"/>
    <w:rsid w:val="002464D3"/>
    <w:rsid w:val="002464DC"/>
    <w:rsid w:val="00246C29"/>
    <w:rsid w:val="00246E08"/>
    <w:rsid w:val="00246F56"/>
    <w:rsid w:val="00247012"/>
    <w:rsid w:val="00247224"/>
    <w:rsid w:val="002475CD"/>
    <w:rsid w:val="0025001E"/>
    <w:rsid w:val="00250558"/>
    <w:rsid w:val="00250FF7"/>
    <w:rsid w:val="0025110A"/>
    <w:rsid w:val="0025132D"/>
    <w:rsid w:val="00251434"/>
    <w:rsid w:val="0025177C"/>
    <w:rsid w:val="002517CA"/>
    <w:rsid w:val="00251935"/>
    <w:rsid w:val="00251966"/>
    <w:rsid w:val="002519B8"/>
    <w:rsid w:val="00251AEF"/>
    <w:rsid w:val="00251CDB"/>
    <w:rsid w:val="00251DE8"/>
    <w:rsid w:val="00251EEB"/>
    <w:rsid w:val="00252073"/>
    <w:rsid w:val="00252ADF"/>
    <w:rsid w:val="00252B97"/>
    <w:rsid w:val="0025321D"/>
    <w:rsid w:val="00253833"/>
    <w:rsid w:val="00253867"/>
    <w:rsid w:val="00253F11"/>
    <w:rsid w:val="00254494"/>
    <w:rsid w:val="00254502"/>
    <w:rsid w:val="00254AFE"/>
    <w:rsid w:val="00254BEC"/>
    <w:rsid w:val="00255317"/>
    <w:rsid w:val="00255394"/>
    <w:rsid w:val="00255953"/>
    <w:rsid w:val="00255CA2"/>
    <w:rsid w:val="00255CD5"/>
    <w:rsid w:val="00255FDF"/>
    <w:rsid w:val="00256079"/>
    <w:rsid w:val="002567F4"/>
    <w:rsid w:val="00256BA3"/>
    <w:rsid w:val="00257C60"/>
    <w:rsid w:val="00257CD7"/>
    <w:rsid w:val="00257DFE"/>
    <w:rsid w:val="00257E1E"/>
    <w:rsid w:val="002602EF"/>
    <w:rsid w:val="0026077A"/>
    <w:rsid w:val="00260852"/>
    <w:rsid w:val="00260A51"/>
    <w:rsid w:val="00260EA6"/>
    <w:rsid w:val="002610F8"/>
    <w:rsid w:val="00261122"/>
    <w:rsid w:val="0026118C"/>
    <w:rsid w:val="002613B0"/>
    <w:rsid w:val="0026175B"/>
    <w:rsid w:val="0026222C"/>
    <w:rsid w:val="0026255A"/>
    <w:rsid w:val="0026282F"/>
    <w:rsid w:val="0026288F"/>
    <w:rsid w:val="00262891"/>
    <w:rsid w:val="00262ABC"/>
    <w:rsid w:val="00263072"/>
    <w:rsid w:val="00263188"/>
    <w:rsid w:val="002635B6"/>
    <w:rsid w:val="002639FC"/>
    <w:rsid w:val="00263A81"/>
    <w:rsid w:val="00263B92"/>
    <w:rsid w:val="00263BF7"/>
    <w:rsid w:val="00263D81"/>
    <w:rsid w:val="002640A6"/>
    <w:rsid w:val="002642AC"/>
    <w:rsid w:val="002644A7"/>
    <w:rsid w:val="00264959"/>
    <w:rsid w:val="002649C0"/>
    <w:rsid w:val="00264BF4"/>
    <w:rsid w:val="002651D0"/>
    <w:rsid w:val="00266A19"/>
    <w:rsid w:val="00266BA6"/>
    <w:rsid w:val="002671E8"/>
    <w:rsid w:val="00267874"/>
    <w:rsid w:val="00267D47"/>
    <w:rsid w:val="00270218"/>
    <w:rsid w:val="00270264"/>
    <w:rsid w:val="002706C1"/>
    <w:rsid w:val="00270ADC"/>
    <w:rsid w:val="00270DB7"/>
    <w:rsid w:val="00270DFB"/>
    <w:rsid w:val="00270E30"/>
    <w:rsid w:val="002713F1"/>
    <w:rsid w:val="002714A5"/>
    <w:rsid w:val="002714EA"/>
    <w:rsid w:val="0027175A"/>
    <w:rsid w:val="002718B4"/>
    <w:rsid w:val="00271928"/>
    <w:rsid w:val="00271F25"/>
    <w:rsid w:val="00271FB2"/>
    <w:rsid w:val="00272214"/>
    <w:rsid w:val="00272981"/>
    <w:rsid w:val="00272BEB"/>
    <w:rsid w:val="00272DA7"/>
    <w:rsid w:val="0027330B"/>
    <w:rsid w:val="002734E0"/>
    <w:rsid w:val="0027354B"/>
    <w:rsid w:val="00273951"/>
    <w:rsid w:val="002739CB"/>
    <w:rsid w:val="00273B7C"/>
    <w:rsid w:val="00273F6B"/>
    <w:rsid w:val="002744F2"/>
    <w:rsid w:val="0027463E"/>
    <w:rsid w:val="00274AAD"/>
    <w:rsid w:val="00275428"/>
    <w:rsid w:val="00275595"/>
    <w:rsid w:val="00275E96"/>
    <w:rsid w:val="00276021"/>
    <w:rsid w:val="00276777"/>
    <w:rsid w:val="002769C3"/>
    <w:rsid w:val="00276AF5"/>
    <w:rsid w:val="00276E69"/>
    <w:rsid w:val="00276F4C"/>
    <w:rsid w:val="00276FD9"/>
    <w:rsid w:val="00277063"/>
    <w:rsid w:val="0027752A"/>
    <w:rsid w:val="0027795F"/>
    <w:rsid w:val="00277C56"/>
    <w:rsid w:val="00277C93"/>
    <w:rsid w:val="0028027B"/>
    <w:rsid w:val="0028078E"/>
    <w:rsid w:val="00280964"/>
    <w:rsid w:val="00280BA4"/>
    <w:rsid w:val="00280DE1"/>
    <w:rsid w:val="00280E88"/>
    <w:rsid w:val="00281B14"/>
    <w:rsid w:val="00281C7E"/>
    <w:rsid w:val="00282468"/>
    <w:rsid w:val="00282649"/>
    <w:rsid w:val="00282695"/>
    <w:rsid w:val="00282E03"/>
    <w:rsid w:val="00282F24"/>
    <w:rsid w:val="00283033"/>
    <w:rsid w:val="00283167"/>
    <w:rsid w:val="002831F8"/>
    <w:rsid w:val="002832A6"/>
    <w:rsid w:val="002835D1"/>
    <w:rsid w:val="002835F9"/>
    <w:rsid w:val="00283CFA"/>
    <w:rsid w:val="00284103"/>
    <w:rsid w:val="00284405"/>
    <w:rsid w:val="00284588"/>
    <w:rsid w:val="002847BE"/>
    <w:rsid w:val="00284AD7"/>
    <w:rsid w:val="00284C01"/>
    <w:rsid w:val="002853D7"/>
    <w:rsid w:val="002853F6"/>
    <w:rsid w:val="002857B4"/>
    <w:rsid w:val="00285C4B"/>
    <w:rsid w:val="00285D8D"/>
    <w:rsid w:val="00285D9F"/>
    <w:rsid w:val="002861BA"/>
    <w:rsid w:val="002862A6"/>
    <w:rsid w:val="002862ED"/>
    <w:rsid w:val="0028647D"/>
    <w:rsid w:val="00286498"/>
    <w:rsid w:val="00286562"/>
    <w:rsid w:val="0028672F"/>
    <w:rsid w:val="002868A2"/>
    <w:rsid w:val="00286A43"/>
    <w:rsid w:val="00286E00"/>
    <w:rsid w:val="00287BF2"/>
    <w:rsid w:val="00287E85"/>
    <w:rsid w:val="00290929"/>
    <w:rsid w:val="00290A3C"/>
    <w:rsid w:val="00290FE9"/>
    <w:rsid w:val="0029119B"/>
    <w:rsid w:val="002912F3"/>
    <w:rsid w:val="002916F7"/>
    <w:rsid w:val="00291CA1"/>
    <w:rsid w:val="002921BD"/>
    <w:rsid w:val="0029221D"/>
    <w:rsid w:val="00292324"/>
    <w:rsid w:val="00292381"/>
    <w:rsid w:val="00292525"/>
    <w:rsid w:val="00292C5E"/>
    <w:rsid w:val="00292E82"/>
    <w:rsid w:val="002932A6"/>
    <w:rsid w:val="00293DEA"/>
    <w:rsid w:val="0029402F"/>
    <w:rsid w:val="002940F7"/>
    <w:rsid w:val="002942A1"/>
    <w:rsid w:val="002942ED"/>
    <w:rsid w:val="00294641"/>
    <w:rsid w:val="00294726"/>
    <w:rsid w:val="00294939"/>
    <w:rsid w:val="00294AAB"/>
    <w:rsid w:val="0029566D"/>
    <w:rsid w:val="00295AB9"/>
    <w:rsid w:val="00295C54"/>
    <w:rsid w:val="00295E2C"/>
    <w:rsid w:val="002961F1"/>
    <w:rsid w:val="00296679"/>
    <w:rsid w:val="00296B77"/>
    <w:rsid w:val="00296BDA"/>
    <w:rsid w:val="002972FA"/>
    <w:rsid w:val="002976CF"/>
    <w:rsid w:val="00297C5D"/>
    <w:rsid w:val="00297EE1"/>
    <w:rsid w:val="002A0156"/>
    <w:rsid w:val="002A039D"/>
    <w:rsid w:val="002A0439"/>
    <w:rsid w:val="002A0762"/>
    <w:rsid w:val="002A0BFA"/>
    <w:rsid w:val="002A11AE"/>
    <w:rsid w:val="002A12DD"/>
    <w:rsid w:val="002A1A81"/>
    <w:rsid w:val="002A21A3"/>
    <w:rsid w:val="002A3079"/>
    <w:rsid w:val="002A3375"/>
    <w:rsid w:val="002A3974"/>
    <w:rsid w:val="002A39F2"/>
    <w:rsid w:val="002A3DD2"/>
    <w:rsid w:val="002A43BA"/>
    <w:rsid w:val="002A47AD"/>
    <w:rsid w:val="002A4832"/>
    <w:rsid w:val="002A4B27"/>
    <w:rsid w:val="002A4D27"/>
    <w:rsid w:val="002A520E"/>
    <w:rsid w:val="002A5318"/>
    <w:rsid w:val="002A53D3"/>
    <w:rsid w:val="002A5953"/>
    <w:rsid w:val="002A5A41"/>
    <w:rsid w:val="002A6726"/>
    <w:rsid w:val="002A6A73"/>
    <w:rsid w:val="002A6C46"/>
    <w:rsid w:val="002A78CD"/>
    <w:rsid w:val="002A7C7D"/>
    <w:rsid w:val="002A7D1B"/>
    <w:rsid w:val="002A7F29"/>
    <w:rsid w:val="002B010B"/>
    <w:rsid w:val="002B062A"/>
    <w:rsid w:val="002B09F5"/>
    <w:rsid w:val="002B0E78"/>
    <w:rsid w:val="002B0F94"/>
    <w:rsid w:val="002B132F"/>
    <w:rsid w:val="002B1570"/>
    <w:rsid w:val="002B1AB1"/>
    <w:rsid w:val="002B2497"/>
    <w:rsid w:val="002B2800"/>
    <w:rsid w:val="002B2845"/>
    <w:rsid w:val="002B2B3D"/>
    <w:rsid w:val="002B3356"/>
    <w:rsid w:val="002B38CB"/>
    <w:rsid w:val="002B4401"/>
    <w:rsid w:val="002B475C"/>
    <w:rsid w:val="002B490F"/>
    <w:rsid w:val="002B497E"/>
    <w:rsid w:val="002B4DD9"/>
    <w:rsid w:val="002B4E96"/>
    <w:rsid w:val="002B4F67"/>
    <w:rsid w:val="002B5335"/>
    <w:rsid w:val="002B5781"/>
    <w:rsid w:val="002B5D64"/>
    <w:rsid w:val="002B5DAC"/>
    <w:rsid w:val="002B5F12"/>
    <w:rsid w:val="002B62EB"/>
    <w:rsid w:val="002B67BA"/>
    <w:rsid w:val="002B6B61"/>
    <w:rsid w:val="002B6DA0"/>
    <w:rsid w:val="002B7237"/>
    <w:rsid w:val="002B748A"/>
    <w:rsid w:val="002B758A"/>
    <w:rsid w:val="002B7C6B"/>
    <w:rsid w:val="002B7C90"/>
    <w:rsid w:val="002C0251"/>
    <w:rsid w:val="002C0479"/>
    <w:rsid w:val="002C069C"/>
    <w:rsid w:val="002C0B21"/>
    <w:rsid w:val="002C12CA"/>
    <w:rsid w:val="002C18C9"/>
    <w:rsid w:val="002C1A02"/>
    <w:rsid w:val="002C1E69"/>
    <w:rsid w:val="002C2272"/>
    <w:rsid w:val="002C2E07"/>
    <w:rsid w:val="002C3455"/>
    <w:rsid w:val="002C346A"/>
    <w:rsid w:val="002C3612"/>
    <w:rsid w:val="002C3AE3"/>
    <w:rsid w:val="002C3DD3"/>
    <w:rsid w:val="002C40A7"/>
    <w:rsid w:val="002C4469"/>
    <w:rsid w:val="002C472B"/>
    <w:rsid w:val="002C49F9"/>
    <w:rsid w:val="002C4F33"/>
    <w:rsid w:val="002C5604"/>
    <w:rsid w:val="002C5A9E"/>
    <w:rsid w:val="002C5D40"/>
    <w:rsid w:val="002C5EFF"/>
    <w:rsid w:val="002C65DB"/>
    <w:rsid w:val="002C67AC"/>
    <w:rsid w:val="002C697D"/>
    <w:rsid w:val="002C6D08"/>
    <w:rsid w:val="002C6F91"/>
    <w:rsid w:val="002C6FF9"/>
    <w:rsid w:val="002C72F4"/>
    <w:rsid w:val="002C73FB"/>
    <w:rsid w:val="002C790F"/>
    <w:rsid w:val="002C7916"/>
    <w:rsid w:val="002D0152"/>
    <w:rsid w:val="002D0279"/>
    <w:rsid w:val="002D0D20"/>
    <w:rsid w:val="002D0DC6"/>
    <w:rsid w:val="002D1176"/>
    <w:rsid w:val="002D1624"/>
    <w:rsid w:val="002D2FD0"/>
    <w:rsid w:val="002D30FA"/>
    <w:rsid w:val="002D3202"/>
    <w:rsid w:val="002D4446"/>
    <w:rsid w:val="002D4EB9"/>
    <w:rsid w:val="002D514D"/>
    <w:rsid w:val="002D543A"/>
    <w:rsid w:val="002D5FF0"/>
    <w:rsid w:val="002D6104"/>
    <w:rsid w:val="002D62B4"/>
    <w:rsid w:val="002D647D"/>
    <w:rsid w:val="002D66B4"/>
    <w:rsid w:val="002D6933"/>
    <w:rsid w:val="002D6A7B"/>
    <w:rsid w:val="002D6CF0"/>
    <w:rsid w:val="002D778B"/>
    <w:rsid w:val="002D7B11"/>
    <w:rsid w:val="002E0024"/>
    <w:rsid w:val="002E008E"/>
    <w:rsid w:val="002E0206"/>
    <w:rsid w:val="002E0755"/>
    <w:rsid w:val="002E0AEE"/>
    <w:rsid w:val="002E0DA0"/>
    <w:rsid w:val="002E108A"/>
    <w:rsid w:val="002E1537"/>
    <w:rsid w:val="002E1938"/>
    <w:rsid w:val="002E1E42"/>
    <w:rsid w:val="002E2126"/>
    <w:rsid w:val="002E2259"/>
    <w:rsid w:val="002E28AA"/>
    <w:rsid w:val="002E28F0"/>
    <w:rsid w:val="002E3268"/>
    <w:rsid w:val="002E32E2"/>
    <w:rsid w:val="002E33BF"/>
    <w:rsid w:val="002E341E"/>
    <w:rsid w:val="002E3A3B"/>
    <w:rsid w:val="002E3A71"/>
    <w:rsid w:val="002E3B6F"/>
    <w:rsid w:val="002E3D99"/>
    <w:rsid w:val="002E3FFC"/>
    <w:rsid w:val="002E4AF1"/>
    <w:rsid w:val="002E4E12"/>
    <w:rsid w:val="002E4EC0"/>
    <w:rsid w:val="002E53F6"/>
    <w:rsid w:val="002E557A"/>
    <w:rsid w:val="002E5ADB"/>
    <w:rsid w:val="002E6044"/>
    <w:rsid w:val="002E604E"/>
    <w:rsid w:val="002E636E"/>
    <w:rsid w:val="002E6455"/>
    <w:rsid w:val="002E652E"/>
    <w:rsid w:val="002E6AA4"/>
    <w:rsid w:val="002E76AD"/>
    <w:rsid w:val="002E7BFA"/>
    <w:rsid w:val="002E7C9A"/>
    <w:rsid w:val="002F0530"/>
    <w:rsid w:val="002F0686"/>
    <w:rsid w:val="002F08FF"/>
    <w:rsid w:val="002F09D5"/>
    <w:rsid w:val="002F0A44"/>
    <w:rsid w:val="002F0CE7"/>
    <w:rsid w:val="002F0D35"/>
    <w:rsid w:val="002F0F94"/>
    <w:rsid w:val="002F1021"/>
    <w:rsid w:val="002F12F2"/>
    <w:rsid w:val="002F1560"/>
    <w:rsid w:val="002F161A"/>
    <w:rsid w:val="002F1C4F"/>
    <w:rsid w:val="002F22F0"/>
    <w:rsid w:val="002F24DD"/>
    <w:rsid w:val="002F265C"/>
    <w:rsid w:val="002F297C"/>
    <w:rsid w:val="002F2E5F"/>
    <w:rsid w:val="002F360D"/>
    <w:rsid w:val="002F36D1"/>
    <w:rsid w:val="002F3759"/>
    <w:rsid w:val="002F3978"/>
    <w:rsid w:val="002F399A"/>
    <w:rsid w:val="002F3F23"/>
    <w:rsid w:val="002F445B"/>
    <w:rsid w:val="002F45D3"/>
    <w:rsid w:val="002F4843"/>
    <w:rsid w:val="002F489F"/>
    <w:rsid w:val="002F49DB"/>
    <w:rsid w:val="002F4E85"/>
    <w:rsid w:val="002F4ECD"/>
    <w:rsid w:val="002F4FBE"/>
    <w:rsid w:val="002F51A6"/>
    <w:rsid w:val="002F57CA"/>
    <w:rsid w:val="002F5ABB"/>
    <w:rsid w:val="002F5CDA"/>
    <w:rsid w:val="002F5E83"/>
    <w:rsid w:val="002F63E6"/>
    <w:rsid w:val="002F6601"/>
    <w:rsid w:val="002F66CE"/>
    <w:rsid w:val="002F6DC6"/>
    <w:rsid w:val="002F6DD0"/>
    <w:rsid w:val="002F73D7"/>
    <w:rsid w:val="002F7969"/>
    <w:rsid w:val="002F7EA0"/>
    <w:rsid w:val="002F7F97"/>
    <w:rsid w:val="00301023"/>
    <w:rsid w:val="003010C6"/>
    <w:rsid w:val="003017FE"/>
    <w:rsid w:val="00301D9E"/>
    <w:rsid w:val="003021F0"/>
    <w:rsid w:val="00302793"/>
    <w:rsid w:val="003028FC"/>
    <w:rsid w:val="0030296F"/>
    <w:rsid w:val="00302B30"/>
    <w:rsid w:val="00302C54"/>
    <w:rsid w:val="00302CE0"/>
    <w:rsid w:val="00302DBD"/>
    <w:rsid w:val="00302EFF"/>
    <w:rsid w:val="00303499"/>
    <w:rsid w:val="003034F0"/>
    <w:rsid w:val="0030384A"/>
    <w:rsid w:val="003040E6"/>
    <w:rsid w:val="00304F90"/>
    <w:rsid w:val="003053C1"/>
    <w:rsid w:val="003058AE"/>
    <w:rsid w:val="00305EB2"/>
    <w:rsid w:val="00306070"/>
    <w:rsid w:val="0030626C"/>
    <w:rsid w:val="00306376"/>
    <w:rsid w:val="00306B13"/>
    <w:rsid w:val="00306B33"/>
    <w:rsid w:val="00306B64"/>
    <w:rsid w:val="00306D85"/>
    <w:rsid w:val="00306F76"/>
    <w:rsid w:val="00307018"/>
    <w:rsid w:val="003072E9"/>
    <w:rsid w:val="0030736A"/>
    <w:rsid w:val="003076D0"/>
    <w:rsid w:val="00307957"/>
    <w:rsid w:val="00307B83"/>
    <w:rsid w:val="00307C37"/>
    <w:rsid w:val="003100A7"/>
    <w:rsid w:val="003102A4"/>
    <w:rsid w:val="0031045E"/>
    <w:rsid w:val="0031052D"/>
    <w:rsid w:val="00310645"/>
    <w:rsid w:val="00310CBB"/>
    <w:rsid w:val="003113D9"/>
    <w:rsid w:val="003115CA"/>
    <w:rsid w:val="00311AAD"/>
    <w:rsid w:val="00311CBF"/>
    <w:rsid w:val="00312533"/>
    <w:rsid w:val="003128B7"/>
    <w:rsid w:val="003128CA"/>
    <w:rsid w:val="00312AFF"/>
    <w:rsid w:val="00312C7F"/>
    <w:rsid w:val="00312FB6"/>
    <w:rsid w:val="00313036"/>
    <w:rsid w:val="003139C6"/>
    <w:rsid w:val="00313A53"/>
    <w:rsid w:val="00313F48"/>
    <w:rsid w:val="003140F2"/>
    <w:rsid w:val="003148D7"/>
    <w:rsid w:val="00314A16"/>
    <w:rsid w:val="00314A3F"/>
    <w:rsid w:val="00314AAA"/>
    <w:rsid w:val="00314AED"/>
    <w:rsid w:val="003152A3"/>
    <w:rsid w:val="003156C0"/>
    <w:rsid w:val="00315BE2"/>
    <w:rsid w:val="00315CF1"/>
    <w:rsid w:val="00315E9C"/>
    <w:rsid w:val="00316348"/>
    <w:rsid w:val="00316B84"/>
    <w:rsid w:val="00316FE3"/>
    <w:rsid w:val="003170E1"/>
    <w:rsid w:val="00317673"/>
    <w:rsid w:val="00317795"/>
    <w:rsid w:val="00317D49"/>
    <w:rsid w:val="00317D5F"/>
    <w:rsid w:val="0032029D"/>
    <w:rsid w:val="003202D7"/>
    <w:rsid w:val="003206E9"/>
    <w:rsid w:val="003207D2"/>
    <w:rsid w:val="0032091B"/>
    <w:rsid w:val="00320BE4"/>
    <w:rsid w:val="00320D55"/>
    <w:rsid w:val="00320EB2"/>
    <w:rsid w:val="00320F29"/>
    <w:rsid w:val="003212B8"/>
    <w:rsid w:val="003215E6"/>
    <w:rsid w:val="00321B16"/>
    <w:rsid w:val="0032207D"/>
    <w:rsid w:val="003225B7"/>
    <w:rsid w:val="00322985"/>
    <w:rsid w:val="00322A1C"/>
    <w:rsid w:val="00322F32"/>
    <w:rsid w:val="003231E1"/>
    <w:rsid w:val="0032379F"/>
    <w:rsid w:val="00323AD2"/>
    <w:rsid w:val="00323D34"/>
    <w:rsid w:val="00323FE8"/>
    <w:rsid w:val="003244CB"/>
    <w:rsid w:val="00324828"/>
    <w:rsid w:val="0032494E"/>
    <w:rsid w:val="00324CAA"/>
    <w:rsid w:val="00324F53"/>
    <w:rsid w:val="003256E1"/>
    <w:rsid w:val="003256F1"/>
    <w:rsid w:val="0032585D"/>
    <w:rsid w:val="003258F3"/>
    <w:rsid w:val="00325B31"/>
    <w:rsid w:val="00325EB7"/>
    <w:rsid w:val="00325EB8"/>
    <w:rsid w:val="003265CB"/>
    <w:rsid w:val="00326742"/>
    <w:rsid w:val="003268AA"/>
    <w:rsid w:val="003268AD"/>
    <w:rsid w:val="00326EAD"/>
    <w:rsid w:val="00327148"/>
    <w:rsid w:val="003271BD"/>
    <w:rsid w:val="00327F2B"/>
    <w:rsid w:val="00330648"/>
    <w:rsid w:val="00330992"/>
    <w:rsid w:val="00330B3A"/>
    <w:rsid w:val="00330C54"/>
    <w:rsid w:val="00331350"/>
    <w:rsid w:val="00331814"/>
    <w:rsid w:val="0033192F"/>
    <w:rsid w:val="00331A9D"/>
    <w:rsid w:val="00331B9E"/>
    <w:rsid w:val="00331C85"/>
    <w:rsid w:val="00331DE7"/>
    <w:rsid w:val="00331FBA"/>
    <w:rsid w:val="00332969"/>
    <w:rsid w:val="00332A45"/>
    <w:rsid w:val="00332B50"/>
    <w:rsid w:val="0033309C"/>
    <w:rsid w:val="00333835"/>
    <w:rsid w:val="00333B81"/>
    <w:rsid w:val="00334350"/>
    <w:rsid w:val="00334477"/>
    <w:rsid w:val="00334514"/>
    <w:rsid w:val="00334B56"/>
    <w:rsid w:val="00334CF0"/>
    <w:rsid w:val="00335A3F"/>
    <w:rsid w:val="00335A49"/>
    <w:rsid w:val="00335DF7"/>
    <w:rsid w:val="00336B46"/>
    <w:rsid w:val="00336BBA"/>
    <w:rsid w:val="00336C11"/>
    <w:rsid w:val="00337161"/>
    <w:rsid w:val="00337416"/>
    <w:rsid w:val="00337553"/>
    <w:rsid w:val="003378DF"/>
    <w:rsid w:val="0033796F"/>
    <w:rsid w:val="0034009A"/>
    <w:rsid w:val="003400F4"/>
    <w:rsid w:val="003407EB"/>
    <w:rsid w:val="00340886"/>
    <w:rsid w:val="00340A49"/>
    <w:rsid w:val="00340C75"/>
    <w:rsid w:val="00340FEE"/>
    <w:rsid w:val="003411F5"/>
    <w:rsid w:val="0034131C"/>
    <w:rsid w:val="00341CB4"/>
    <w:rsid w:val="00341F65"/>
    <w:rsid w:val="003429B4"/>
    <w:rsid w:val="00342CA0"/>
    <w:rsid w:val="00342E5D"/>
    <w:rsid w:val="00343340"/>
    <w:rsid w:val="00343664"/>
    <w:rsid w:val="003436CF"/>
    <w:rsid w:val="00343FA5"/>
    <w:rsid w:val="00344039"/>
    <w:rsid w:val="00344308"/>
    <w:rsid w:val="003444CF"/>
    <w:rsid w:val="00344501"/>
    <w:rsid w:val="003448E7"/>
    <w:rsid w:val="003449C0"/>
    <w:rsid w:val="003449C3"/>
    <w:rsid w:val="00344E69"/>
    <w:rsid w:val="003457EF"/>
    <w:rsid w:val="00345CBF"/>
    <w:rsid w:val="00345D90"/>
    <w:rsid w:val="003461A7"/>
    <w:rsid w:val="00346734"/>
    <w:rsid w:val="00346933"/>
    <w:rsid w:val="00346BCF"/>
    <w:rsid w:val="0034725E"/>
    <w:rsid w:val="00347586"/>
    <w:rsid w:val="00347A00"/>
    <w:rsid w:val="00347ABA"/>
    <w:rsid w:val="00347ABD"/>
    <w:rsid w:val="00347EEB"/>
    <w:rsid w:val="00347FC4"/>
    <w:rsid w:val="003507FB"/>
    <w:rsid w:val="00350ACD"/>
    <w:rsid w:val="00350B48"/>
    <w:rsid w:val="00350BD8"/>
    <w:rsid w:val="00350CEF"/>
    <w:rsid w:val="00351060"/>
    <w:rsid w:val="00351502"/>
    <w:rsid w:val="0035151F"/>
    <w:rsid w:val="00351842"/>
    <w:rsid w:val="00351B19"/>
    <w:rsid w:val="003529DF"/>
    <w:rsid w:val="00352A3C"/>
    <w:rsid w:val="00352B65"/>
    <w:rsid w:val="00352EB3"/>
    <w:rsid w:val="003530F9"/>
    <w:rsid w:val="0035314B"/>
    <w:rsid w:val="00353241"/>
    <w:rsid w:val="00353331"/>
    <w:rsid w:val="00353760"/>
    <w:rsid w:val="00353867"/>
    <w:rsid w:val="00353AE5"/>
    <w:rsid w:val="00353B5B"/>
    <w:rsid w:val="0035441E"/>
    <w:rsid w:val="0035463E"/>
    <w:rsid w:val="0035484C"/>
    <w:rsid w:val="00354A91"/>
    <w:rsid w:val="00354C38"/>
    <w:rsid w:val="00354C9C"/>
    <w:rsid w:val="00354EB7"/>
    <w:rsid w:val="00355316"/>
    <w:rsid w:val="00355975"/>
    <w:rsid w:val="00355EB8"/>
    <w:rsid w:val="003561CB"/>
    <w:rsid w:val="00356358"/>
    <w:rsid w:val="00356481"/>
    <w:rsid w:val="00357289"/>
    <w:rsid w:val="0035793E"/>
    <w:rsid w:val="003579F7"/>
    <w:rsid w:val="00357C9E"/>
    <w:rsid w:val="00357F9F"/>
    <w:rsid w:val="003602F8"/>
    <w:rsid w:val="00360CE8"/>
    <w:rsid w:val="00360D54"/>
    <w:rsid w:val="00360E77"/>
    <w:rsid w:val="00360F65"/>
    <w:rsid w:val="00360F74"/>
    <w:rsid w:val="003612E1"/>
    <w:rsid w:val="00361526"/>
    <w:rsid w:val="00361575"/>
    <w:rsid w:val="00361D56"/>
    <w:rsid w:val="0036214A"/>
    <w:rsid w:val="003621D9"/>
    <w:rsid w:val="003623FA"/>
    <w:rsid w:val="00362818"/>
    <w:rsid w:val="0036339A"/>
    <w:rsid w:val="0036398B"/>
    <w:rsid w:val="003641FC"/>
    <w:rsid w:val="0036462D"/>
    <w:rsid w:val="00364BD4"/>
    <w:rsid w:val="00364C83"/>
    <w:rsid w:val="00365001"/>
    <w:rsid w:val="00365366"/>
    <w:rsid w:val="00365447"/>
    <w:rsid w:val="00365642"/>
    <w:rsid w:val="00365749"/>
    <w:rsid w:val="00365BD8"/>
    <w:rsid w:val="00365C5C"/>
    <w:rsid w:val="00365E8C"/>
    <w:rsid w:val="00366215"/>
    <w:rsid w:val="0036627A"/>
    <w:rsid w:val="0036629F"/>
    <w:rsid w:val="00366878"/>
    <w:rsid w:val="00366D2A"/>
    <w:rsid w:val="00366F29"/>
    <w:rsid w:val="00367422"/>
    <w:rsid w:val="003675C2"/>
    <w:rsid w:val="00367675"/>
    <w:rsid w:val="00370075"/>
    <w:rsid w:val="003706DC"/>
    <w:rsid w:val="0037093F"/>
    <w:rsid w:val="00370BB8"/>
    <w:rsid w:val="00370E2B"/>
    <w:rsid w:val="0037102D"/>
    <w:rsid w:val="00371A7C"/>
    <w:rsid w:val="00372346"/>
    <w:rsid w:val="0037241D"/>
    <w:rsid w:val="0037280F"/>
    <w:rsid w:val="00372FA6"/>
    <w:rsid w:val="0037322A"/>
    <w:rsid w:val="003734BD"/>
    <w:rsid w:val="0037371F"/>
    <w:rsid w:val="0037385A"/>
    <w:rsid w:val="00373E5D"/>
    <w:rsid w:val="00374186"/>
    <w:rsid w:val="0037433D"/>
    <w:rsid w:val="003747A0"/>
    <w:rsid w:val="0037483A"/>
    <w:rsid w:val="00374A75"/>
    <w:rsid w:val="00374D15"/>
    <w:rsid w:val="00374F40"/>
    <w:rsid w:val="003757FC"/>
    <w:rsid w:val="00375D3D"/>
    <w:rsid w:val="00375F5A"/>
    <w:rsid w:val="00376819"/>
    <w:rsid w:val="00376822"/>
    <w:rsid w:val="00376915"/>
    <w:rsid w:val="00377014"/>
    <w:rsid w:val="00377698"/>
    <w:rsid w:val="003779E4"/>
    <w:rsid w:val="00377F7C"/>
    <w:rsid w:val="00380211"/>
    <w:rsid w:val="0038024D"/>
    <w:rsid w:val="00380515"/>
    <w:rsid w:val="003807D2"/>
    <w:rsid w:val="00380BAC"/>
    <w:rsid w:val="00380CF9"/>
    <w:rsid w:val="00380F5F"/>
    <w:rsid w:val="00381019"/>
    <w:rsid w:val="0038133F"/>
    <w:rsid w:val="00381EAB"/>
    <w:rsid w:val="0038212F"/>
    <w:rsid w:val="003821EF"/>
    <w:rsid w:val="0038241F"/>
    <w:rsid w:val="003826BF"/>
    <w:rsid w:val="00382738"/>
    <w:rsid w:val="00382E49"/>
    <w:rsid w:val="00383345"/>
    <w:rsid w:val="0038349A"/>
    <w:rsid w:val="0038358A"/>
    <w:rsid w:val="00383682"/>
    <w:rsid w:val="0038391A"/>
    <w:rsid w:val="003839F9"/>
    <w:rsid w:val="003844BA"/>
    <w:rsid w:val="003844F5"/>
    <w:rsid w:val="00384E65"/>
    <w:rsid w:val="003850AB"/>
    <w:rsid w:val="00385D66"/>
    <w:rsid w:val="00386173"/>
    <w:rsid w:val="00386217"/>
    <w:rsid w:val="00386ED0"/>
    <w:rsid w:val="0038716F"/>
    <w:rsid w:val="003877C8"/>
    <w:rsid w:val="00387A30"/>
    <w:rsid w:val="00387AA7"/>
    <w:rsid w:val="00387B3F"/>
    <w:rsid w:val="00387E9A"/>
    <w:rsid w:val="00387F21"/>
    <w:rsid w:val="00390F19"/>
    <w:rsid w:val="00391183"/>
    <w:rsid w:val="003911CC"/>
    <w:rsid w:val="003918AD"/>
    <w:rsid w:val="00391921"/>
    <w:rsid w:val="00391965"/>
    <w:rsid w:val="00391A32"/>
    <w:rsid w:val="00391B0C"/>
    <w:rsid w:val="00391C19"/>
    <w:rsid w:val="00391EA2"/>
    <w:rsid w:val="00392405"/>
    <w:rsid w:val="0039250B"/>
    <w:rsid w:val="00392688"/>
    <w:rsid w:val="00392793"/>
    <w:rsid w:val="003929E5"/>
    <w:rsid w:val="003931B3"/>
    <w:rsid w:val="00393247"/>
    <w:rsid w:val="003933B3"/>
    <w:rsid w:val="003934B9"/>
    <w:rsid w:val="00393598"/>
    <w:rsid w:val="0039394E"/>
    <w:rsid w:val="00393AC2"/>
    <w:rsid w:val="00393D7E"/>
    <w:rsid w:val="00393E03"/>
    <w:rsid w:val="003942A7"/>
    <w:rsid w:val="00394A8F"/>
    <w:rsid w:val="003950BA"/>
    <w:rsid w:val="003950EB"/>
    <w:rsid w:val="0039523D"/>
    <w:rsid w:val="0039580F"/>
    <w:rsid w:val="003958C6"/>
    <w:rsid w:val="00395F07"/>
    <w:rsid w:val="00395F7B"/>
    <w:rsid w:val="00396595"/>
    <w:rsid w:val="003965A3"/>
    <w:rsid w:val="00396645"/>
    <w:rsid w:val="0039665B"/>
    <w:rsid w:val="0039675E"/>
    <w:rsid w:val="003969A6"/>
    <w:rsid w:val="00396B98"/>
    <w:rsid w:val="00396ED4"/>
    <w:rsid w:val="0039739E"/>
    <w:rsid w:val="003978D5"/>
    <w:rsid w:val="00397BD6"/>
    <w:rsid w:val="003A024C"/>
    <w:rsid w:val="003A0B50"/>
    <w:rsid w:val="003A0BFE"/>
    <w:rsid w:val="003A1144"/>
    <w:rsid w:val="003A11E2"/>
    <w:rsid w:val="003A12AD"/>
    <w:rsid w:val="003A1333"/>
    <w:rsid w:val="003A1376"/>
    <w:rsid w:val="003A1689"/>
    <w:rsid w:val="003A18A1"/>
    <w:rsid w:val="003A1F0A"/>
    <w:rsid w:val="003A1F8C"/>
    <w:rsid w:val="003A23B1"/>
    <w:rsid w:val="003A2585"/>
    <w:rsid w:val="003A3213"/>
    <w:rsid w:val="003A3617"/>
    <w:rsid w:val="003A3777"/>
    <w:rsid w:val="003A39E6"/>
    <w:rsid w:val="003A3A73"/>
    <w:rsid w:val="003A3B57"/>
    <w:rsid w:val="003A3BF6"/>
    <w:rsid w:val="003A3C32"/>
    <w:rsid w:val="003A3EA9"/>
    <w:rsid w:val="003A4450"/>
    <w:rsid w:val="003A4BDD"/>
    <w:rsid w:val="003A547F"/>
    <w:rsid w:val="003A5783"/>
    <w:rsid w:val="003A5C0D"/>
    <w:rsid w:val="003A5D16"/>
    <w:rsid w:val="003A5D32"/>
    <w:rsid w:val="003A5E96"/>
    <w:rsid w:val="003A5FDE"/>
    <w:rsid w:val="003A6242"/>
    <w:rsid w:val="003A6301"/>
    <w:rsid w:val="003A637E"/>
    <w:rsid w:val="003A6394"/>
    <w:rsid w:val="003A63C6"/>
    <w:rsid w:val="003A661C"/>
    <w:rsid w:val="003A68F7"/>
    <w:rsid w:val="003A6A95"/>
    <w:rsid w:val="003A6B78"/>
    <w:rsid w:val="003A6C42"/>
    <w:rsid w:val="003A6E4D"/>
    <w:rsid w:val="003A6EAE"/>
    <w:rsid w:val="003A7913"/>
    <w:rsid w:val="003A79E2"/>
    <w:rsid w:val="003A7F7F"/>
    <w:rsid w:val="003B0294"/>
    <w:rsid w:val="003B0369"/>
    <w:rsid w:val="003B0495"/>
    <w:rsid w:val="003B1027"/>
    <w:rsid w:val="003B17A7"/>
    <w:rsid w:val="003B1B89"/>
    <w:rsid w:val="003B1BE0"/>
    <w:rsid w:val="003B2321"/>
    <w:rsid w:val="003B24BF"/>
    <w:rsid w:val="003B24FB"/>
    <w:rsid w:val="003B2AB5"/>
    <w:rsid w:val="003B2D16"/>
    <w:rsid w:val="003B2FA2"/>
    <w:rsid w:val="003B3056"/>
    <w:rsid w:val="003B3349"/>
    <w:rsid w:val="003B35E4"/>
    <w:rsid w:val="003B3998"/>
    <w:rsid w:val="003B40DE"/>
    <w:rsid w:val="003B41D3"/>
    <w:rsid w:val="003B49E3"/>
    <w:rsid w:val="003B5152"/>
    <w:rsid w:val="003B5440"/>
    <w:rsid w:val="003B55FB"/>
    <w:rsid w:val="003B5857"/>
    <w:rsid w:val="003B596E"/>
    <w:rsid w:val="003B5BC1"/>
    <w:rsid w:val="003B6108"/>
    <w:rsid w:val="003B6110"/>
    <w:rsid w:val="003B6701"/>
    <w:rsid w:val="003B6C30"/>
    <w:rsid w:val="003B6C75"/>
    <w:rsid w:val="003B6D64"/>
    <w:rsid w:val="003B7012"/>
    <w:rsid w:val="003B7679"/>
    <w:rsid w:val="003B79DB"/>
    <w:rsid w:val="003B7A3F"/>
    <w:rsid w:val="003B7F4B"/>
    <w:rsid w:val="003B7FD3"/>
    <w:rsid w:val="003C0146"/>
    <w:rsid w:val="003C0432"/>
    <w:rsid w:val="003C043C"/>
    <w:rsid w:val="003C05F1"/>
    <w:rsid w:val="003C0AF5"/>
    <w:rsid w:val="003C0F67"/>
    <w:rsid w:val="003C0FA6"/>
    <w:rsid w:val="003C0FFF"/>
    <w:rsid w:val="003C1071"/>
    <w:rsid w:val="003C1126"/>
    <w:rsid w:val="003C14F3"/>
    <w:rsid w:val="003C1631"/>
    <w:rsid w:val="003C1639"/>
    <w:rsid w:val="003C1CC0"/>
    <w:rsid w:val="003C2AF7"/>
    <w:rsid w:val="003C2B7E"/>
    <w:rsid w:val="003C31C2"/>
    <w:rsid w:val="003C3B88"/>
    <w:rsid w:val="003C3D75"/>
    <w:rsid w:val="003C4D16"/>
    <w:rsid w:val="003C5A5F"/>
    <w:rsid w:val="003C5C48"/>
    <w:rsid w:val="003C5D3D"/>
    <w:rsid w:val="003C5DC4"/>
    <w:rsid w:val="003C66DD"/>
    <w:rsid w:val="003C768A"/>
    <w:rsid w:val="003C768E"/>
    <w:rsid w:val="003C781B"/>
    <w:rsid w:val="003C7960"/>
    <w:rsid w:val="003C7BA8"/>
    <w:rsid w:val="003C7EC1"/>
    <w:rsid w:val="003D0231"/>
    <w:rsid w:val="003D09D4"/>
    <w:rsid w:val="003D09F4"/>
    <w:rsid w:val="003D0C8C"/>
    <w:rsid w:val="003D1081"/>
    <w:rsid w:val="003D1236"/>
    <w:rsid w:val="003D161A"/>
    <w:rsid w:val="003D16BA"/>
    <w:rsid w:val="003D1869"/>
    <w:rsid w:val="003D18C9"/>
    <w:rsid w:val="003D1BE9"/>
    <w:rsid w:val="003D2256"/>
    <w:rsid w:val="003D23C2"/>
    <w:rsid w:val="003D309C"/>
    <w:rsid w:val="003D311F"/>
    <w:rsid w:val="003D32AA"/>
    <w:rsid w:val="003D37A7"/>
    <w:rsid w:val="003D3C62"/>
    <w:rsid w:val="003D3E30"/>
    <w:rsid w:val="003D4849"/>
    <w:rsid w:val="003D487D"/>
    <w:rsid w:val="003D4A00"/>
    <w:rsid w:val="003D4A62"/>
    <w:rsid w:val="003D54AC"/>
    <w:rsid w:val="003D5A6E"/>
    <w:rsid w:val="003D5C64"/>
    <w:rsid w:val="003D655B"/>
    <w:rsid w:val="003D6ED3"/>
    <w:rsid w:val="003D73B3"/>
    <w:rsid w:val="003D76EE"/>
    <w:rsid w:val="003D7780"/>
    <w:rsid w:val="003E0135"/>
    <w:rsid w:val="003E0297"/>
    <w:rsid w:val="003E0371"/>
    <w:rsid w:val="003E04A0"/>
    <w:rsid w:val="003E0AD3"/>
    <w:rsid w:val="003E143A"/>
    <w:rsid w:val="003E180A"/>
    <w:rsid w:val="003E1B31"/>
    <w:rsid w:val="003E1EAD"/>
    <w:rsid w:val="003E1F29"/>
    <w:rsid w:val="003E2536"/>
    <w:rsid w:val="003E271E"/>
    <w:rsid w:val="003E28AE"/>
    <w:rsid w:val="003E2EFF"/>
    <w:rsid w:val="003E2F2A"/>
    <w:rsid w:val="003E2F94"/>
    <w:rsid w:val="003E31A9"/>
    <w:rsid w:val="003E32D9"/>
    <w:rsid w:val="003E3583"/>
    <w:rsid w:val="003E44D0"/>
    <w:rsid w:val="003E4633"/>
    <w:rsid w:val="003E468D"/>
    <w:rsid w:val="003E46B5"/>
    <w:rsid w:val="003E46E1"/>
    <w:rsid w:val="003E4B2C"/>
    <w:rsid w:val="003E4EA7"/>
    <w:rsid w:val="003E4FA3"/>
    <w:rsid w:val="003E5266"/>
    <w:rsid w:val="003E5A01"/>
    <w:rsid w:val="003E5BF4"/>
    <w:rsid w:val="003E603A"/>
    <w:rsid w:val="003E63FC"/>
    <w:rsid w:val="003E6A0E"/>
    <w:rsid w:val="003E6B91"/>
    <w:rsid w:val="003E6DC7"/>
    <w:rsid w:val="003F0327"/>
    <w:rsid w:val="003F0370"/>
    <w:rsid w:val="003F07DF"/>
    <w:rsid w:val="003F0E63"/>
    <w:rsid w:val="003F0F8A"/>
    <w:rsid w:val="003F10AC"/>
    <w:rsid w:val="003F1394"/>
    <w:rsid w:val="003F144B"/>
    <w:rsid w:val="003F183D"/>
    <w:rsid w:val="003F1AF3"/>
    <w:rsid w:val="003F1C38"/>
    <w:rsid w:val="003F1DAC"/>
    <w:rsid w:val="003F224D"/>
    <w:rsid w:val="003F2265"/>
    <w:rsid w:val="003F28DD"/>
    <w:rsid w:val="003F2D1A"/>
    <w:rsid w:val="003F2D9D"/>
    <w:rsid w:val="003F2DA8"/>
    <w:rsid w:val="003F3634"/>
    <w:rsid w:val="003F378D"/>
    <w:rsid w:val="003F3AF1"/>
    <w:rsid w:val="003F4193"/>
    <w:rsid w:val="003F44A8"/>
    <w:rsid w:val="003F45DE"/>
    <w:rsid w:val="003F466B"/>
    <w:rsid w:val="003F4A31"/>
    <w:rsid w:val="003F4E77"/>
    <w:rsid w:val="003F5AED"/>
    <w:rsid w:val="003F5D0A"/>
    <w:rsid w:val="003F5DB2"/>
    <w:rsid w:val="003F656C"/>
    <w:rsid w:val="003F681C"/>
    <w:rsid w:val="003F6D12"/>
    <w:rsid w:val="003F6D29"/>
    <w:rsid w:val="003F72A8"/>
    <w:rsid w:val="003F7399"/>
    <w:rsid w:val="003F760E"/>
    <w:rsid w:val="003F7A0A"/>
    <w:rsid w:val="003F7CE0"/>
    <w:rsid w:val="004003B3"/>
    <w:rsid w:val="00400532"/>
    <w:rsid w:val="004005B0"/>
    <w:rsid w:val="00400ACC"/>
    <w:rsid w:val="00400DEA"/>
    <w:rsid w:val="00401076"/>
    <w:rsid w:val="00401103"/>
    <w:rsid w:val="00401242"/>
    <w:rsid w:val="00401A83"/>
    <w:rsid w:val="00402459"/>
    <w:rsid w:val="004026FB"/>
    <w:rsid w:val="0040287B"/>
    <w:rsid w:val="004029BE"/>
    <w:rsid w:val="00402C25"/>
    <w:rsid w:val="0040312F"/>
    <w:rsid w:val="004035F9"/>
    <w:rsid w:val="004036FE"/>
    <w:rsid w:val="004037B7"/>
    <w:rsid w:val="00403E33"/>
    <w:rsid w:val="0040436F"/>
    <w:rsid w:val="0040462A"/>
    <w:rsid w:val="00404BE0"/>
    <w:rsid w:val="00404E73"/>
    <w:rsid w:val="00404EDC"/>
    <w:rsid w:val="004056BD"/>
    <w:rsid w:val="004059F7"/>
    <w:rsid w:val="00405D9E"/>
    <w:rsid w:val="00406173"/>
    <w:rsid w:val="00406427"/>
    <w:rsid w:val="0040727D"/>
    <w:rsid w:val="00407323"/>
    <w:rsid w:val="00407372"/>
    <w:rsid w:val="0040738F"/>
    <w:rsid w:val="00407A25"/>
    <w:rsid w:val="00407CF5"/>
    <w:rsid w:val="0041011E"/>
    <w:rsid w:val="004104A0"/>
    <w:rsid w:val="004104E3"/>
    <w:rsid w:val="00410995"/>
    <w:rsid w:val="00410BCE"/>
    <w:rsid w:val="004112C2"/>
    <w:rsid w:val="0041154D"/>
    <w:rsid w:val="00411784"/>
    <w:rsid w:val="0041187A"/>
    <w:rsid w:val="00411902"/>
    <w:rsid w:val="00411D4B"/>
    <w:rsid w:val="00411E6F"/>
    <w:rsid w:val="00411EB6"/>
    <w:rsid w:val="004120FD"/>
    <w:rsid w:val="004122FC"/>
    <w:rsid w:val="0041293A"/>
    <w:rsid w:val="00412A28"/>
    <w:rsid w:val="00412A66"/>
    <w:rsid w:val="00412BBC"/>
    <w:rsid w:val="00413248"/>
    <w:rsid w:val="004133B8"/>
    <w:rsid w:val="00413D97"/>
    <w:rsid w:val="00413E8D"/>
    <w:rsid w:val="0041414C"/>
    <w:rsid w:val="00414156"/>
    <w:rsid w:val="004149DC"/>
    <w:rsid w:val="00414A57"/>
    <w:rsid w:val="00414EAC"/>
    <w:rsid w:val="0041503F"/>
    <w:rsid w:val="004157D6"/>
    <w:rsid w:val="004157E4"/>
    <w:rsid w:val="004159A9"/>
    <w:rsid w:val="00415A0E"/>
    <w:rsid w:val="00415A67"/>
    <w:rsid w:val="00415B57"/>
    <w:rsid w:val="00415C1F"/>
    <w:rsid w:val="00415F66"/>
    <w:rsid w:val="00416B4C"/>
    <w:rsid w:val="00416FB9"/>
    <w:rsid w:val="00417654"/>
    <w:rsid w:val="00417818"/>
    <w:rsid w:val="00417C2A"/>
    <w:rsid w:val="00417DDE"/>
    <w:rsid w:val="004201BA"/>
    <w:rsid w:val="004202B6"/>
    <w:rsid w:val="004202C5"/>
    <w:rsid w:val="004209F1"/>
    <w:rsid w:val="00420A16"/>
    <w:rsid w:val="00420A8C"/>
    <w:rsid w:val="00421299"/>
    <w:rsid w:val="0042141B"/>
    <w:rsid w:val="00421667"/>
    <w:rsid w:val="0042188F"/>
    <w:rsid w:val="00421A39"/>
    <w:rsid w:val="00421DA5"/>
    <w:rsid w:val="0042283F"/>
    <w:rsid w:val="004229F7"/>
    <w:rsid w:val="00422DE0"/>
    <w:rsid w:val="00422DEF"/>
    <w:rsid w:val="00422EA4"/>
    <w:rsid w:val="00423035"/>
    <w:rsid w:val="00423545"/>
    <w:rsid w:val="00423583"/>
    <w:rsid w:val="00423590"/>
    <w:rsid w:val="004239CF"/>
    <w:rsid w:val="00423AAD"/>
    <w:rsid w:val="00423E62"/>
    <w:rsid w:val="00423F3E"/>
    <w:rsid w:val="00425290"/>
    <w:rsid w:val="004259EB"/>
    <w:rsid w:val="00425DD9"/>
    <w:rsid w:val="0042615A"/>
    <w:rsid w:val="00426917"/>
    <w:rsid w:val="00426D68"/>
    <w:rsid w:val="00426F90"/>
    <w:rsid w:val="00426FC2"/>
    <w:rsid w:val="00427762"/>
    <w:rsid w:val="00427847"/>
    <w:rsid w:val="00430518"/>
    <w:rsid w:val="00430864"/>
    <w:rsid w:val="004310FE"/>
    <w:rsid w:val="004313DD"/>
    <w:rsid w:val="00431964"/>
    <w:rsid w:val="00431B7D"/>
    <w:rsid w:val="00431D2B"/>
    <w:rsid w:val="00432290"/>
    <w:rsid w:val="0043239E"/>
    <w:rsid w:val="0043281B"/>
    <w:rsid w:val="00432C0D"/>
    <w:rsid w:val="00433344"/>
    <w:rsid w:val="004336E9"/>
    <w:rsid w:val="004338B1"/>
    <w:rsid w:val="00433D47"/>
    <w:rsid w:val="00433D51"/>
    <w:rsid w:val="00434368"/>
    <w:rsid w:val="0043442C"/>
    <w:rsid w:val="00434986"/>
    <w:rsid w:val="004349BF"/>
    <w:rsid w:val="00434AE5"/>
    <w:rsid w:val="00434D34"/>
    <w:rsid w:val="00434F98"/>
    <w:rsid w:val="004352A9"/>
    <w:rsid w:val="0043583C"/>
    <w:rsid w:val="004358A7"/>
    <w:rsid w:val="00435C46"/>
    <w:rsid w:val="00435CEB"/>
    <w:rsid w:val="00436477"/>
    <w:rsid w:val="00436769"/>
    <w:rsid w:val="004369CA"/>
    <w:rsid w:val="00436DFB"/>
    <w:rsid w:val="004372C7"/>
    <w:rsid w:val="004375F6"/>
    <w:rsid w:val="0043765B"/>
    <w:rsid w:val="00437D69"/>
    <w:rsid w:val="004401DE"/>
    <w:rsid w:val="004402FB"/>
    <w:rsid w:val="004409FF"/>
    <w:rsid w:val="004412AB"/>
    <w:rsid w:val="00441729"/>
    <w:rsid w:val="00442209"/>
    <w:rsid w:val="00442539"/>
    <w:rsid w:val="00442882"/>
    <w:rsid w:val="00442AC9"/>
    <w:rsid w:val="00442B75"/>
    <w:rsid w:val="00442C79"/>
    <w:rsid w:val="0044341B"/>
    <w:rsid w:val="004436D9"/>
    <w:rsid w:val="00443AFD"/>
    <w:rsid w:val="0044406C"/>
    <w:rsid w:val="00444362"/>
    <w:rsid w:val="00444746"/>
    <w:rsid w:val="00444878"/>
    <w:rsid w:val="00444A31"/>
    <w:rsid w:val="00444D4E"/>
    <w:rsid w:val="00444D92"/>
    <w:rsid w:val="00444EEE"/>
    <w:rsid w:val="0044560E"/>
    <w:rsid w:val="00445964"/>
    <w:rsid w:val="00445A94"/>
    <w:rsid w:val="004462E1"/>
    <w:rsid w:val="00446600"/>
    <w:rsid w:val="00446B61"/>
    <w:rsid w:val="004472D6"/>
    <w:rsid w:val="00447A83"/>
    <w:rsid w:val="0045077C"/>
    <w:rsid w:val="00450BE8"/>
    <w:rsid w:val="00450DD7"/>
    <w:rsid w:val="004513FD"/>
    <w:rsid w:val="004515D4"/>
    <w:rsid w:val="00452261"/>
    <w:rsid w:val="004522E3"/>
    <w:rsid w:val="00452628"/>
    <w:rsid w:val="004529FF"/>
    <w:rsid w:val="00452C53"/>
    <w:rsid w:val="00452D78"/>
    <w:rsid w:val="00452F1D"/>
    <w:rsid w:val="00453182"/>
    <w:rsid w:val="00453252"/>
    <w:rsid w:val="00453258"/>
    <w:rsid w:val="004533A0"/>
    <w:rsid w:val="0045368E"/>
    <w:rsid w:val="004536DC"/>
    <w:rsid w:val="00453A5E"/>
    <w:rsid w:val="00453AAF"/>
    <w:rsid w:val="00453D44"/>
    <w:rsid w:val="004543A7"/>
    <w:rsid w:val="004548DD"/>
    <w:rsid w:val="004549A9"/>
    <w:rsid w:val="00454B3F"/>
    <w:rsid w:val="0045510E"/>
    <w:rsid w:val="0045512D"/>
    <w:rsid w:val="004556E1"/>
    <w:rsid w:val="00455712"/>
    <w:rsid w:val="00455741"/>
    <w:rsid w:val="00455877"/>
    <w:rsid w:val="00455BD0"/>
    <w:rsid w:val="00455DA8"/>
    <w:rsid w:val="00455FD2"/>
    <w:rsid w:val="004563F3"/>
    <w:rsid w:val="00456877"/>
    <w:rsid w:val="00456AFB"/>
    <w:rsid w:val="00456D3A"/>
    <w:rsid w:val="004572DC"/>
    <w:rsid w:val="0045784A"/>
    <w:rsid w:val="00457989"/>
    <w:rsid w:val="00457B45"/>
    <w:rsid w:val="00457D7C"/>
    <w:rsid w:val="004602BA"/>
    <w:rsid w:val="00460559"/>
    <w:rsid w:val="00460B90"/>
    <w:rsid w:val="00460D09"/>
    <w:rsid w:val="00460EE6"/>
    <w:rsid w:val="00461217"/>
    <w:rsid w:val="00461550"/>
    <w:rsid w:val="004619EC"/>
    <w:rsid w:val="00461F8A"/>
    <w:rsid w:val="004620DC"/>
    <w:rsid w:val="00462787"/>
    <w:rsid w:val="00462D10"/>
    <w:rsid w:val="00462E7C"/>
    <w:rsid w:val="0046311A"/>
    <w:rsid w:val="0046357E"/>
    <w:rsid w:val="004635EC"/>
    <w:rsid w:val="00463898"/>
    <w:rsid w:val="00463F4F"/>
    <w:rsid w:val="0046415F"/>
    <w:rsid w:val="004646BF"/>
    <w:rsid w:val="00464AB1"/>
    <w:rsid w:val="00464AF0"/>
    <w:rsid w:val="0046514D"/>
    <w:rsid w:val="00465231"/>
    <w:rsid w:val="00465DBD"/>
    <w:rsid w:val="00465F11"/>
    <w:rsid w:val="00465FB0"/>
    <w:rsid w:val="00466240"/>
    <w:rsid w:val="004663E0"/>
    <w:rsid w:val="0046640C"/>
    <w:rsid w:val="0046690B"/>
    <w:rsid w:val="00466998"/>
    <w:rsid w:val="00466BBE"/>
    <w:rsid w:val="00466C99"/>
    <w:rsid w:val="00466CD8"/>
    <w:rsid w:val="00466F32"/>
    <w:rsid w:val="00466F66"/>
    <w:rsid w:val="004674B8"/>
    <w:rsid w:val="004675D6"/>
    <w:rsid w:val="004679F0"/>
    <w:rsid w:val="00467A12"/>
    <w:rsid w:val="00467AFB"/>
    <w:rsid w:val="00467B76"/>
    <w:rsid w:val="004702B0"/>
    <w:rsid w:val="00471153"/>
    <w:rsid w:val="004711C4"/>
    <w:rsid w:val="0047169D"/>
    <w:rsid w:val="004717A2"/>
    <w:rsid w:val="004719E1"/>
    <w:rsid w:val="00471A1B"/>
    <w:rsid w:val="00471A3D"/>
    <w:rsid w:val="00471B23"/>
    <w:rsid w:val="00472191"/>
    <w:rsid w:val="004721C9"/>
    <w:rsid w:val="0047229E"/>
    <w:rsid w:val="004722E8"/>
    <w:rsid w:val="00472326"/>
    <w:rsid w:val="004727EF"/>
    <w:rsid w:val="004729AB"/>
    <w:rsid w:val="00472AF5"/>
    <w:rsid w:val="00473777"/>
    <w:rsid w:val="004741F2"/>
    <w:rsid w:val="0047455A"/>
    <w:rsid w:val="00474728"/>
    <w:rsid w:val="00474972"/>
    <w:rsid w:val="00474FF9"/>
    <w:rsid w:val="00475532"/>
    <w:rsid w:val="0047569A"/>
    <w:rsid w:val="004760D1"/>
    <w:rsid w:val="00476274"/>
    <w:rsid w:val="0047661E"/>
    <w:rsid w:val="00476A3D"/>
    <w:rsid w:val="00476CE2"/>
    <w:rsid w:val="00477D02"/>
    <w:rsid w:val="00477EFA"/>
    <w:rsid w:val="00480633"/>
    <w:rsid w:val="0048071E"/>
    <w:rsid w:val="00480A19"/>
    <w:rsid w:val="00480E89"/>
    <w:rsid w:val="0048113B"/>
    <w:rsid w:val="004813C9"/>
    <w:rsid w:val="0048162A"/>
    <w:rsid w:val="0048176C"/>
    <w:rsid w:val="0048195C"/>
    <w:rsid w:val="00481B29"/>
    <w:rsid w:val="00482090"/>
    <w:rsid w:val="0048230D"/>
    <w:rsid w:val="00482465"/>
    <w:rsid w:val="004825F5"/>
    <w:rsid w:val="004828AE"/>
    <w:rsid w:val="00482BC0"/>
    <w:rsid w:val="00482D53"/>
    <w:rsid w:val="00482D74"/>
    <w:rsid w:val="00483003"/>
    <w:rsid w:val="00483321"/>
    <w:rsid w:val="00483691"/>
    <w:rsid w:val="0048391F"/>
    <w:rsid w:val="004839BE"/>
    <w:rsid w:val="004839D6"/>
    <w:rsid w:val="00483A0C"/>
    <w:rsid w:val="0048456A"/>
    <w:rsid w:val="004848DA"/>
    <w:rsid w:val="00484AC9"/>
    <w:rsid w:val="00485122"/>
    <w:rsid w:val="004853E0"/>
    <w:rsid w:val="00485A36"/>
    <w:rsid w:val="00485DAB"/>
    <w:rsid w:val="00486180"/>
    <w:rsid w:val="00486204"/>
    <w:rsid w:val="00486509"/>
    <w:rsid w:val="00486608"/>
    <w:rsid w:val="00486C6C"/>
    <w:rsid w:val="00487679"/>
    <w:rsid w:val="004879B6"/>
    <w:rsid w:val="00487A01"/>
    <w:rsid w:val="00487D54"/>
    <w:rsid w:val="00487D87"/>
    <w:rsid w:val="00487F4B"/>
    <w:rsid w:val="00490036"/>
    <w:rsid w:val="00490073"/>
    <w:rsid w:val="004900A0"/>
    <w:rsid w:val="00490FA3"/>
    <w:rsid w:val="0049156F"/>
    <w:rsid w:val="004916FA"/>
    <w:rsid w:val="00491EC2"/>
    <w:rsid w:val="00492191"/>
    <w:rsid w:val="00492256"/>
    <w:rsid w:val="0049225B"/>
    <w:rsid w:val="00492298"/>
    <w:rsid w:val="0049261C"/>
    <w:rsid w:val="00493045"/>
    <w:rsid w:val="00493733"/>
    <w:rsid w:val="00493E92"/>
    <w:rsid w:val="00494127"/>
    <w:rsid w:val="0049429B"/>
    <w:rsid w:val="00494411"/>
    <w:rsid w:val="004944CD"/>
    <w:rsid w:val="004948AC"/>
    <w:rsid w:val="00494A27"/>
    <w:rsid w:val="00494A2A"/>
    <w:rsid w:val="00495068"/>
    <w:rsid w:val="004952B9"/>
    <w:rsid w:val="0049541F"/>
    <w:rsid w:val="0049580D"/>
    <w:rsid w:val="00495B97"/>
    <w:rsid w:val="00496179"/>
    <w:rsid w:val="00496182"/>
    <w:rsid w:val="004962E9"/>
    <w:rsid w:val="004965BC"/>
    <w:rsid w:val="00496DE2"/>
    <w:rsid w:val="00496EA3"/>
    <w:rsid w:val="004976EB"/>
    <w:rsid w:val="00497D52"/>
    <w:rsid w:val="004A0336"/>
    <w:rsid w:val="004A06F7"/>
    <w:rsid w:val="004A077A"/>
    <w:rsid w:val="004A07C9"/>
    <w:rsid w:val="004A11B1"/>
    <w:rsid w:val="004A11F3"/>
    <w:rsid w:val="004A1244"/>
    <w:rsid w:val="004A14A5"/>
    <w:rsid w:val="004A19D1"/>
    <w:rsid w:val="004A1B8D"/>
    <w:rsid w:val="004A1C7D"/>
    <w:rsid w:val="004A1CB8"/>
    <w:rsid w:val="004A1F3E"/>
    <w:rsid w:val="004A2016"/>
    <w:rsid w:val="004A2027"/>
    <w:rsid w:val="004A2AA5"/>
    <w:rsid w:val="004A3D69"/>
    <w:rsid w:val="004A3DBA"/>
    <w:rsid w:val="004A3E73"/>
    <w:rsid w:val="004A4212"/>
    <w:rsid w:val="004A422F"/>
    <w:rsid w:val="004A4396"/>
    <w:rsid w:val="004A4904"/>
    <w:rsid w:val="004A536A"/>
    <w:rsid w:val="004A5CC0"/>
    <w:rsid w:val="004A5F13"/>
    <w:rsid w:val="004A5F71"/>
    <w:rsid w:val="004A60BB"/>
    <w:rsid w:val="004A622D"/>
    <w:rsid w:val="004A636F"/>
    <w:rsid w:val="004A67C3"/>
    <w:rsid w:val="004A6CB9"/>
    <w:rsid w:val="004A6F79"/>
    <w:rsid w:val="004A7022"/>
    <w:rsid w:val="004A73E2"/>
    <w:rsid w:val="004A763E"/>
    <w:rsid w:val="004A7FF3"/>
    <w:rsid w:val="004B03D3"/>
    <w:rsid w:val="004B0694"/>
    <w:rsid w:val="004B076D"/>
    <w:rsid w:val="004B09BE"/>
    <w:rsid w:val="004B0A1C"/>
    <w:rsid w:val="004B0FE4"/>
    <w:rsid w:val="004B13E0"/>
    <w:rsid w:val="004B188B"/>
    <w:rsid w:val="004B19ED"/>
    <w:rsid w:val="004B1FA1"/>
    <w:rsid w:val="004B202B"/>
    <w:rsid w:val="004B2367"/>
    <w:rsid w:val="004B2769"/>
    <w:rsid w:val="004B2A6B"/>
    <w:rsid w:val="004B2DF5"/>
    <w:rsid w:val="004B3A1C"/>
    <w:rsid w:val="004B3A75"/>
    <w:rsid w:val="004B3B0C"/>
    <w:rsid w:val="004B4187"/>
    <w:rsid w:val="004B42C4"/>
    <w:rsid w:val="004B43BE"/>
    <w:rsid w:val="004B47E7"/>
    <w:rsid w:val="004B4D83"/>
    <w:rsid w:val="004B5312"/>
    <w:rsid w:val="004B56D6"/>
    <w:rsid w:val="004B600D"/>
    <w:rsid w:val="004B6108"/>
    <w:rsid w:val="004B658E"/>
    <w:rsid w:val="004B686B"/>
    <w:rsid w:val="004B6C6C"/>
    <w:rsid w:val="004B6E73"/>
    <w:rsid w:val="004B73AD"/>
    <w:rsid w:val="004B74B3"/>
    <w:rsid w:val="004B7536"/>
    <w:rsid w:val="004B79E6"/>
    <w:rsid w:val="004B7A2D"/>
    <w:rsid w:val="004B7E34"/>
    <w:rsid w:val="004B7F0E"/>
    <w:rsid w:val="004C0474"/>
    <w:rsid w:val="004C0AC2"/>
    <w:rsid w:val="004C0B1D"/>
    <w:rsid w:val="004C0B92"/>
    <w:rsid w:val="004C0CF5"/>
    <w:rsid w:val="004C0DC9"/>
    <w:rsid w:val="004C0F27"/>
    <w:rsid w:val="004C0FB5"/>
    <w:rsid w:val="004C12E8"/>
    <w:rsid w:val="004C16CE"/>
    <w:rsid w:val="004C19BB"/>
    <w:rsid w:val="004C1C77"/>
    <w:rsid w:val="004C26AF"/>
    <w:rsid w:val="004C2933"/>
    <w:rsid w:val="004C3225"/>
    <w:rsid w:val="004C366D"/>
    <w:rsid w:val="004C3BD4"/>
    <w:rsid w:val="004C3F98"/>
    <w:rsid w:val="004C3FB2"/>
    <w:rsid w:val="004C40EE"/>
    <w:rsid w:val="004C416C"/>
    <w:rsid w:val="004C4C31"/>
    <w:rsid w:val="004C53AA"/>
    <w:rsid w:val="004C5447"/>
    <w:rsid w:val="004C6208"/>
    <w:rsid w:val="004C6529"/>
    <w:rsid w:val="004C7137"/>
    <w:rsid w:val="004C7286"/>
    <w:rsid w:val="004C7668"/>
    <w:rsid w:val="004C78F1"/>
    <w:rsid w:val="004C793A"/>
    <w:rsid w:val="004D0DB7"/>
    <w:rsid w:val="004D15EE"/>
    <w:rsid w:val="004D1A67"/>
    <w:rsid w:val="004D1C7D"/>
    <w:rsid w:val="004D2091"/>
    <w:rsid w:val="004D229D"/>
    <w:rsid w:val="004D242A"/>
    <w:rsid w:val="004D245B"/>
    <w:rsid w:val="004D25A9"/>
    <w:rsid w:val="004D28B3"/>
    <w:rsid w:val="004D3165"/>
    <w:rsid w:val="004D39A0"/>
    <w:rsid w:val="004D4365"/>
    <w:rsid w:val="004D43F8"/>
    <w:rsid w:val="004D45E8"/>
    <w:rsid w:val="004D46CF"/>
    <w:rsid w:val="004D47AD"/>
    <w:rsid w:val="004D4A4C"/>
    <w:rsid w:val="004D521D"/>
    <w:rsid w:val="004D53AC"/>
    <w:rsid w:val="004D566A"/>
    <w:rsid w:val="004D5852"/>
    <w:rsid w:val="004D5A3E"/>
    <w:rsid w:val="004D5C65"/>
    <w:rsid w:val="004D63D5"/>
    <w:rsid w:val="004D657C"/>
    <w:rsid w:val="004D6719"/>
    <w:rsid w:val="004D6AEC"/>
    <w:rsid w:val="004D6E30"/>
    <w:rsid w:val="004D6EA0"/>
    <w:rsid w:val="004D6FF2"/>
    <w:rsid w:val="004D7337"/>
    <w:rsid w:val="004D7559"/>
    <w:rsid w:val="004D75D9"/>
    <w:rsid w:val="004D78D8"/>
    <w:rsid w:val="004D7DE2"/>
    <w:rsid w:val="004D7EF1"/>
    <w:rsid w:val="004E015B"/>
    <w:rsid w:val="004E0B53"/>
    <w:rsid w:val="004E0D67"/>
    <w:rsid w:val="004E1823"/>
    <w:rsid w:val="004E18F1"/>
    <w:rsid w:val="004E1A94"/>
    <w:rsid w:val="004E1D68"/>
    <w:rsid w:val="004E20F5"/>
    <w:rsid w:val="004E279D"/>
    <w:rsid w:val="004E29B3"/>
    <w:rsid w:val="004E2ACC"/>
    <w:rsid w:val="004E31E6"/>
    <w:rsid w:val="004E36F2"/>
    <w:rsid w:val="004E38DF"/>
    <w:rsid w:val="004E3AFF"/>
    <w:rsid w:val="004E3C16"/>
    <w:rsid w:val="004E4448"/>
    <w:rsid w:val="004E448E"/>
    <w:rsid w:val="004E4E8D"/>
    <w:rsid w:val="004E519F"/>
    <w:rsid w:val="004E52CA"/>
    <w:rsid w:val="004E5823"/>
    <w:rsid w:val="004E5829"/>
    <w:rsid w:val="004E59C9"/>
    <w:rsid w:val="004E5A59"/>
    <w:rsid w:val="004E610C"/>
    <w:rsid w:val="004E629A"/>
    <w:rsid w:val="004E6735"/>
    <w:rsid w:val="004E68C0"/>
    <w:rsid w:val="004E7854"/>
    <w:rsid w:val="004F0180"/>
    <w:rsid w:val="004F029A"/>
    <w:rsid w:val="004F0861"/>
    <w:rsid w:val="004F177F"/>
    <w:rsid w:val="004F1C28"/>
    <w:rsid w:val="004F1DD6"/>
    <w:rsid w:val="004F2344"/>
    <w:rsid w:val="004F2795"/>
    <w:rsid w:val="004F28C5"/>
    <w:rsid w:val="004F2F0F"/>
    <w:rsid w:val="004F373F"/>
    <w:rsid w:val="004F3AA1"/>
    <w:rsid w:val="004F44E0"/>
    <w:rsid w:val="004F4856"/>
    <w:rsid w:val="004F4B4C"/>
    <w:rsid w:val="004F53D1"/>
    <w:rsid w:val="004F53DB"/>
    <w:rsid w:val="004F54DA"/>
    <w:rsid w:val="004F5B00"/>
    <w:rsid w:val="004F7275"/>
    <w:rsid w:val="004F7E10"/>
    <w:rsid w:val="004F7F8F"/>
    <w:rsid w:val="00500432"/>
    <w:rsid w:val="0050071D"/>
    <w:rsid w:val="0050093E"/>
    <w:rsid w:val="00500C1C"/>
    <w:rsid w:val="00500C92"/>
    <w:rsid w:val="00501197"/>
    <w:rsid w:val="00501416"/>
    <w:rsid w:val="005014E0"/>
    <w:rsid w:val="005017E0"/>
    <w:rsid w:val="005019D4"/>
    <w:rsid w:val="00501A94"/>
    <w:rsid w:val="00501D58"/>
    <w:rsid w:val="00501FD7"/>
    <w:rsid w:val="005020E6"/>
    <w:rsid w:val="005020F9"/>
    <w:rsid w:val="005022B7"/>
    <w:rsid w:val="00502662"/>
    <w:rsid w:val="0050279B"/>
    <w:rsid w:val="00502BE1"/>
    <w:rsid w:val="00502DBC"/>
    <w:rsid w:val="005035BE"/>
    <w:rsid w:val="0050424C"/>
    <w:rsid w:val="005044B2"/>
    <w:rsid w:val="0050482A"/>
    <w:rsid w:val="00504AD5"/>
    <w:rsid w:val="00504B6B"/>
    <w:rsid w:val="00504CCD"/>
    <w:rsid w:val="0050531D"/>
    <w:rsid w:val="00505931"/>
    <w:rsid w:val="00505D68"/>
    <w:rsid w:val="005064A2"/>
    <w:rsid w:val="00507357"/>
    <w:rsid w:val="00507499"/>
    <w:rsid w:val="005074FD"/>
    <w:rsid w:val="005075AE"/>
    <w:rsid w:val="00510330"/>
    <w:rsid w:val="00510422"/>
    <w:rsid w:val="00510571"/>
    <w:rsid w:val="005115A7"/>
    <w:rsid w:val="005116D6"/>
    <w:rsid w:val="005117AA"/>
    <w:rsid w:val="00511A42"/>
    <w:rsid w:val="005126A2"/>
    <w:rsid w:val="005128D6"/>
    <w:rsid w:val="00512FDF"/>
    <w:rsid w:val="005132A6"/>
    <w:rsid w:val="00513AAB"/>
    <w:rsid w:val="0051445D"/>
    <w:rsid w:val="005148A3"/>
    <w:rsid w:val="00514A96"/>
    <w:rsid w:val="00515272"/>
    <w:rsid w:val="005153D9"/>
    <w:rsid w:val="00515511"/>
    <w:rsid w:val="00515C9B"/>
    <w:rsid w:val="00515CF5"/>
    <w:rsid w:val="00516053"/>
    <w:rsid w:val="00516144"/>
    <w:rsid w:val="00516167"/>
    <w:rsid w:val="005161A0"/>
    <w:rsid w:val="00516204"/>
    <w:rsid w:val="0051647A"/>
    <w:rsid w:val="0051681F"/>
    <w:rsid w:val="0051682B"/>
    <w:rsid w:val="005168CD"/>
    <w:rsid w:val="00516F6C"/>
    <w:rsid w:val="005170A3"/>
    <w:rsid w:val="00517414"/>
    <w:rsid w:val="00517576"/>
    <w:rsid w:val="00517587"/>
    <w:rsid w:val="005175A5"/>
    <w:rsid w:val="00517A50"/>
    <w:rsid w:val="00517B65"/>
    <w:rsid w:val="00520134"/>
    <w:rsid w:val="0052015F"/>
    <w:rsid w:val="00520267"/>
    <w:rsid w:val="005204CC"/>
    <w:rsid w:val="0052053F"/>
    <w:rsid w:val="005209EE"/>
    <w:rsid w:val="00520AD7"/>
    <w:rsid w:val="00520C57"/>
    <w:rsid w:val="00520CDC"/>
    <w:rsid w:val="00520FA3"/>
    <w:rsid w:val="005211F2"/>
    <w:rsid w:val="0052163E"/>
    <w:rsid w:val="005229A0"/>
    <w:rsid w:val="00523412"/>
    <w:rsid w:val="00523579"/>
    <w:rsid w:val="00523879"/>
    <w:rsid w:val="00523F10"/>
    <w:rsid w:val="00524610"/>
    <w:rsid w:val="0052487E"/>
    <w:rsid w:val="00524DBE"/>
    <w:rsid w:val="0052523B"/>
    <w:rsid w:val="005256F8"/>
    <w:rsid w:val="00525DDB"/>
    <w:rsid w:val="00525E93"/>
    <w:rsid w:val="0052609F"/>
    <w:rsid w:val="0052650F"/>
    <w:rsid w:val="00526892"/>
    <w:rsid w:val="00526CC3"/>
    <w:rsid w:val="0052730F"/>
    <w:rsid w:val="00527E8E"/>
    <w:rsid w:val="005301B9"/>
    <w:rsid w:val="005302F5"/>
    <w:rsid w:val="005304C8"/>
    <w:rsid w:val="005305AC"/>
    <w:rsid w:val="00530909"/>
    <w:rsid w:val="00530E7B"/>
    <w:rsid w:val="005312EB"/>
    <w:rsid w:val="0053137E"/>
    <w:rsid w:val="00531618"/>
    <w:rsid w:val="00531BF6"/>
    <w:rsid w:val="00531E14"/>
    <w:rsid w:val="00532298"/>
    <w:rsid w:val="0053251D"/>
    <w:rsid w:val="00532BC1"/>
    <w:rsid w:val="0053312A"/>
    <w:rsid w:val="0053353E"/>
    <w:rsid w:val="00533594"/>
    <w:rsid w:val="00533621"/>
    <w:rsid w:val="00533EFD"/>
    <w:rsid w:val="0053453A"/>
    <w:rsid w:val="0053486B"/>
    <w:rsid w:val="00534AB8"/>
    <w:rsid w:val="00534F44"/>
    <w:rsid w:val="00534FEB"/>
    <w:rsid w:val="00535344"/>
    <w:rsid w:val="005354CB"/>
    <w:rsid w:val="00535594"/>
    <w:rsid w:val="00535E3E"/>
    <w:rsid w:val="005361B5"/>
    <w:rsid w:val="00536257"/>
    <w:rsid w:val="0053636B"/>
    <w:rsid w:val="00536400"/>
    <w:rsid w:val="0053654F"/>
    <w:rsid w:val="00536C34"/>
    <w:rsid w:val="00536CC1"/>
    <w:rsid w:val="00536D53"/>
    <w:rsid w:val="00536E58"/>
    <w:rsid w:val="00536FEB"/>
    <w:rsid w:val="0053735F"/>
    <w:rsid w:val="00537518"/>
    <w:rsid w:val="0053752A"/>
    <w:rsid w:val="005376A8"/>
    <w:rsid w:val="0053795C"/>
    <w:rsid w:val="00537CD6"/>
    <w:rsid w:val="00540103"/>
    <w:rsid w:val="005401AE"/>
    <w:rsid w:val="005403F9"/>
    <w:rsid w:val="00540602"/>
    <w:rsid w:val="00540BD8"/>
    <w:rsid w:val="00540DD8"/>
    <w:rsid w:val="00541418"/>
    <w:rsid w:val="005418A8"/>
    <w:rsid w:val="00542059"/>
    <w:rsid w:val="005424CA"/>
    <w:rsid w:val="0054254E"/>
    <w:rsid w:val="0054293C"/>
    <w:rsid w:val="00542A6E"/>
    <w:rsid w:val="00542B41"/>
    <w:rsid w:val="00543444"/>
    <w:rsid w:val="00543533"/>
    <w:rsid w:val="005436A8"/>
    <w:rsid w:val="00543FB5"/>
    <w:rsid w:val="005440E0"/>
    <w:rsid w:val="00544381"/>
    <w:rsid w:val="005447BD"/>
    <w:rsid w:val="005451CE"/>
    <w:rsid w:val="00545229"/>
    <w:rsid w:val="00545409"/>
    <w:rsid w:val="005458D7"/>
    <w:rsid w:val="00545BFE"/>
    <w:rsid w:val="00545C50"/>
    <w:rsid w:val="00546131"/>
    <w:rsid w:val="0054642A"/>
    <w:rsid w:val="005465A3"/>
    <w:rsid w:val="005468B0"/>
    <w:rsid w:val="00546A0F"/>
    <w:rsid w:val="00546BCF"/>
    <w:rsid w:val="00546BD3"/>
    <w:rsid w:val="005470DE"/>
    <w:rsid w:val="00547368"/>
    <w:rsid w:val="0054747E"/>
    <w:rsid w:val="005475A2"/>
    <w:rsid w:val="005478F2"/>
    <w:rsid w:val="00547EC2"/>
    <w:rsid w:val="00547F4B"/>
    <w:rsid w:val="00547FB5"/>
    <w:rsid w:val="0055002E"/>
    <w:rsid w:val="00550166"/>
    <w:rsid w:val="005501CD"/>
    <w:rsid w:val="0055053C"/>
    <w:rsid w:val="0055075F"/>
    <w:rsid w:val="00550A8C"/>
    <w:rsid w:val="00550B62"/>
    <w:rsid w:val="00550E8F"/>
    <w:rsid w:val="005510A7"/>
    <w:rsid w:val="005512BA"/>
    <w:rsid w:val="0055160A"/>
    <w:rsid w:val="00551992"/>
    <w:rsid w:val="00551BB8"/>
    <w:rsid w:val="00551DC2"/>
    <w:rsid w:val="00552217"/>
    <w:rsid w:val="005523D6"/>
    <w:rsid w:val="0055286C"/>
    <w:rsid w:val="005528EA"/>
    <w:rsid w:val="00552EE4"/>
    <w:rsid w:val="00553707"/>
    <w:rsid w:val="005538B6"/>
    <w:rsid w:val="005543BA"/>
    <w:rsid w:val="005548F9"/>
    <w:rsid w:val="00554A13"/>
    <w:rsid w:val="00554A42"/>
    <w:rsid w:val="00554B7F"/>
    <w:rsid w:val="00554EA8"/>
    <w:rsid w:val="0055503D"/>
    <w:rsid w:val="00555171"/>
    <w:rsid w:val="00555493"/>
    <w:rsid w:val="00555A3B"/>
    <w:rsid w:val="00555AC7"/>
    <w:rsid w:val="00555BEC"/>
    <w:rsid w:val="00556008"/>
    <w:rsid w:val="0055635B"/>
    <w:rsid w:val="00556607"/>
    <w:rsid w:val="00556C5B"/>
    <w:rsid w:val="005574B9"/>
    <w:rsid w:val="005578ED"/>
    <w:rsid w:val="00557DA2"/>
    <w:rsid w:val="00557E6E"/>
    <w:rsid w:val="00560116"/>
    <w:rsid w:val="005602E4"/>
    <w:rsid w:val="00560984"/>
    <w:rsid w:val="00560A34"/>
    <w:rsid w:val="00560D43"/>
    <w:rsid w:val="00560EA5"/>
    <w:rsid w:val="00560ECB"/>
    <w:rsid w:val="00560F7E"/>
    <w:rsid w:val="00561A36"/>
    <w:rsid w:val="00561B38"/>
    <w:rsid w:val="00561F17"/>
    <w:rsid w:val="00561F9D"/>
    <w:rsid w:val="00562006"/>
    <w:rsid w:val="00562191"/>
    <w:rsid w:val="00562950"/>
    <w:rsid w:val="00562A10"/>
    <w:rsid w:val="00562B4F"/>
    <w:rsid w:val="00562F8A"/>
    <w:rsid w:val="005634F9"/>
    <w:rsid w:val="005637EF"/>
    <w:rsid w:val="00563A09"/>
    <w:rsid w:val="00563BC5"/>
    <w:rsid w:val="00563D4C"/>
    <w:rsid w:val="00563DD2"/>
    <w:rsid w:val="00563E22"/>
    <w:rsid w:val="00564859"/>
    <w:rsid w:val="00564D42"/>
    <w:rsid w:val="00564ECE"/>
    <w:rsid w:val="00564F18"/>
    <w:rsid w:val="00565059"/>
    <w:rsid w:val="005650C5"/>
    <w:rsid w:val="005651BA"/>
    <w:rsid w:val="0056594A"/>
    <w:rsid w:val="00565D9B"/>
    <w:rsid w:val="00565F29"/>
    <w:rsid w:val="00565FE0"/>
    <w:rsid w:val="005661C9"/>
    <w:rsid w:val="00566336"/>
    <w:rsid w:val="005664BF"/>
    <w:rsid w:val="005666F0"/>
    <w:rsid w:val="00566F1A"/>
    <w:rsid w:val="005671AB"/>
    <w:rsid w:val="0056733F"/>
    <w:rsid w:val="0056734C"/>
    <w:rsid w:val="00567363"/>
    <w:rsid w:val="00567662"/>
    <w:rsid w:val="0056799E"/>
    <w:rsid w:val="00567A42"/>
    <w:rsid w:val="00567B9E"/>
    <w:rsid w:val="00567BD2"/>
    <w:rsid w:val="00567C9D"/>
    <w:rsid w:val="00567DE3"/>
    <w:rsid w:val="005706BA"/>
    <w:rsid w:val="00570721"/>
    <w:rsid w:val="00570EEC"/>
    <w:rsid w:val="00571080"/>
    <w:rsid w:val="005712D1"/>
    <w:rsid w:val="005715DB"/>
    <w:rsid w:val="0057191E"/>
    <w:rsid w:val="00571F91"/>
    <w:rsid w:val="00572081"/>
    <w:rsid w:val="00572126"/>
    <w:rsid w:val="00572281"/>
    <w:rsid w:val="0057238E"/>
    <w:rsid w:val="00572476"/>
    <w:rsid w:val="0057248D"/>
    <w:rsid w:val="0057284D"/>
    <w:rsid w:val="00572A04"/>
    <w:rsid w:val="00572C93"/>
    <w:rsid w:val="00572EBA"/>
    <w:rsid w:val="005731CE"/>
    <w:rsid w:val="00573722"/>
    <w:rsid w:val="00573733"/>
    <w:rsid w:val="0057378A"/>
    <w:rsid w:val="005737F6"/>
    <w:rsid w:val="00573AF7"/>
    <w:rsid w:val="00573E15"/>
    <w:rsid w:val="00573F15"/>
    <w:rsid w:val="00574CB2"/>
    <w:rsid w:val="00575262"/>
    <w:rsid w:val="0057597D"/>
    <w:rsid w:val="00575B19"/>
    <w:rsid w:val="005760C5"/>
    <w:rsid w:val="005771BB"/>
    <w:rsid w:val="00577314"/>
    <w:rsid w:val="0057745F"/>
    <w:rsid w:val="00577512"/>
    <w:rsid w:val="00577798"/>
    <w:rsid w:val="005778A8"/>
    <w:rsid w:val="00577999"/>
    <w:rsid w:val="00577A5C"/>
    <w:rsid w:val="00577C35"/>
    <w:rsid w:val="005801E3"/>
    <w:rsid w:val="00580805"/>
    <w:rsid w:val="00580AE8"/>
    <w:rsid w:val="00580D1E"/>
    <w:rsid w:val="00581200"/>
    <w:rsid w:val="005816B3"/>
    <w:rsid w:val="00581827"/>
    <w:rsid w:val="005819F0"/>
    <w:rsid w:val="00581BD2"/>
    <w:rsid w:val="00582683"/>
    <w:rsid w:val="00582986"/>
    <w:rsid w:val="00582CAA"/>
    <w:rsid w:val="00582D8C"/>
    <w:rsid w:val="00582FC3"/>
    <w:rsid w:val="005830F2"/>
    <w:rsid w:val="005831A1"/>
    <w:rsid w:val="00583370"/>
    <w:rsid w:val="00583495"/>
    <w:rsid w:val="00583ADD"/>
    <w:rsid w:val="00583C0A"/>
    <w:rsid w:val="00583FAF"/>
    <w:rsid w:val="00584C73"/>
    <w:rsid w:val="00585485"/>
    <w:rsid w:val="00585A8D"/>
    <w:rsid w:val="00586DDA"/>
    <w:rsid w:val="0058749F"/>
    <w:rsid w:val="005876FC"/>
    <w:rsid w:val="00587E0B"/>
    <w:rsid w:val="00587E41"/>
    <w:rsid w:val="00587F0F"/>
    <w:rsid w:val="00587FF5"/>
    <w:rsid w:val="00590586"/>
    <w:rsid w:val="00590663"/>
    <w:rsid w:val="00590756"/>
    <w:rsid w:val="00590D6B"/>
    <w:rsid w:val="00591334"/>
    <w:rsid w:val="005913FA"/>
    <w:rsid w:val="0059157B"/>
    <w:rsid w:val="0059193F"/>
    <w:rsid w:val="00591F58"/>
    <w:rsid w:val="00592030"/>
    <w:rsid w:val="00592260"/>
    <w:rsid w:val="00592394"/>
    <w:rsid w:val="00592AA9"/>
    <w:rsid w:val="00592E72"/>
    <w:rsid w:val="005934E3"/>
    <w:rsid w:val="00593857"/>
    <w:rsid w:val="00593937"/>
    <w:rsid w:val="00593ADA"/>
    <w:rsid w:val="00594108"/>
    <w:rsid w:val="00594658"/>
    <w:rsid w:val="00594D6A"/>
    <w:rsid w:val="00594D8A"/>
    <w:rsid w:val="00595031"/>
    <w:rsid w:val="00595306"/>
    <w:rsid w:val="00595471"/>
    <w:rsid w:val="00595549"/>
    <w:rsid w:val="00595555"/>
    <w:rsid w:val="0059574A"/>
    <w:rsid w:val="005959A2"/>
    <w:rsid w:val="00595ECE"/>
    <w:rsid w:val="00595EFD"/>
    <w:rsid w:val="00595FF6"/>
    <w:rsid w:val="0059650A"/>
    <w:rsid w:val="0059667F"/>
    <w:rsid w:val="00597099"/>
    <w:rsid w:val="00597423"/>
    <w:rsid w:val="00597744"/>
    <w:rsid w:val="00597978"/>
    <w:rsid w:val="00597A48"/>
    <w:rsid w:val="005A00D2"/>
    <w:rsid w:val="005A0679"/>
    <w:rsid w:val="005A100F"/>
    <w:rsid w:val="005A12A9"/>
    <w:rsid w:val="005A1572"/>
    <w:rsid w:val="005A15C1"/>
    <w:rsid w:val="005A16F9"/>
    <w:rsid w:val="005A19AD"/>
    <w:rsid w:val="005A19E7"/>
    <w:rsid w:val="005A1A89"/>
    <w:rsid w:val="005A1FD3"/>
    <w:rsid w:val="005A241B"/>
    <w:rsid w:val="005A2C28"/>
    <w:rsid w:val="005A35FA"/>
    <w:rsid w:val="005A36B0"/>
    <w:rsid w:val="005A3B10"/>
    <w:rsid w:val="005A3C3D"/>
    <w:rsid w:val="005A3D0D"/>
    <w:rsid w:val="005A3E81"/>
    <w:rsid w:val="005A40E8"/>
    <w:rsid w:val="005A41C6"/>
    <w:rsid w:val="005A4670"/>
    <w:rsid w:val="005A46F2"/>
    <w:rsid w:val="005A48F9"/>
    <w:rsid w:val="005A4CD0"/>
    <w:rsid w:val="005A510B"/>
    <w:rsid w:val="005A5B7C"/>
    <w:rsid w:val="005A5D54"/>
    <w:rsid w:val="005A5D6B"/>
    <w:rsid w:val="005A64E0"/>
    <w:rsid w:val="005A6711"/>
    <w:rsid w:val="005A69CB"/>
    <w:rsid w:val="005A6A92"/>
    <w:rsid w:val="005A6AFB"/>
    <w:rsid w:val="005A6CAB"/>
    <w:rsid w:val="005A6DC6"/>
    <w:rsid w:val="005A7161"/>
    <w:rsid w:val="005A71E0"/>
    <w:rsid w:val="005A794D"/>
    <w:rsid w:val="005B025B"/>
    <w:rsid w:val="005B096B"/>
    <w:rsid w:val="005B1137"/>
    <w:rsid w:val="005B153F"/>
    <w:rsid w:val="005B1BB7"/>
    <w:rsid w:val="005B1E49"/>
    <w:rsid w:val="005B224D"/>
    <w:rsid w:val="005B261E"/>
    <w:rsid w:val="005B2CAA"/>
    <w:rsid w:val="005B2CEC"/>
    <w:rsid w:val="005B3082"/>
    <w:rsid w:val="005B32D5"/>
    <w:rsid w:val="005B38C8"/>
    <w:rsid w:val="005B3943"/>
    <w:rsid w:val="005B3D4C"/>
    <w:rsid w:val="005B3EE7"/>
    <w:rsid w:val="005B4534"/>
    <w:rsid w:val="005B5132"/>
    <w:rsid w:val="005B530F"/>
    <w:rsid w:val="005B5403"/>
    <w:rsid w:val="005B5756"/>
    <w:rsid w:val="005B57DC"/>
    <w:rsid w:val="005B5A31"/>
    <w:rsid w:val="005B6489"/>
    <w:rsid w:val="005B65E1"/>
    <w:rsid w:val="005B688F"/>
    <w:rsid w:val="005B72E7"/>
    <w:rsid w:val="005B748A"/>
    <w:rsid w:val="005B796E"/>
    <w:rsid w:val="005B7F67"/>
    <w:rsid w:val="005C0294"/>
    <w:rsid w:val="005C078F"/>
    <w:rsid w:val="005C07E2"/>
    <w:rsid w:val="005C0849"/>
    <w:rsid w:val="005C0964"/>
    <w:rsid w:val="005C0B39"/>
    <w:rsid w:val="005C0BDB"/>
    <w:rsid w:val="005C0CB8"/>
    <w:rsid w:val="005C0CBA"/>
    <w:rsid w:val="005C190B"/>
    <w:rsid w:val="005C1EB5"/>
    <w:rsid w:val="005C2741"/>
    <w:rsid w:val="005C2D9E"/>
    <w:rsid w:val="005C2F5D"/>
    <w:rsid w:val="005C3308"/>
    <w:rsid w:val="005C4038"/>
    <w:rsid w:val="005C45CE"/>
    <w:rsid w:val="005C483B"/>
    <w:rsid w:val="005C4A64"/>
    <w:rsid w:val="005C4B3F"/>
    <w:rsid w:val="005C4B77"/>
    <w:rsid w:val="005C4FF3"/>
    <w:rsid w:val="005C5024"/>
    <w:rsid w:val="005C5094"/>
    <w:rsid w:val="005C5672"/>
    <w:rsid w:val="005C5995"/>
    <w:rsid w:val="005C5E37"/>
    <w:rsid w:val="005C70D2"/>
    <w:rsid w:val="005C7423"/>
    <w:rsid w:val="005C7919"/>
    <w:rsid w:val="005C7995"/>
    <w:rsid w:val="005C7AE2"/>
    <w:rsid w:val="005C7BC0"/>
    <w:rsid w:val="005D03BE"/>
    <w:rsid w:val="005D0C6A"/>
    <w:rsid w:val="005D0DAD"/>
    <w:rsid w:val="005D1141"/>
    <w:rsid w:val="005D12F9"/>
    <w:rsid w:val="005D1350"/>
    <w:rsid w:val="005D138E"/>
    <w:rsid w:val="005D1E0C"/>
    <w:rsid w:val="005D1E96"/>
    <w:rsid w:val="005D2048"/>
    <w:rsid w:val="005D249D"/>
    <w:rsid w:val="005D2B84"/>
    <w:rsid w:val="005D2D8A"/>
    <w:rsid w:val="005D2F50"/>
    <w:rsid w:val="005D31B7"/>
    <w:rsid w:val="005D395B"/>
    <w:rsid w:val="005D3C09"/>
    <w:rsid w:val="005D3E5A"/>
    <w:rsid w:val="005D4213"/>
    <w:rsid w:val="005D432C"/>
    <w:rsid w:val="005D4464"/>
    <w:rsid w:val="005D44BA"/>
    <w:rsid w:val="005D4B4B"/>
    <w:rsid w:val="005D5B30"/>
    <w:rsid w:val="005D5CD6"/>
    <w:rsid w:val="005D5E20"/>
    <w:rsid w:val="005D72A2"/>
    <w:rsid w:val="005D734E"/>
    <w:rsid w:val="005D7427"/>
    <w:rsid w:val="005D7465"/>
    <w:rsid w:val="005D75C0"/>
    <w:rsid w:val="005D7A41"/>
    <w:rsid w:val="005D7EA7"/>
    <w:rsid w:val="005E0F2B"/>
    <w:rsid w:val="005E1617"/>
    <w:rsid w:val="005E1A19"/>
    <w:rsid w:val="005E1DA6"/>
    <w:rsid w:val="005E203A"/>
    <w:rsid w:val="005E266A"/>
    <w:rsid w:val="005E2B95"/>
    <w:rsid w:val="005E30BE"/>
    <w:rsid w:val="005E3255"/>
    <w:rsid w:val="005E37E1"/>
    <w:rsid w:val="005E38D7"/>
    <w:rsid w:val="005E4440"/>
    <w:rsid w:val="005E4F71"/>
    <w:rsid w:val="005E5256"/>
    <w:rsid w:val="005E554D"/>
    <w:rsid w:val="005E580C"/>
    <w:rsid w:val="005E58BD"/>
    <w:rsid w:val="005E5A91"/>
    <w:rsid w:val="005E5E98"/>
    <w:rsid w:val="005E5FC5"/>
    <w:rsid w:val="005E6394"/>
    <w:rsid w:val="005E6BCE"/>
    <w:rsid w:val="005E6E22"/>
    <w:rsid w:val="005E6E56"/>
    <w:rsid w:val="005E7106"/>
    <w:rsid w:val="005E7224"/>
    <w:rsid w:val="005E73C6"/>
    <w:rsid w:val="005E7417"/>
    <w:rsid w:val="005E756C"/>
    <w:rsid w:val="005E756D"/>
    <w:rsid w:val="005E75F4"/>
    <w:rsid w:val="005E7809"/>
    <w:rsid w:val="005F0663"/>
    <w:rsid w:val="005F095C"/>
    <w:rsid w:val="005F1266"/>
    <w:rsid w:val="005F17E0"/>
    <w:rsid w:val="005F1AC8"/>
    <w:rsid w:val="005F1C51"/>
    <w:rsid w:val="005F2120"/>
    <w:rsid w:val="005F2184"/>
    <w:rsid w:val="005F238E"/>
    <w:rsid w:val="005F2998"/>
    <w:rsid w:val="005F2A62"/>
    <w:rsid w:val="005F2F4B"/>
    <w:rsid w:val="005F2F5D"/>
    <w:rsid w:val="005F3075"/>
    <w:rsid w:val="005F3128"/>
    <w:rsid w:val="005F3603"/>
    <w:rsid w:val="005F3B8C"/>
    <w:rsid w:val="005F3D38"/>
    <w:rsid w:val="005F3D46"/>
    <w:rsid w:val="005F3D68"/>
    <w:rsid w:val="005F41C4"/>
    <w:rsid w:val="005F443E"/>
    <w:rsid w:val="005F44C5"/>
    <w:rsid w:val="005F4950"/>
    <w:rsid w:val="005F4B48"/>
    <w:rsid w:val="005F5972"/>
    <w:rsid w:val="005F5C65"/>
    <w:rsid w:val="005F5EC5"/>
    <w:rsid w:val="005F5F62"/>
    <w:rsid w:val="005F614F"/>
    <w:rsid w:val="005F677F"/>
    <w:rsid w:val="005F6BC5"/>
    <w:rsid w:val="005F6DA9"/>
    <w:rsid w:val="005F6DFB"/>
    <w:rsid w:val="005F701A"/>
    <w:rsid w:val="005F7187"/>
    <w:rsid w:val="005F71A6"/>
    <w:rsid w:val="005F7C99"/>
    <w:rsid w:val="005F7D5B"/>
    <w:rsid w:val="005F7EB2"/>
    <w:rsid w:val="006006E0"/>
    <w:rsid w:val="00600718"/>
    <w:rsid w:val="006008B2"/>
    <w:rsid w:val="0060099E"/>
    <w:rsid w:val="00600C70"/>
    <w:rsid w:val="00600D0C"/>
    <w:rsid w:val="00600F59"/>
    <w:rsid w:val="0060195E"/>
    <w:rsid w:val="00601C80"/>
    <w:rsid w:val="0060235D"/>
    <w:rsid w:val="006023B4"/>
    <w:rsid w:val="00602440"/>
    <w:rsid w:val="00602878"/>
    <w:rsid w:val="00602A5B"/>
    <w:rsid w:val="00602B84"/>
    <w:rsid w:val="00602D06"/>
    <w:rsid w:val="00602F1D"/>
    <w:rsid w:val="00603611"/>
    <w:rsid w:val="00603C02"/>
    <w:rsid w:val="00604C88"/>
    <w:rsid w:val="00604E62"/>
    <w:rsid w:val="00605DA6"/>
    <w:rsid w:val="006060C9"/>
    <w:rsid w:val="006062DB"/>
    <w:rsid w:val="00606ECC"/>
    <w:rsid w:val="0060702E"/>
    <w:rsid w:val="00607452"/>
    <w:rsid w:val="00607525"/>
    <w:rsid w:val="0060788B"/>
    <w:rsid w:val="00607E9E"/>
    <w:rsid w:val="00610579"/>
    <w:rsid w:val="0061060A"/>
    <w:rsid w:val="006109A3"/>
    <w:rsid w:val="00610A96"/>
    <w:rsid w:val="00610BF2"/>
    <w:rsid w:val="00610C46"/>
    <w:rsid w:val="00611444"/>
    <w:rsid w:val="006115F2"/>
    <w:rsid w:val="006117A4"/>
    <w:rsid w:val="006118F2"/>
    <w:rsid w:val="00611B9B"/>
    <w:rsid w:val="00611C4E"/>
    <w:rsid w:val="0061218A"/>
    <w:rsid w:val="006126EC"/>
    <w:rsid w:val="00613197"/>
    <w:rsid w:val="006134F7"/>
    <w:rsid w:val="00613DCE"/>
    <w:rsid w:val="00613E8B"/>
    <w:rsid w:val="00614B33"/>
    <w:rsid w:val="00614DE1"/>
    <w:rsid w:val="0061529A"/>
    <w:rsid w:val="00615A3E"/>
    <w:rsid w:val="006164BA"/>
    <w:rsid w:val="0061670D"/>
    <w:rsid w:val="00616AE0"/>
    <w:rsid w:val="00616BF2"/>
    <w:rsid w:val="00616CD5"/>
    <w:rsid w:val="00617630"/>
    <w:rsid w:val="006176C3"/>
    <w:rsid w:val="00617DB5"/>
    <w:rsid w:val="00617E6C"/>
    <w:rsid w:val="00620233"/>
    <w:rsid w:val="00620A4F"/>
    <w:rsid w:val="00620C2C"/>
    <w:rsid w:val="00620DDC"/>
    <w:rsid w:val="00620EBB"/>
    <w:rsid w:val="006211A7"/>
    <w:rsid w:val="006211E3"/>
    <w:rsid w:val="0062129D"/>
    <w:rsid w:val="00621317"/>
    <w:rsid w:val="0062183F"/>
    <w:rsid w:val="00621854"/>
    <w:rsid w:val="00621909"/>
    <w:rsid w:val="006221B7"/>
    <w:rsid w:val="0062240F"/>
    <w:rsid w:val="00622BDB"/>
    <w:rsid w:val="00622DC0"/>
    <w:rsid w:val="00623528"/>
    <w:rsid w:val="00623538"/>
    <w:rsid w:val="00623B1C"/>
    <w:rsid w:val="00623BE0"/>
    <w:rsid w:val="00624139"/>
    <w:rsid w:val="00624270"/>
    <w:rsid w:val="00624323"/>
    <w:rsid w:val="0062473E"/>
    <w:rsid w:val="00624D3C"/>
    <w:rsid w:val="00624EFB"/>
    <w:rsid w:val="00624F14"/>
    <w:rsid w:val="00626342"/>
    <w:rsid w:val="006265A8"/>
    <w:rsid w:val="006269E9"/>
    <w:rsid w:val="00626C66"/>
    <w:rsid w:val="00626C6F"/>
    <w:rsid w:val="00626EC9"/>
    <w:rsid w:val="00627A79"/>
    <w:rsid w:val="00627AD8"/>
    <w:rsid w:val="00627B69"/>
    <w:rsid w:val="00630240"/>
    <w:rsid w:val="006302F8"/>
    <w:rsid w:val="00630361"/>
    <w:rsid w:val="0063055D"/>
    <w:rsid w:val="00630A04"/>
    <w:rsid w:val="00630BD2"/>
    <w:rsid w:val="00630F05"/>
    <w:rsid w:val="00630F32"/>
    <w:rsid w:val="00631375"/>
    <w:rsid w:val="00631A44"/>
    <w:rsid w:val="006320FF"/>
    <w:rsid w:val="00632139"/>
    <w:rsid w:val="006326FE"/>
    <w:rsid w:val="0063275A"/>
    <w:rsid w:val="0063280D"/>
    <w:rsid w:val="006328E9"/>
    <w:rsid w:val="00632C22"/>
    <w:rsid w:val="00632E0C"/>
    <w:rsid w:val="006332AB"/>
    <w:rsid w:val="00633D77"/>
    <w:rsid w:val="00633FD4"/>
    <w:rsid w:val="00634D63"/>
    <w:rsid w:val="00634EBA"/>
    <w:rsid w:val="0063514B"/>
    <w:rsid w:val="00635392"/>
    <w:rsid w:val="00635905"/>
    <w:rsid w:val="0063591E"/>
    <w:rsid w:val="00635925"/>
    <w:rsid w:val="00635952"/>
    <w:rsid w:val="00635B18"/>
    <w:rsid w:val="00635DC9"/>
    <w:rsid w:val="00635E6B"/>
    <w:rsid w:val="00636382"/>
    <w:rsid w:val="0063641F"/>
    <w:rsid w:val="00636B48"/>
    <w:rsid w:val="00636BE1"/>
    <w:rsid w:val="00636D02"/>
    <w:rsid w:val="00636DDB"/>
    <w:rsid w:val="00636EFA"/>
    <w:rsid w:val="00637CB8"/>
    <w:rsid w:val="00637E4A"/>
    <w:rsid w:val="006404F5"/>
    <w:rsid w:val="006407AA"/>
    <w:rsid w:val="00640842"/>
    <w:rsid w:val="006409C2"/>
    <w:rsid w:val="00640C21"/>
    <w:rsid w:val="006412EF"/>
    <w:rsid w:val="0064169C"/>
    <w:rsid w:val="00641713"/>
    <w:rsid w:val="00641D0B"/>
    <w:rsid w:val="00642271"/>
    <w:rsid w:val="006425B7"/>
    <w:rsid w:val="00642722"/>
    <w:rsid w:val="006428C1"/>
    <w:rsid w:val="0064308F"/>
    <w:rsid w:val="006430BC"/>
    <w:rsid w:val="0064320A"/>
    <w:rsid w:val="00643507"/>
    <w:rsid w:val="00643520"/>
    <w:rsid w:val="006438ED"/>
    <w:rsid w:val="00643F19"/>
    <w:rsid w:val="006446B9"/>
    <w:rsid w:val="00644DDD"/>
    <w:rsid w:val="00644E48"/>
    <w:rsid w:val="0064502A"/>
    <w:rsid w:val="006453B8"/>
    <w:rsid w:val="0064566B"/>
    <w:rsid w:val="006457F6"/>
    <w:rsid w:val="00645A29"/>
    <w:rsid w:val="0064603B"/>
    <w:rsid w:val="00646085"/>
    <w:rsid w:val="00646182"/>
    <w:rsid w:val="00646585"/>
    <w:rsid w:val="00646890"/>
    <w:rsid w:val="00646C77"/>
    <w:rsid w:val="00647117"/>
    <w:rsid w:val="00647361"/>
    <w:rsid w:val="006477CF"/>
    <w:rsid w:val="00647DDB"/>
    <w:rsid w:val="0065018C"/>
    <w:rsid w:val="006501BE"/>
    <w:rsid w:val="00650B8E"/>
    <w:rsid w:val="00650EB1"/>
    <w:rsid w:val="00650FCC"/>
    <w:rsid w:val="0065104A"/>
    <w:rsid w:val="00651718"/>
    <w:rsid w:val="00651744"/>
    <w:rsid w:val="00651AC7"/>
    <w:rsid w:val="006521EC"/>
    <w:rsid w:val="00652422"/>
    <w:rsid w:val="006526BC"/>
    <w:rsid w:val="00652915"/>
    <w:rsid w:val="00652A1C"/>
    <w:rsid w:val="00652C24"/>
    <w:rsid w:val="0065317C"/>
    <w:rsid w:val="00653466"/>
    <w:rsid w:val="0065352C"/>
    <w:rsid w:val="00653778"/>
    <w:rsid w:val="00653CF9"/>
    <w:rsid w:val="00653DF7"/>
    <w:rsid w:val="00653F6C"/>
    <w:rsid w:val="0065489D"/>
    <w:rsid w:val="0065494D"/>
    <w:rsid w:val="00654D16"/>
    <w:rsid w:val="00655383"/>
    <w:rsid w:val="006559C6"/>
    <w:rsid w:val="006559E6"/>
    <w:rsid w:val="00655DAF"/>
    <w:rsid w:val="00655F11"/>
    <w:rsid w:val="00656282"/>
    <w:rsid w:val="00656356"/>
    <w:rsid w:val="006567C2"/>
    <w:rsid w:val="00657290"/>
    <w:rsid w:val="00657367"/>
    <w:rsid w:val="00657409"/>
    <w:rsid w:val="006577EE"/>
    <w:rsid w:val="00657B7A"/>
    <w:rsid w:val="00660045"/>
    <w:rsid w:val="00660A42"/>
    <w:rsid w:val="00660CC6"/>
    <w:rsid w:val="00661544"/>
    <w:rsid w:val="0066181A"/>
    <w:rsid w:val="00661C33"/>
    <w:rsid w:val="00662166"/>
    <w:rsid w:val="00662D29"/>
    <w:rsid w:val="00662EB3"/>
    <w:rsid w:val="006634A5"/>
    <w:rsid w:val="0066366F"/>
    <w:rsid w:val="0066377C"/>
    <w:rsid w:val="006638A0"/>
    <w:rsid w:val="00663A8D"/>
    <w:rsid w:val="0066406A"/>
    <w:rsid w:val="006641CA"/>
    <w:rsid w:val="00664B46"/>
    <w:rsid w:val="00664B4E"/>
    <w:rsid w:val="00664C85"/>
    <w:rsid w:val="00664FAA"/>
    <w:rsid w:val="00665320"/>
    <w:rsid w:val="0066540F"/>
    <w:rsid w:val="0066552A"/>
    <w:rsid w:val="006655F8"/>
    <w:rsid w:val="00665D92"/>
    <w:rsid w:val="006660F5"/>
    <w:rsid w:val="0066633D"/>
    <w:rsid w:val="00666645"/>
    <w:rsid w:val="006667B7"/>
    <w:rsid w:val="00666A44"/>
    <w:rsid w:val="00666AFA"/>
    <w:rsid w:val="00666BE5"/>
    <w:rsid w:val="00666BE7"/>
    <w:rsid w:val="0066780D"/>
    <w:rsid w:val="00667C9F"/>
    <w:rsid w:val="00670029"/>
    <w:rsid w:val="0067016C"/>
    <w:rsid w:val="006702AE"/>
    <w:rsid w:val="006702D6"/>
    <w:rsid w:val="0067035C"/>
    <w:rsid w:val="006706FF"/>
    <w:rsid w:val="0067111E"/>
    <w:rsid w:val="006713A6"/>
    <w:rsid w:val="00671663"/>
    <w:rsid w:val="0067297C"/>
    <w:rsid w:val="00672C01"/>
    <w:rsid w:val="00672CD7"/>
    <w:rsid w:val="00673417"/>
    <w:rsid w:val="00673B69"/>
    <w:rsid w:val="00674689"/>
    <w:rsid w:val="00674884"/>
    <w:rsid w:val="00674AC5"/>
    <w:rsid w:val="00674EF8"/>
    <w:rsid w:val="00674F55"/>
    <w:rsid w:val="00674F71"/>
    <w:rsid w:val="00675569"/>
    <w:rsid w:val="0067570A"/>
    <w:rsid w:val="0067570E"/>
    <w:rsid w:val="00675A6F"/>
    <w:rsid w:val="00676306"/>
    <w:rsid w:val="00676556"/>
    <w:rsid w:val="00676982"/>
    <w:rsid w:val="00676EEA"/>
    <w:rsid w:val="006774B2"/>
    <w:rsid w:val="0067754A"/>
    <w:rsid w:val="0067756F"/>
    <w:rsid w:val="00677632"/>
    <w:rsid w:val="00677C95"/>
    <w:rsid w:val="00677F1B"/>
    <w:rsid w:val="00677F26"/>
    <w:rsid w:val="00677F9D"/>
    <w:rsid w:val="00680366"/>
    <w:rsid w:val="006805C9"/>
    <w:rsid w:val="00680820"/>
    <w:rsid w:val="00680B87"/>
    <w:rsid w:val="00680C0B"/>
    <w:rsid w:val="00680D9C"/>
    <w:rsid w:val="006813F1"/>
    <w:rsid w:val="0068145A"/>
    <w:rsid w:val="006814C6"/>
    <w:rsid w:val="006816A2"/>
    <w:rsid w:val="006818A7"/>
    <w:rsid w:val="0068200A"/>
    <w:rsid w:val="00682385"/>
    <w:rsid w:val="006824F0"/>
    <w:rsid w:val="0068266A"/>
    <w:rsid w:val="00682939"/>
    <w:rsid w:val="00682C71"/>
    <w:rsid w:val="006832E8"/>
    <w:rsid w:val="006838F1"/>
    <w:rsid w:val="00683A66"/>
    <w:rsid w:val="00683A69"/>
    <w:rsid w:val="00683B83"/>
    <w:rsid w:val="00683DC2"/>
    <w:rsid w:val="0068460E"/>
    <w:rsid w:val="00684729"/>
    <w:rsid w:val="00684757"/>
    <w:rsid w:val="006853A0"/>
    <w:rsid w:val="006853DA"/>
    <w:rsid w:val="006854FF"/>
    <w:rsid w:val="006858EB"/>
    <w:rsid w:val="00685E70"/>
    <w:rsid w:val="00686141"/>
    <w:rsid w:val="00686262"/>
    <w:rsid w:val="006863D3"/>
    <w:rsid w:val="0068645D"/>
    <w:rsid w:val="0068660D"/>
    <w:rsid w:val="00686D29"/>
    <w:rsid w:val="00686E0D"/>
    <w:rsid w:val="006875B8"/>
    <w:rsid w:val="00687769"/>
    <w:rsid w:val="00687B5D"/>
    <w:rsid w:val="00690ED4"/>
    <w:rsid w:val="006911AD"/>
    <w:rsid w:val="006913E9"/>
    <w:rsid w:val="00691C2B"/>
    <w:rsid w:val="0069206A"/>
    <w:rsid w:val="00692199"/>
    <w:rsid w:val="00692265"/>
    <w:rsid w:val="006925D2"/>
    <w:rsid w:val="006925DC"/>
    <w:rsid w:val="00692C1A"/>
    <w:rsid w:val="00692D2D"/>
    <w:rsid w:val="00692DC5"/>
    <w:rsid w:val="00693275"/>
    <w:rsid w:val="006933C6"/>
    <w:rsid w:val="0069361F"/>
    <w:rsid w:val="00693759"/>
    <w:rsid w:val="0069385F"/>
    <w:rsid w:val="0069397A"/>
    <w:rsid w:val="00693A66"/>
    <w:rsid w:val="00693D01"/>
    <w:rsid w:val="00694208"/>
    <w:rsid w:val="006943EE"/>
    <w:rsid w:val="00694988"/>
    <w:rsid w:val="006949BE"/>
    <w:rsid w:val="00695153"/>
    <w:rsid w:val="006959AD"/>
    <w:rsid w:val="00695BC9"/>
    <w:rsid w:val="00695FBF"/>
    <w:rsid w:val="0069631E"/>
    <w:rsid w:val="006965EA"/>
    <w:rsid w:val="006967DF"/>
    <w:rsid w:val="00696ED2"/>
    <w:rsid w:val="00696F02"/>
    <w:rsid w:val="00697190"/>
    <w:rsid w:val="00697245"/>
    <w:rsid w:val="00697382"/>
    <w:rsid w:val="00697585"/>
    <w:rsid w:val="00697A84"/>
    <w:rsid w:val="006A0001"/>
    <w:rsid w:val="006A0B1F"/>
    <w:rsid w:val="006A0BEA"/>
    <w:rsid w:val="006A121C"/>
    <w:rsid w:val="006A1270"/>
    <w:rsid w:val="006A1415"/>
    <w:rsid w:val="006A1975"/>
    <w:rsid w:val="006A1C1B"/>
    <w:rsid w:val="006A2007"/>
    <w:rsid w:val="006A23A2"/>
    <w:rsid w:val="006A25F9"/>
    <w:rsid w:val="006A27E8"/>
    <w:rsid w:val="006A2C6A"/>
    <w:rsid w:val="006A2D03"/>
    <w:rsid w:val="006A359C"/>
    <w:rsid w:val="006A38FA"/>
    <w:rsid w:val="006A3E11"/>
    <w:rsid w:val="006A3F84"/>
    <w:rsid w:val="006A420D"/>
    <w:rsid w:val="006A4241"/>
    <w:rsid w:val="006A43F5"/>
    <w:rsid w:val="006A4AF5"/>
    <w:rsid w:val="006A4CB8"/>
    <w:rsid w:val="006A5003"/>
    <w:rsid w:val="006A54C0"/>
    <w:rsid w:val="006A59CA"/>
    <w:rsid w:val="006A5D5E"/>
    <w:rsid w:val="006A5EBA"/>
    <w:rsid w:val="006A601A"/>
    <w:rsid w:val="006A627D"/>
    <w:rsid w:val="006A650F"/>
    <w:rsid w:val="006A6783"/>
    <w:rsid w:val="006A6B28"/>
    <w:rsid w:val="006A6B2B"/>
    <w:rsid w:val="006A6BF8"/>
    <w:rsid w:val="006A6E16"/>
    <w:rsid w:val="006A7527"/>
    <w:rsid w:val="006A799B"/>
    <w:rsid w:val="006A7AAC"/>
    <w:rsid w:val="006A7B50"/>
    <w:rsid w:val="006A7B71"/>
    <w:rsid w:val="006A7BB3"/>
    <w:rsid w:val="006A7D8B"/>
    <w:rsid w:val="006B03ED"/>
    <w:rsid w:val="006B0523"/>
    <w:rsid w:val="006B09C3"/>
    <w:rsid w:val="006B0B78"/>
    <w:rsid w:val="006B1174"/>
    <w:rsid w:val="006B1737"/>
    <w:rsid w:val="006B1AEF"/>
    <w:rsid w:val="006B1C0D"/>
    <w:rsid w:val="006B26C5"/>
    <w:rsid w:val="006B2A33"/>
    <w:rsid w:val="006B3222"/>
    <w:rsid w:val="006B32DB"/>
    <w:rsid w:val="006B3587"/>
    <w:rsid w:val="006B377C"/>
    <w:rsid w:val="006B37CC"/>
    <w:rsid w:val="006B3898"/>
    <w:rsid w:val="006B393A"/>
    <w:rsid w:val="006B3A0C"/>
    <w:rsid w:val="006B3C7D"/>
    <w:rsid w:val="006B3F93"/>
    <w:rsid w:val="006B4320"/>
    <w:rsid w:val="006B46A7"/>
    <w:rsid w:val="006B47B0"/>
    <w:rsid w:val="006B4A63"/>
    <w:rsid w:val="006B4B23"/>
    <w:rsid w:val="006B5026"/>
    <w:rsid w:val="006B5534"/>
    <w:rsid w:val="006B594F"/>
    <w:rsid w:val="006B5B76"/>
    <w:rsid w:val="006B5D18"/>
    <w:rsid w:val="006B5D98"/>
    <w:rsid w:val="006B61C0"/>
    <w:rsid w:val="006B61DF"/>
    <w:rsid w:val="006B61E9"/>
    <w:rsid w:val="006B675F"/>
    <w:rsid w:val="006B6E37"/>
    <w:rsid w:val="006B70C4"/>
    <w:rsid w:val="006B75F4"/>
    <w:rsid w:val="006B7B3D"/>
    <w:rsid w:val="006B7BC1"/>
    <w:rsid w:val="006C023B"/>
    <w:rsid w:val="006C077E"/>
    <w:rsid w:val="006C08F0"/>
    <w:rsid w:val="006C0C2D"/>
    <w:rsid w:val="006C0C62"/>
    <w:rsid w:val="006C1165"/>
    <w:rsid w:val="006C143E"/>
    <w:rsid w:val="006C194B"/>
    <w:rsid w:val="006C1A60"/>
    <w:rsid w:val="006C1BF0"/>
    <w:rsid w:val="006C1C12"/>
    <w:rsid w:val="006C1D07"/>
    <w:rsid w:val="006C2C5B"/>
    <w:rsid w:val="006C2CC3"/>
    <w:rsid w:val="006C34BD"/>
    <w:rsid w:val="006C3510"/>
    <w:rsid w:val="006C3670"/>
    <w:rsid w:val="006C3A90"/>
    <w:rsid w:val="006C3B57"/>
    <w:rsid w:val="006C3B76"/>
    <w:rsid w:val="006C3E76"/>
    <w:rsid w:val="006C3F67"/>
    <w:rsid w:val="006C423C"/>
    <w:rsid w:val="006C4599"/>
    <w:rsid w:val="006C46AF"/>
    <w:rsid w:val="006C488A"/>
    <w:rsid w:val="006C48A8"/>
    <w:rsid w:val="006C4F0F"/>
    <w:rsid w:val="006C50E4"/>
    <w:rsid w:val="006C5326"/>
    <w:rsid w:val="006C534C"/>
    <w:rsid w:val="006C53CE"/>
    <w:rsid w:val="006C58BF"/>
    <w:rsid w:val="006C620C"/>
    <w:rsid w:val="006C62E8"/>
    <w:rsid w:val="006C6572"/>
    <w:rsid w:val="006C68B5"/>
    <w:rsid w:val="006C6C1F"/>
    <w:rsid w:val="006C77B0"/>
    <w:rsid w:val="006C77D1"/>
    <w:rsid w:val="006C77D3"/>
    <w:rsid w:val="006C7D2C"/>
    <w:rsid w:val="006C7D36"/>
    <w:rsid w:val="006C7ED4"/>
    <w:rsid w:val="006D045A"/>
    <w:rsid w:val="006D05D0"/>
    <w:rsid w:val="006D1613"/>
    <w:rsid w:val="006D17FC"/>
    <w:rsid w:val="006D1922"/>
    <w:rsid w:val="006D19EC"/>
    <w:rsid w:val="006D1A8D"/>
    <w:rsid w:val="006D1BC3"/>
    <w:rsid w:val="006D1DE0"/>
    <w:rsid w:val="006D1E0E"/>
    <w:rsid w:val="006D2079"/>
    <w:rsid w:val="006D2441"/>
    <w:rsid w:val="006D2A28"/>
    <w:rsid w:val="006D2BD4"/>
    <w:rsid w:val="006D2BDD"/>
    <w:rsid w:val="006D2DD7"/>
    <w:rsid w:val="006D338F"/>
    <w:rsid w:val="006D3723"/>
    <w:rsid w:val="006D37F2"/>
    <w:rsid w:val="006D3D17"/>
    <w:rsid w:val="006D3DFC"/>
    <w:rsid w:val="006D42FF"/>
    <w:rsid w:val="006D4712"/>
    <w:rsid w:val="006D4959"/>
    <w:rsid w:val="006D55F9"/>
    <w:rsid w:val="006D5949"/>
    <w:rsid w:val="006D60D0"/>
    <w:rsid w:val="006D6146"/>
    <w:rsid w:val="006D6796"/>
    <w:rsid w:val="006D796F"/>
    <w:rsid w:val="006E02F4"/>
    <w:rsid w:val="006E0474"/>
    <w:rsid w:val="006E0528"/>
    <w:rsid w:val="006E075D"/>
    <w:rsid w:val="006E093F"/>
    <w:rsid w:val="006E09F9"/>
    <w:rsid w:val="006E0A39"/>
    <w:rsid w:val="006E0A82"/>
    <w:rsid w:val="006E0B50"/>
    <w:rsid w:val="006E0B7D"/>
    <w:rsid w:val="006E0D91"/>
    <w:rsid w:val="006E0E2B"/>
    <w:rsid w:val="006E1366"/>
    <w:rsid w:val="006E2289"/>
    <w:rsid w:val="006E2333"/>
    <w:rsid w:val="006E2473"/>
    <w:rsid w:val="006E28C6"/>
    <w:rsid w:val="006E2C22"/>
    <w:rsid w:val="006E2C6A"/>
    <w:rsid w:val="006E2D21"/>
    <w:rsid w:val="006E37B7"/>
    <w:rsid w:val="006E3974"/>
    <w:rsid w:val="006E3AA3"/>
    <w:rsid w:val="006E3D7E"/>
    <w:rsid w:val="006E3ED3"/>
    <w:rsid w:val="006E3EEF"/>
    <w:rsid w:val="006E42D5"/>
    <w:rsid w:val="006E4A02"/>
    <w:rsid w:val="006E4A27"/>
    <w:rsid w:val="006E54AA"/>
    <w:rsid w:val="006E58E6"/>
    <w:rsid w:val="006E5A89"/>
    <w:rsid w:val="006E5CC1"/>
    <w:rsid w:val="006E5F45"/>
    <w:rsid w:val="006E637C"/>
    <w:rsid w:val="006E67CD"/>
    <w:rsid w:val="006E67F0"/>
    <w:rsid w:val="006E6AD4"/>
    <w:rsid w:val="006E6E27"/>
    <w:rsid w:val="006E7194"/>
    <w:rsid w:val="006E72D0"/>
    <w:rsid w:val="006E73AA"/>
    <w:rsid w:val="006E78D5"/>
    <w:rsid w:val="006E7D37"/>
    <w:rsid w:val="006E7E64"/>
    <w:rsid w:val="006F0573"/>
    <w:rsid w:val="006F0670"/>
    <w:rsid w:val="006F0690"/>
    <w:rsid w:val="006F1096"/>
    <w:rsid w:val="006F10BF"/>
    <w:rsid w:val="006F15EC"/>
    <w:rsid w:val="006F188F"/>
    <w:rsid w:val="006F1A3D"/>
    <w:rsid w:val="006F1B34"/>
    <w:rsid w:val="006F1E06"/>
    <w:rsid w:val="006F235E"/>
    <w:rsid w:val="006F26FF"/>
    <w:rsid w:val="006F2910"/>
    <w:rsid w:val="006F2FA0"/>
    <w:rsid w:val="006F3174"/>
    <w:rsid w:val="006F333A"/>
    <w:rsid w:val="006F3829"/>
    <w:rsid w:val="006F3A93"/>
    <w:rsid w:val="006F3B93"/>
    <w:rsid w:val="006F3C30"/>
    <w:rsid w:val="006F3F1B"/>
    <w:rsid w:val="006F4618"/>
    <w:rsid w:val="006F494D"/>
    <w:rsid w:val="006F4B9D"/>
    <w:rsid w:val="006F4D00"/>
    <w:rsid w:val="006F4DDC"/>
    <w:rsid w:val="006F5296"/>
    <w:rsid w:val="006F5A1D"/>
    <w:rsid w:val="006F5C08"/>
    <w:rsid w:val="006F5E87"/>
    <w:rsid w:val="006F5F65"/>
    <w:rsid w:val="006F6829"/>
    <w:rsid w:val="007008ED"/>
    <w:rsid w:val="00700942"/>
    <w:rsid w:val="0070095F"/>
    <w:rsid w:val="00700DAC"/>
    <w:rsid w:val="0070159B"/>
    <w:rsid w:val="00701C6A"/>
    <w:rsid w:val="00702629"/>
    <w:rsid w:val="007027E6"/>
    <w:rsid w:val="00702885"/>
    <w:rsid w:val="00702B43"/>
    <w:rsid w:val="007030F6"/>
    <w:rsid w:val="0070311B"/>
    <w:rsid w:val="0070332F"/>
    <w:rsid w:val="0070424D"/>
    <w:rsid w:val="007045EF"/>
    <w:rsid w:val="00704623"/>
    <w:rsid w:val="00704E21"/>
    <w:rsid w:val="0070544D"/>
    <w:rsid w:val="00705523"/>
    <w:rsid w:val="0070590B"/>
    <w:rsid w:val="00705B3C"/>
    <w:rsid w:val="007063E4"/>
    <w:rsid w:val="0070645C"/>
    <w:rsid w:val="0070657D"/>
    <w:rsid w:val="007066DC"/>
    <w:rsid w:val="00706A37"/>
    <w:rsid w:val="00706BDE"/>
    <w:rsid w:val="00707305"/>
    <w:rsid w:val="007100F2"/>
    <w:rsid w:val="007105A9"/>
    <w:rsid w:val="0071093A"/>
    <w:rsid w:val="00710D70"/>
    <w:rsid w:val="00711100"/>
    <w:rsid w:val="0071184F"/>
    <w:rsid w:val="007121F8"/>
    <w:rsid w:val="00712305"/>
    <w:rsid w:val="0071267D"/>
    <w:rsid w:val="007126D2"/>
    <w:rsid w:val="0071287E"/>
    <w:rsid w:val="00712AF3"/>
    <w:rsid w:val="00712E1E"/>
    <w:rsid w:val="00713300"/>
    <w:rsid w:val="00713360"/>
    <w:rsid w:val="00713628"/>
    <w:rsid w:val="0071380E"/>
    <w:rsid w:val="00713C20"/>
    <w:rsid w:val="007143F0"/>
    <w:rsid w:val="00714934"/>
    <w:rsid w:val="00714F90"/>
    <w:rsid w:val="00714FA9"/>
    <w:rsid w:val="007151F0"/>
    <w:rsid w:val="007153C6"/>
    <w:rsid w:val="0071560D"/>
    <w:rsid w:val="007156C4"/>
    <w:rsid w:val="007156E8"/>
    <w:rsid w:val="00715701"/>
    <w:rsid w:val="0071574F"/>
    <w:rsid w:val="0071580E"/>
    <w:rsid w:val="0071585D"/>
    <w:rsid w:val="007158F9"/>
    <w:rsid w:val="00715D1C"/>
    <w:rsid w:val="00715DE7"/>
    <w:rsid w:val="00715EE0"/>
    <w:rsid w:val="00716439"/>
    <w:rsid w:val="00716AE1"/>
    <w:rsid w:val="00716C4C"/>
    <w:rsid w:val="00716DBB"/>
    <w:rsid w:val="00716F5B"/>
    <w:rsid w:val="0071716B"/>
    <w:rsid w:val="0071726E"/>
    <w:rsid w:val="0071756A"/>
    <w:rsid w:val="00717661"/>
    <w:rsid w:val="00717BA6"/>
    <w:rsid w:val="007202B0"/>
    <w:rsid w:val="00720523"/>
    <w:rsid w:val="0072086E"/>
    <w:rsid w:val="007209B2"/>
    <w:rsid w:val="00721013"/>
    <w:rsid w:val="007210D3"/>
    <w:rsid w:val="0072111E"/>
    <w:rsid w:val="00721580"/>
    <w:rsid w:val="007219A2"/>
    <w:rsid w:val="007219E0"/>
    <w:rsid w:val="00721AF7"/>
    <w:rsid w:val="0072219D"/>
    <w:rsid w:val="00722E09"/>
    <w:rsid w:val="00722E53"/>
    <w:rsid w:val="00722EAE"/>
    <w:rsid w:val="00723C88"/>
    <w:rsid w:val="00724050"/>
    <w:rsid w:val="007241F0"/>
    <w:rsid w:val="0072444E"/>
    <w:rsid w:val="00724667"/>
    <w:rsid w:val="00724A0D"/>
    <w:rsid w:val="00724E87"/>
    <w:rsid w:val="00724F85"/>
    <w:rsid w:val="00725018"/>
    <w:rsid w:val="00725AAD"/>
    <w:rsid w:val="0072613F"/>
    <w:rsid w:val="0072615C"/>
    <w:rsid w:val="0072634F"/>
    <w:rsid w:val="007263B6"/>
    <w:rsid w:val="007265F8"/>
    <w:rsid w:val="00726650"/>
    <w:rsid w:val="00726B82"/>
    <w:rsid w:val="00726D09"/>
    <w:rsid w:val="00726D53"/>
    <w:rsid w:val="0072759B"/>
    <w:rsid w:val="00727764"/>
    <w:rsid w:val="007278F8"/>
    <w:rsid w:val="00727968"/>
    <w:rsid w:val="00727983"/>
    <w:rsid w:val="00727BEC"/>
    <w:rsid w:val="00727C0B"/>
    <w:rsid w:val="00727F95"/>
    <w:rsid w:val="00730C83"/>
    <w:rsid w:val="00730EDC"/>
    <w:rsid w:val="00730F35"/>
    <w:rsid w:val="00731740"/>
    <w:rsid w:val="00731766"/>
    <w:rsid w:val="00732C61"/>
    <w:rsid w:val="007332D3"/>
    <w:rsid w:val="0073360F"/>
    <w:rsid w:val="00733620"/>
    <w:rsid w:val="00733BB0"/>
    <w:rsid w:val="00733C17"/>
    <w:rsid w:val="007340D8"/>
    <w:rsid w:val="00734146"/>
    <w:rsid w:val="00734551"/>
    <w:rsid w:val="007347E9"/>
    <w:rsid w:val="00734858"/>
    <w:rsid w:val="00734961"/>
    <w:rsid w:val="00734C7D"/>
    <w:rsid w:val="007355BB"/>
    <w:rsid w:val="007359BF"/>
    <w:rsid w:val="00735B6F"/>
    <w:rsid w:val="00735B7B"/>
    <w:rsid w:val="007361D5"/>
    <w:rsid w:val="007361DB"/>
    <w:rsid w:val="00736428"/>
    <w:rsid w:val="007364BF"/>
    <w:rsid w:val="007368DF"/>
    <w:rsid w:val="0073699B"/>
    <w:rsid w:val="00736CCE"/>
    <w:rsid w:val="00736D27"/>
    <w:rsid w:val="0073704C"/>
    <w:rsid w:val="00737091"/>
    <w:rsid w:val="00737385"/>
    <w:rsid w:val="007376A9"/>
    <w:rsid w:val="0073779B"/>
    <w:rsid w:val="00737982"/>
    <w:rsid w:val="0074018D"/>
    <w:rsid w:val="007409D4"/>
    <w:rsid w:val="00740E0A"/>
    <w:rsid w:val="00740F72"/>
    <w:rsid w:val="007419DD"/>
    <w:rsid w:val="00741FFB"/>
    <w:rsid w:val="00742FD5"/>
    <w:rsid w:val="00743086"/>
    <w:rsid w:val="007430B4"/>
    <w:rsid w:val="0074330C"/>
    <w:rsid w:val="00743490"/>
    <w:rsid w:val="00743857"/>
    <w:rsid w:val="00743958"/>
    <w:rsid w:val="00743A03"/>
    <w:rsid w:val="00744017"/>
    <w:rsid w:val="007443F9"/>
    <w:rsid w:val="007453F0"/>
    <w:rsid w:val="00745796"/>
    <w:rsid w:val="00745813"/>
    <w:rsid w:val="00745A19"/>
    <w:rsid w:val="00745A2E"/>
    <w:rsid w:val="00745B14"/>
    <w:rsid w:val="00745B18"/>
    <w:rsid w:val="007460E6"/>
    <w:rsid w:val="00746295"/>
    <w:rsid w:val="00746593"/>
    <w:rsid w:val="00746B39"/>
    <w:rsid w:val="00746E09"/>
    <w:rsid w:val="00746F10"/>
    <w:rsid w:val="00747549"/>
    <w:rsid w:val="007508A5"/>
    <w:rsid w:val="00750B4C"/>
    <w:rsid w:val="00750B80"/>
    <w:rsid w:val="00750F54"/>
    <w:rsid w:val="00751048"/>
    <w:rsid w:val="0075186C"/>
    <w:rsid w:val="007519CD"/>
    <w:rsid w:val="00751A57"/>
    <w:rsid w:val="00751A9E"/>
    <w:rsid w:val="00751D14"/>
    <w:rsid w:val="00751F89"/>
    <w:rsid w:val="00752521"/>
    <w:rsid w:val="007529F2"/>
    <w:rsid w:val="00752BCB"/>
    <w:rsid w:val="00752FAD"/>
    <w:rsid w:val="007537FB"/>
    <w:rsid w:val="00753920"/>
    <w:rsid w:val="00754815"/>
    <w:rsid w:val="00755015"/>
    <w:rsid w:val="00755367"/>
    <w:rsid w:val="00755499"/>
    <w:rsid w:val="007559A3"/>
    <w:rsid w:val="00755B0F"/>
    <w:rsid w:val="00755C2D"/>
    <w:rsid w:val="00755C61"/>
    <w:rsid w:val="0075615D"/>
    <w:rsid w:val="00756528"/>
    <w:rsid w:val="00756EA8"/>
    <w:rsid w:val="00757340"/>
    <w:rsid w:val="007579D0"/>
    <w:rsid w:val="00757A56"/>
    <w:rsid w:val="00757C79"/>
    <w:rsid w:val="00757CD7"/>
    <w:rsid w:val="0076083A"/>
    <w:rsid w:val="00760B39"/>
    <w:rsid w:val="00760BD8"/>
    <w:rsid w:val="00760BE3"/>
    <w:rsid w:val="00760DD9"/>
    <w:rsid w:val="00760F03"/>
    <w:rsid w:val="0076106C"/>
    <w:rsid w:val="007611AB"/>
    <w:rsid w:val="00761614"/>
    <w:rsid w:val="007618EE"/>
    <w:rsid w:val="00761FB0"/>
    <w:rsid w:val="0076237D"/>
    <w:rsid w:val="00762395"/>
    <w:rsid w:val="00762C0B"/>
    <w:rsid w:val="00762F6E"/>
    <w:rsid w:val="00763098"/>
    <w:rsid w:val="00763114"/>
    <w:rsid w:val="00763229"/>
    <w:rsid w:val="00763B9F"/>
    <w:rsid w:val="00763C75"/>
    <w:rsid w:val="00764243"/>
    <w:rsid w:val="007642AE"/>
    <w:rsid w:val="00764382"/>
    <w:rsid w:val="00764BC7"/>
    <w:rsid w:val="00764FC9"/>
    <w:rsid w:val="0076552A"/>
    <w:rsid w:val="00765A60"/>
    <w:rsid w:val="00765CE0"/>
    <w:rsid w:val="00765DC3"/>
    <w:rsid w:val="00765E0A"/>
    <w:rsid w:val="00765EA0"/>
    <w:rsid w:val="007663EE"/>
    <w:rsid w:val="0076698E"/>
    <w:rsid w:val="00766C38"/>
    <w:rsid w:val="00766D03"/>
    <w:rsid w:val="00766E34"/>
    <w:rsid w:val="0076708A"/>
    <w:rsid w:val="00767158"/>
    <w:rsid w:val="007678AB"/>
    <w:rsid w:val="00767A84"/>
    <w:rsid w:val="00767B36"/>
    <w:rsid w:val="00767E96"/>
    <w:rsid w:val="00767E9C"/>
    <w:rsid w:val="00767FAC"/>
    <w:rsid w:val="00770131"/>
    <w:rsid w:val="00770608"/>
    <w:rsid w:val="00770D69"/>
    <w:rsid w:val="00770F16"/>
    <w:rsid w:val="00770F9D"/>
    <w:rsid w:val="007711CD"/>
    <w:rsid w:val="007713D6"/>
    <w:rsid w:val="0077148E"/>
    <w:rsid w:val="007714F2"/>
    <w:rsid w:val="007717A0"/>
    <w:rsid w:val="007717B0"/>
    <w:rsid w:val="00771932"/>
    <w:rsid w:val="00771FEF"/>
    <w:rsid w:val="00772228"/>
    <w:rsid w:val="00772665"/>
    <w:rsid w:val="00772874"/>
    <w:rsid w:val="00772E40"/>
    <w:rsid w:val="00772EE0"/>
    <w:rsid w:val="00772FB5"/>
    <w:rsid w:val="00773306"/>
    <w:rsid w:val="007736F9"/>
    <w:rsid w:val="00773CAB"/>
    <w:rsid w:val="00773D1C"/>
    <w:rsid w:val="00774030"/>
    <w:rsid w:val="007740F1"/>
    <w:rsid w:val="0077454D"/>
    <w:rsid w:val="007748B8"/>
    <w:rsid w:val="00774BD7"/>
    <w:rsid w:val="00774FCA"/>
    <w:rsid w:val="0077513E"/>
    <w:rsid w:val="00775162"/>
    <w:rsid w:val="00775647"/>
    <w:rsid w:val="00775AE7"/>
    <w:rsid w:val="00775F07"/>
    <w:rsid w:val="007767E5"/>
    <w:rsid w:val="0077685A"/>
    <w:rsid w:val="00776DDC"/>
    <w:rsid w:val="00777236"/>
    <w:rsid w:val="00777354"/>
    <w:rsid w:val="007774E9"/>
    <w:rsid w:val="0077794B"/>
    <w:rsid w:val="00777FE7"/>
    <w:rsid w:val="00780302"/>
    <w:rsid w:val="00780516"/>
    <w:rsid w:val="00780AE0"/>
    <w:rsid w:val="00780C32"/>
    <w:rsid w:val="00781108"/>
    <w:rsid w:val="00781F23"/>
    <w:rsid w:val="00781FE6"/>
    <w:rsid w:val="007823B2"/>
    <w:rsid w:val="0078270B"/>
    <w:rsid w:val="007827D2"/>
    <w:rsid w:val="00782AF8"/>
    <w:rsid w:val="007830B7"/>
    <w:rsid w:val="00783453"/>
    <w:rsid w:val="007835D6"/>
    <w:rsid w:val="007836B0"/>
    <w:rsid w:val="00783AFE"/>
    <w:rsid w:val="00783D03"/>
    <w:rsid w:val="00783D10"/>
    <w:rsid w:val="00783D75"/>
    <w:rsid w:val="00783DCA"/>
    <w:rsid w:val="0078437D"/>
    <w:rsid w:val="00784415"/>
    <w:rsid w:val="0078444F"/>
    <w:rsid w:val="0078464A"/>
    <w:rsid w:val="007849E8"/>
    <w:rsid w:val="00784CE0"/>
    <w:rsid w:val="00785419"/>
    <w:rsid w:val="007857AE"/>
    <w:rsid w:val="0078639E"/>
    <w:rsid w:val="00786841"/>
    <w:rsid w:val="0078694E"/>
    <w:rsid w:val="00786CA9"/>
    <w:rsid w:val="00786D01"/>
    <w:rsid w:val="0078730A"/>
    <w:rsid w:val="00790503"/>
    <w:rsid w:val="007905B0"/>
    <w:rsid w:val="00790A86"/>
    <w:rsid w:val="00790DBD"/>
    <w:rsid w:val="00790E20"/>
    <w:rsid w:val="00790E75"/>
    <w:rsid w:val="0079142A"/>
    <w:rsid w:val="007924E9"/>
    <w:rsid w:val="00792EA2"/>
    <w:rsid w:val="00793471"/>
    <w:rsid w:val="00793768"/>
    <w:rsid w:val="00793788"/>
    <w:rsid w:val="007938DC"/>
    <w:rsid w:val="00793A97"/>
    <w:rsid w:val="007945EA"/>
    <w:rsid w:val="00794914"/>
    <w:rsid w:val="0079518F"/>
    <w:rsid w:val="00795A22"/>
    <w:rsid w:val="0079644E"/>
    <w:rsid w:val="0079647C"/>
    <w:rsid w:val="0079654A"/>
    <w:rsid w:val="0079675E"/>
    <w:rsid w:val="00796E16"/>
    <w:rsid w:val="00796FA3"/>
    <w:rsid w:val="00797E74"/>
    <w:rsid w:val="00797ED5"/>
    <w:rsid w:val="007A008B"/>
    <w:rsid w:val="007A063F"/>
    <w:rsid w:val="007A06CA"/>
    <w:rsid w:val="007A0A7E"/>
    <w:rsid w:val="007A0AE4"/>
    <w:rsid w:val="007A0BB5"/>
    <w:rsid w:val="007A0F18"/>
    <w:rsid w:val="007A1E53"/>
    <w:rsid w:val="007A212C"/>
    <w:rsid w:val="007A225C"/>
    <w:rsid w:val="007A2400"/>
    <w:rsid w:val="007A30B4"/>
    <w:rsid w:val="007A31CF"/>
    <w:rsid w:val="007A3BFD"/>
    <w:rsid w:val="007A3FEE"/>
    <w:rsid w:val="007A4080"/>
    <w:rsid w:val="007A4F48"/>
    <w:rsid w:val="007A5BB0"/>
    <w:rsid w:val="007A5C1C"/>
    <w:rsid w:val="007A5F3A"/>
    <w:rsid w:val="007A6468"/>
    <w:rsid w:val="007A6789"/>
    <w:rsid w:val="007A6968"/>
    <w:rsid w:val="007A69EB"/>
    <w:rsid w:val="007A6BE5"/>
    <w:rsid w:val="007A6D9E"/>
    <w:rsid w:val="007A7344"/>
    <w:rsid w:val="007A75F6"/>
    <w:rsid w:val="007A7659"/>
    <w:rsid w:val="007A7875"/>
    <w:rsid w:val="007A7B56"/>
    <w:rsid w:val="007A7C9B"/>
    <w:rsid w:val="007A7F7B"/>
    <w:rsid w:val="007B02F6"/>
    <w:rsid w:val="007B02FD"/>
    <w:rsid w:val="007B035E"/>
    <w:rsid w:val="007B112A"/>
    <w:rsid w:val="007B1203"/>
    <w:rsid w:val="007B1548"/>
    <w:rsid w:val="007B1791"/>
    <w:rsid w:val="007B19AA"/>
    <w:rsid w:val="007B1B01"/>
    <w:rsid w:val="007B1BDE"/>
    <w:rsid w:val="007B2132"/>
    <w:rsid w:val="007B24FE"/>
    <w:rsid w:val="007B2EC7"/>
    <w:rsid w:val="007B2FC5"/>
    <w:rsid w:val="007B306F"/>
    <w:rsid w:val="007B3570"/>
    <w:rsid w:val="007B36E1"/>
    <w:rsid w:val="007B3876"/>
    <w:rsid w:val="007B3971"/>
    <w:rsid w:val="007B3A9F"/>
    <w:rsid w:val="007B3F7E"/>
    <w:rsid w:val="007B4396"/>
    <w:rsid w:val="007B47A7"/>
    <w:rsid w:val="007B480A"/>
    <w:rsid w:val="007B4BFA"/>
    <w:rsid w:val="007B4F9B"/>
    <w:rsid w:val="007B5415"/>
    <w:rsid w:val="007B5652"/>
    <w:rsid w:val="007B5A43"/>
    <w:rsid w:val="007B5B2E"/>
    <w:rsid w:val="007B5BCA"/>
    <w:rsid w:val="007B63B0"/>
    <w:rsid w:val="007B63C3"/>
    <w:rsid w:val="007B6601"/>
    <w:rsid w:val="007B688B"/>
    <w:rsid w:val="007B6ADD"/>
    <w:rsid w:val="007B6B82"/>
    <w:rsid w:val="007B6C23"/>
    <w:rsid w:val="007B72BF"/>
    <w:rsid w:val="007B7399"/>
    <w:rsid w:val="007B74FF"/>
    <w:rsid w:val="007B7563"/>
    <w:rsid w:val="007B762C"/>
    <w:rsid w:val="007B7A94"/>
    <w:rsid w:val="007B7D91"/>
    <w:rsid w:val="007B7F13"/>
    <w:rsid w:val="007C0C28"/>
    <w:rsid w:val="007C12D5"/>
    <w:rsid w:val="007C1639"/>
    <w:rsid w:val="007C16A5"/>
    <w:rsid w:val="007C1729"/>
    <w:rsid w:val="007C1C24"/>
    <w:rsid w:val="007C2367"/>
    <w:rsid w:val="007C246E"/>
    <w:rsid w:val="007C24CE"/>
    <w:rsid w:val="007C2528"/>
    <w:rsid w:val="007C3472"/>
    <w:rsid w:val="007C3532"/>
    <w:rsid w:val="007C362B"/>
    <w:rsid w:val="007C38AB"/>
    <w:rsid w:val="007C39B8"/>
    <w:rsid w:val="007C3D9D"/>
    <w:rsid w:val="007C42FC"/>
    <w:rsid w:val="007C4495"/>
    <w:rsid w:val="007C4A3C"/>
    <w:rsid w:val="007C4BAF"/>
    <w:rsid w:val="007C4C85"/>
    <w:rsid w:val="007C4DE4"/>
    <w:rsid w:val="007C4FCB"/>
    <w:rsid w:val="007C54A4"/>
    <w:rsid w:val="007C57C0"/>
    <w:rsid w:val="007C58FB"/>
    <w:rsid w:val="007C5BD0"/>
    <w:rsid w:val="007C5C91"/>
    <w:rsid w:val="007C5F6B"/>
    <w:rsid w:val="007C6405"/>
    <w:rsid w:val="007C65A9"/>
    <w:rsid w:val="007C667C"/>
    <w:rsid w:val="007C6914"/>
    <w:rsid w:val="007C6BC2"/>
    <w:rsid w:val="007C6D77"/>
    <w:rsid w:val="007C6E92"/>
    <w:rsid w:val="007C6FF4"/>
    <w:rsid w:val="007C75B7"/>
    <w:rsid w:val="007C7DB1"/>
    <w:rsid w:val="007D02BB"/>
    <w:rsid w:val="007D07B2"/>
    <w:rsid w:val="007D0855"/>
    <w:rsid w:val="007D0A60"/>
    <w:rsid w:val="007D1032"/>
    <w:rsid w:val="007D1B5A"/>
    <w:rsid w:val="007D1B61"/>
    <w:rsid w:val="007D22A4"/>
    <w:rsid w:val="007D256A"/>
    <w:rsid w:val="007D283D"/>
    <w:rsid w:val="007D2BEE"/>
    <w:rsid w:val="007D2F79"/>
    <w:rsid w:val="007D3111"/>
    <w:rsid w:val="007D318F"/>
    <w:rsid w:val="007D360F"/>
    <w:rsid w:val="007D3B53"/>
    <w:rsid w:val="007D43C7"/>
    <w:rsid w:val="007D484A"/>
    <w:rsid w:val="007D4BA4"/>
    <w:rsid w:val="007D54AD"/>
    <w:rsid w:val="007D5513"/>
    <w:rsid w:val="007D5788"/>
    <w:rsid w:val="007D5938"/>
    <w:rsid w:val="007D677C"/>
    <w:rsid w:val="007D6B7C"/>
    <w:rsid w:val="007D6DC5"/>
    <w:rsid w:val="007D6DE8"/>
    <w:rsid w:val="007D6EB8"/>
    <w:rsid w:val="007D6FFF"/>
    <w:rsid w:val="007D701D"/>
    <w:rsid w:val="007D71FD"/>
    <w:rsid w:val="007D7467"/>
    <w:rsid w:val="007D7B98"/>
    <w:rsid w:val="007E009F"/>
    <w:rsid w:val="007E023B"/>
    <w:rsid w:val="007E073B"/>
    <w:rsid w:val="007E0756"/>
    <w:rsid w:val="007E097E"/>
    <w:rsid w:val="007E0C9B"/>
    <w:rsid w:val="007E1036"/>
    <w:rsid w:val="007E14D4"/>
    <w:rsid w:val="007E17D6"/>
    <w:rsid w:val="007E183B"/>
    <w:rsid w:val="007E1888"/>
    <w:rsid w:val="007E18F8"/>
    <w:rsid w:val="007E1F33"/>
    <w:rsid w:val="007E2037"/>
    <w:rsid w:val="007E2127"/>
    <w:rsid w:val="007E215A"/>
    <w:rsid w:val="007E2270"/>
    <w:rsid w:val="007E2482"/>
    <w:rsid w:val="007E2561"/>
    <w:rsid w:val="007E2574"/>
    <w:rsid w:val="007E25EC"/>
    <w:rsid w:val="007E2657"/>
    <w:rsid w:val="007E26C3"/>
    <w:rsid w:val="007E2A70"/>
    <w:rsid w:val="007E2C77"/>
    <w:rsid w:val="007E2CC8"/>
    <w:rsid w:val="007E3040"/>
    <w:rsid w:val="007E3990"/>
    <w:rsid w:val="007E3DE1"/>
    <w:rsid w:val="007E416A"/>
    <w:rsid w:val="007E4D98"/>
    <w:rsid w:val="007E4DC1"/>
    <w:rsid w:val="007E510C"/>
    <w:rsid w:val="007E5259"/>
    <w:rsid w:val="007E52C7"/>
    <w:rsid w:val="007E5730"/>
    <w:rsid w:val="007E5B01"/>
    <w:rsid w:val="007E5F38"/>
    <w:rsid w:val="007E64A8"/>
    <w:rsid w:val="007E6728"/>
    <w:rsid w:val="007E675E"/>
    <w:rsid w:val="007E6A74"/>
    <w:rsid w:val="007E6F90"/>
    <w:rsid w:val="007E73BE"/>
    <w:rsid w:val="007E73D6"/>
    <w:rsid w:val="007E7C55"/>
    <w:rsid w:val="007F0025"/>
    <w:rsid w:val="007F0203"/>
    <w:rsid w:val="007F0C94"/>
    <w:rsid w:val="007F0E08"/>
    <w:rsid w:val="007F0FE4"/>
    <w:rsid w:val="007F109B"/>
    <w:rsid w:val="007F1588"/>
    <w:rsid w:val="007F18C7"/>
    <w:rsid w:val="007F1B17"/>
    <w:rsid w:val="007F1D2C"/>
    <w:rsid w:val="007F1E8E"/>
    <w:rsid w:val="007F2337"/>
    <w:rsid w:val="007F2525"/>
    <w:rsid w:val="007F28C8"/>
    <w:rsid w:val="007F290D"/>
    <w:rsid w:val="007F2996"/>
    <w:rsid w:val="007F29F6"/>
    <w:rsid w:val="007F2B38"/>
    <w:rsid w:val="007F2B9D"/>
    <w:rsid w:val="007F2BBD"/>
    <w:rsid w:val="007F3411"/>
    <w:rsid w:val="007F3475"/>
    <w:rsid w:val="007F3802"/>
    <w:rsid w:val="007F3B07"/>
    <w:rsid w:val="007F3BFE"/>
    <w:rsid w:val="007F3FFF"/>
    <w:rsid w:val="007F4145"/>
    <w:rsid w:val="007F4226"/>
    <w:rsid w:val="007F4388"/>
    <w:rsid w:val="007F4531"/>
    <w:rsid w:val="007F4DB0"/>
    <w:rsid w:val="007F4DF6"/>
    <w:rsid w:val="007F4E13"/>
    <w:rsid w:val="007F50A2"/>
    <w:rsid w:val="007F5162"/>
    <w:rsid w:val="007F55C7"/>
    <w:rsid w:val="007F585A"/>
    <w:rsid w:val="007F58C1"/>
    <w:rsid w:val="007F5C43"/>
    <w:rsid w:val="007F5F74"/>
    <w:rsid w:val="007F61E2"/>
    <w:rsid w:val="007F6368"/>
    <w:rsid w:val="007F6A55"/>
    <w:rsid w:val="007F6B53"/>
    <w:rsid w:val="007F7BCF"/>
    <w:rsid w:val="008000E6"/>
    <w:rsid w:val="00800667"/>
    <w:rsid w:val="00800896"/>
    <w:rsid w:val="00801089"/>
    <w:rsid w:val="008014BC"/>
    <w:rsid w:val="008019C1"/>
    <w:rsid w:val="00801B88"/>
    <w:rsid w:val="00801B96"/>
    <w:rsid w:val="00802943"/>
    <w:rsid w:val="00802ECB"/>
    <w:rsid w:val="0080317C"/>
    <w:rsid w:val="008039D6"/>
    <w:rsid w:val="00803A8A"/>
    <w:rsid w:val="00803B76"/>
    <w:rsid w:val="00803FBF"/>
    <w:rsid w:val="008040F6"/>
    <w:rsid w:val="00804171"/>
    <w:rsid w:val="0080420B"/>
    <w:rsid w:val="0080426A"/>
    <w:rsid w:val="00804DC6"/>
    <w:rsid w:val="00805214"/>
    <w:rsid w:val="008054FE"/>
    <w:rsid w:val="00805CC4"/>
    <w:rsid w:val="00805E5F"/>
    <w:rsid w:val="0080682A"/>
    <w:rsid w:val="00806C32"/>
    <w:rsid w:val="00806CF3"/>
    <w:rsid w:val="00806D43"/>
    <w:rsid w:val="00806DCA"/>
    <w:rsid w:val="00806E5F"/>
    <w:rsid w:val="00807094"/>
    <w:rsid w:val="008070E7"/>
    <w:rsid w:val="008072CE"/>
    <w:rsid w:val="008074A5"/>
    <w:rsid w:val="00807719"/>
    <w:rsid w:val="00807823"/>
    <w:rsid w:val="00807A4C"/>
    <w:rsid w:val="008103E8"/>
    <w:rsid w:val="008104BB"/>
    <w:rsid w:val="00810D0C"/>
    <w:rsid w:val="00810F57"/>
    <w:rsid w:val="008112CE"/>
    <w:rsid w:val="00811894"/>
    <w:rsid w:val="00811B87"/>
    <w:rsid w:val="00811F20"/>
    <w:rsid w:val="008121A2"/>
    <w:rsid w:val="00812D29"/>
    <w:rsid w:val="00813519"/>
    <w:rsid w:val="0081375E"/>
    <w:rsid w:val="008139FA"/>
    <w:rsid w:val="00813B17"/>
    <w:rsid w:val="00814336"/>
    <w:rsid w:val="008144E4"/>
    <w:rsid w:val="0081466F"/>
    <w:rsid w:val="008147D5"/>
    <w:rsid w:val="008148E9"/>
    <w:rsid w:val="00814CF9"/>
    <w:rsid w:val="00815059"/>
    <w:rsid w:val="0081524F"/>
    <w:rsid w:val="008152BC"/>
    <w:rsid w:val="00815DA8"/>
    <w:rsid w:val="0081610F"/>
    <w:rsid w:val="008166E5"/>
    <w:rsid w:val="00816782"/>
    <w:rsid w:val="008169EC"/>
    <w:rsid w:val="00816BFA"/>
    <w:rsid w:val="008170A2"/>
    <w:rsid w:val="00817343"/>
    <w:rsid w:val="008178E9"/>
    <w:rsid w:val="00817C0D"/>
    <w:rsid w:val="00817C2F"/>
    <w:rsid w:val="00817D7E"/>
    <w:rsid w:val="00817FDF"/>
    <w:rsid w:val="00820382"/>
    <w:rsid w:val="008204C1"/>
    <w:rsid w:val="0082088A"/>
    <w:rsid w:val="0082137D"/>
    <w:rsid w:val="0082178C"/>
    <w:rsid w:val="00821A07"/>
    <w:rsid w:val="00821CA9"/>
    <w:rsid w:val="00822AF5"/>
    <w:rsid w:val="00823577"/>
    <w:rsid w:val="00823FE5"/>
    <w:rsid w:val="008240B4"/>
    <w:rsid w:val="0082478A"/>
    <w:rsid w:val="00824CD1"/>
    <w:rsid w:val="00825250"/>
    <w:rsid w:val="008252A1"/>
    <w:rsid w:val="0082578A"/>
    <w:rsid w:val="008264C4"/>
    <w:rsid w:val="00826C1D"/>
    <w:rsid w:val="00826DDE"/>
    <w:rsid w:val="00827119"/>
    <w:rsid w:val="008271E7"/>
    <w:rsid w:val="008274C8"/>
    <w:rsid w:val="00827896"/>
    <w:rsid w:val="0082790A"/>
    <w:rsid w:val="00827F88"/>
    <w:rsid w:val="0083077F"/>
    <w:rsid w:val="00830983"/>
    <w:rsid w:val="00830B2E"/>
    <w:rsid w:val="00830B92"/>
    <w:rsid w:val="00830E30"/>
    <w:rsid w:val="00830EAA"/>
    <w:rsid w:val="008311CC"/>
    <w:rsid w:val="0083141A"/>
    <w:rsid w:val="00831484"/>
    <w:rsid w:val="00831A9F"/>
    <w:rsid w:val="00831D6C"/>
    <w:rsid w:val="0083278B"/>
    <w:rsid w:val="008328B0"/>
    <w:rsid w:val="00832B77"/>
    <w:rsid w:val="00832D3A"/>
    <w:rsid w:val="00832DED"/>
    <w:rsid w:val="00832F67"/>
    <w:rsid w:val="00833AB8"/>
    <w:rsid w:val="00833C76"/>
    <w:rsid w:val="00833D4F"/>
    <w:rsid w:val="00833E0F"/>
    <w:rsid w:val="00834016"/>
    <w:rsid w:val="00834025"/>
    <w:rsid w:val="008344AC"/>
    <w:rsid w:val="00834876"/>
    <w:rsid w:val="00834CCF"/>
    <w:rsid w:val="00834E1F"/>
    <w:rsid w:val="00834E8B"/>
    <w:rsid w:val="00835465"/>
    <w:rsid w:val="0083571A"/>
    <w:rsid w:val="00835981"/>
    <w:rsid w:val="00835D6C"/>
    <w:rsid w:val="0083608D"/>
    <w:rsid w:val="0083682F"/>
    <w:rsid w:val="00836856"/>
    <w:rsid w:val="00836986"/>
    <w:rsid w:val="00836C8A"/>
    <w:rsid w:val="00836F31"/>
    <w:rsid w:val="00837EFD"/>
    <w:rsid w:val="00840197"/>
    <w:rsid w:val="0084043E"/>
    <w:rsid w:val="008404FC"/>
    <w:rsid w:val="00840715"/>
    <w:rsid w:val="0084074F"/>
    <w:rsid w:val="00841175"/>
    <w:rsid w:val="008414AC"/>
    <w:rsid w:val="008416A7"/>
    <w:rsid w:val="008417FB"/>
    <w:rsid w:val="0084187D"/>
    <w:rsid w:val="00841FE1"/>
    <w:rsid w:val="00842453"/>
    <w:rsid w:val="00842851"/>
    <w:rsid w:val="008429AD"/>
    <w:rsid w:val="00842D1F"/>
    <w:rsid w:val="00842FC0"/>
    <w:rsid w:val="0084336B"/>
    <w:rsid w:val="0084344E"/>
    <w:rsid w:val="008436E3"/>
    <w:rsid w:val="00843739"/>
    <w:rsid w:val="00843774"/>
    <w:rsid w:val="00843797"/>
    <w:rsid w:val="00843AA2"/>
    <w:rsid w:val="00843F5F"/>
    <w:rsid w:val="00843F63"/>
    <w:rsid w:val="00844313"/>
    <w:rsid w:val="008444FE"/>
    <w:rsid w:val="00844566"/>
    <w:rsid w:val="00844856"/>
    <w:rsid w:val="00844CD2"/>
    <w:rsid w:val="00844F42"/>
    <w:rsid w:val="00845555"/>
    <w:rsid w:val="00845629"/>
    <w:rsid w:val="0084572B"/>
    <w:rsid w:val="008458E4"/>
    <w:rsid w:val="00845A65"/>
    <w:rsid w:val="00845B48"/>
    <w:rsid w:val="00845E5D"/>
    <w:rsid w:val="008460BC"/>
    <w:rsid w:val="00846634"/>
    <w:rsid w:val="00846AE2"/>
    <w:rsid w:val="0084700E"/>
    <w:rsid w:val="0084727C"/>
    <w:rsid w:val="008472C6"/>
    <w:rsid w:val="00847A37"/>
    <w:rsid w:val="00847C12"/>
    <w:rsid w:val="00847D14"/>
    <w:rsid w:val="00847E5B"/>
    <w:rsid w:val="00850109"/>
    <w:rsid w:val="008501E3"/>
    <w:rsid w:val="008505AF"/>
    <w:rsid w:val="00850863"/>
    <w:rsid w:val="00850B1C"/>
    <w:rsid w:val="0085233A"/>
    <w:rsid w:val="00852933"/>
    <w:rsid w:val="00852B9B"/>
    <w:rsid w:val="00852FF9"/>
    <w:rsid w:val="00853434"/>
    <w:rsid w:val="00853550"/>
    <w:rsid w:val="008536D4"/>
    <w:rsid w:val="008538B8"/>
    <w:rsid w:val="00853BE4"/>
    <w:rsid w:val="00853CEA"/>
    <w:rsid w:val="00853E73"/>
    <w:rsid w:val="00853F24"/>
    <w:rsid w:val="00853F64"/>
    <w:rsid w:val="008540A7"/>
    <w:rsid w:val="00854503"/>
    <w:rsid w:val="00854966"/>
    <w:rsid w:val="0085499E"/>
    <w:rsid w:val="00854CFA"/>
    <w:rsid w:val="00855F2C"/>
    <w:rsid w:val="008568C7"/>
    <w:rsid w:val="00856B29"/>
    <w:rsid w:val="00856D05"/>
    <w:rsid w:val="0085770D"/>
    <w:rsid w:val="008577D1"/>
    <w:rsid w:val="008577FE"/>
    <w:rsid w:val="008578C6"/>
    <w:rsid w:val="00857B27"/>
    <w:rsid w:val="00857CCD"/>
    <w:rsid w:val="00860A0F"/>
    <w:rsid w:val="00860CF4"/>
    <w:rsid w:val="00861291"/>
    <w:rsid w:val="0086154D"/>
    <w:rsid w:val="008615C1"/>
    <w:rsid w:val="00861677"/>
    <w:rsid w:val="0086182C"/>
    <w:rsid w:val="00861897"/>
    <w:rsid w:val="00861971"/>
    <w:rsid w:val="00861AF9"/>
    <w:rsid w:val="00862380"/>
    <w:rsid w:val="008625EB"/>
    <w:rsid w:val="00862B03"/>
    <w:rsid w:val="008635BF"/>
    <w:rsid w:val="00863636"/>
    <w:rsid w:val="00863698"/>
    <w:rsid w:val="0086476C"/>
    <w:rsid w:val="00864962"/>
    <w:rsid w:val="00864D64"/>
    <w:rsid w:val="00864F79"/>
    <w:rsid w:val="008651DE"/>
    <w:rsid w:val="00865353"/>
    <w:rsid w:val="00865827"/>
    <w:rsid w:val="00865950"/>
    <w:rsid w:val="00865A49"/>
    <w:rsid w:val="00865AE6"/>
    <w:rsid w:val="00865B50"/>
    <w:rsid w:val="00865D10"/>
    <w:rsid w:val="00865F27"/>
    <w:rsid w:val="0086610A"/>
    <w:rsid w:val="00866578"/>
    <w:rsid w:val="008665D3"/>
    <w:rsid w:val="00866862"/>
    <w:rsid w:val="00866931"/>
    <w:rsid w:val="008669E1"/>
    <w:rsid w:val="00866A20"/>
    <w:rsid w:val="00866C15"/>
    <w:rsid w:val="00866E88"/>
    <w:rsid w:val="0086777E"/>
    <w:rsid w:val="008678AF"/>
    <w:rsid w:val="008678D1"/>
    <w:rsid w:val="00867BC9"/>
    <w:rsid w:val="00867DFA"/>
    <w:rsid w:val="00867E00"/>
    <w:rsid w:val="00867F36"/>
    <w:rsid w:val="00867FEB"/>
    <w:rsid w:val="008706D0"/>
    <w:rsid w:val="00870776"/>
    <w:rsid w:val="00870ADD"/>
    <w:rsid w:val="00870AF8"/>
    <w:rsid w:val="00870D3D"/>
    <w:rsid w:val="00871433"/>
    <w:rsid w:val="00871A0A"/>
    <w:rsid w:val="0087244A"/>
    <w:rsid w:val="00872E1D"/>
    <w:rsid w:val="00872ECB"/>
    <w:rsid w:val="00873300"/>
    <w:rsid w:val="008734FA"/>
    <w:rsid w:val="0087370B"/>
    <w:rsid w:val="00873726"/>
    <w:rsid w:val="0087377A"/>
    <w:rsid w:val="00873BBC"/>
    <w:rsid w:val="00873ED5"/>
    <w:rsid w:val="00873F2C"/>
    <w:rsid w:val="00873F89"/>
    <w:rsid w:val="00874216"/>
    <w:rsid w:val="0087430E"/>
    <w:rsid w:val="0087438B"/>
    <w:rsid w:val="0087487F"/>
    <w:rsid w:val="00875061"/>
    <w:rsid w:val="0087575F"/>
    <w:rsid w:val="00875852"/>
    <w:rsid w:val="00875CD5"/>
    <w:rsid w:val="00875EA6"/>
    <w:rsid w:val="00876089"/>
    <w:rsid w:val="008761DF"/>
    <w:rsid w:val="008764E3"/>
    <w:rsid w:val="00876D98"/>
    <w:rsid w:val="00876EED"/>
    <w:rsid w:val="00876FF0"/>
    <w:rsid w:val="00877663"/>
    <w:rsid w:val="008779EF"/>
    <w:rsid w:val="00877A2C"/>
    <w:rsid w:val="00877B27"/>
    <w:rsid w:val="00877EBA"/>
    <w:rsid w:val="00877EF7"/>
    <w:rsid w:val="00880042"/>
    <w:rsid w:val="008805B3"/>
    <w:rsid w:val="008809D4"/>
    <w:rsid w:val="00880FA6"/>
    <w:rsid w:val="00881134"/>
    <w:rsid w:val="00881B89"/>
    <w:rsid w:val="00881FE1"/>
    <w:rsid w:val="00882006"/>
    <w:rsid w:val="00882147"/>
    <w:rsid w:val="008823FF"/>
    <w:rsid w:val="008828B4"/>
    <w:rsid w:val="0088299F"/>
    <w:rsid w:val="00882E0A"/>
    <w:rsid w:val="00882EB3"/>
    <w:rsid w:val="00882F82"/>
    <w:rsid w:val="00883291"/>
    <w:rsid w:val="00883B2B"/>
    <w:rsid w:val="00883DF6"/>
    <w:rsid w:val="00883FB9"/>
    <w:rsid w:val="00884191"/>
    <w:rsid w:val="008848AA"/>
    <w:rsid w:val="00884D95"/>
    <w:rsid w:val="00885179"/>
    <w:rsid w:val="00885183"/>
    <w:rsid w:val="008851DF"/>
    <w:rsid w:val="008851EA"/>
    <w:rsid w:val="0088531A"/>
    <w:rsid w:val="00885996"/>
    <w:rsid w:val="00885ED9"/>
    <w:rsid w:val="00885F43"/>
    <w:rsid w:val="00886252"/>
    <w:rsid w:val="00886DCF"/>
    <w:rsid w:val="00886EA5"/>
    <w:rsid w:val="00886F91"/>
    <w:rsid w:val="008872D7"/>
    <w:rsid w:val="008875DB"/>
    <w:rsid w:val="00887BA9"/>
    <w:rsid w:val="00887CFB"/>
    <w:rsid w:val="00887DFC"/>
    <w:rsid w:val="00887FB8"/>
    <w:rsid w:val="008900A3"/>
    <w:rsid w:val="0089045D"/>
    <w:rsid w:val="008904AC"/>
    <w:rsid w:val="008907C3"/>
    <w:rsid w:val="00890D1C"/>
    <w:rsid w:val="00890F13"/>
    <w:rsid w:val="00891041"/>
    <w:rsid w:val="008914EE"/>
    <w:rsid w:val="00891827"/>
    <w:rsid w:val="00891831"/>
    <w:rsid w:val="00891A0F"/>
    <w:rsid w:val="00891D7F"/>
    <w:rsid w:val="008921C9"/>
    <w:rsid w:val="00892611"/>
    <w:rsid w:val="008928BB"/>
    <w:rsid w:val="00892B11"/>
    <w:rsid w:val="00892BF4"/>
    <w:rsid w:val="00893086"/>
    <w:rsid w:val="0089321E"/>
    <w:rsid w:val="008939BD"/>
    <w:rsid w:val="00893B4A"/>
    <w:rsid w:val="0089497C"/>
    <w:rsid w:val="00894C15"/>
    <w:rsid w:val="00894C59"/>
    <w:rsid w:val="00894CB3"/>
    <w:rsid w:val="00894D3C"/>
    <w:rsid w:val="00894EA5"/>
    <w:rsid w:val="008954BB"/>
    <w:rsid w:val="00895716"/>
    <w:rsid w:val="0089619D"/>
    <w:rsid w:val="00896997"/>
    <w:rsid w:val="00897124"/>
    <w:rsid w:val="0089712B"/>
    <w:rsid w:val="008971F9"/>
    <w:rsid w:val="00897200"/>
    <w:rsid w:val="00897356"/>
    <w:rsid w:val="008973CD"/>
    <w:rsid w:val="00897506"/>
    <w:rsid w:val="008975E7"/>
    <w:rsid w:val="0089761E"/>
    <w:rsid w:val="00897EC4"/>
    <w:rsid w:val="008A06C9"/>
    <w:rsid w:val="008A076C"/>
    <w:rsid w:val="008A0950"/>
    <w:rsid w:val="008A151B"/>
    <w:rsid w:val="008A1638"/>
    <w:rsid w:val="008A1A68"/>
    <w:rsid w:val="008A1E2F"/>
    <w:rsid w:val="008A277F"/>
    <w:rsid w:val="008A2A78"/>
    <w:rsid w:val="008A2EB9"/>
    <w:rsid w:val="008A2F04"/>
    <w:rsid w:val="008A2F72"/>
    <w:rsid w:val="008A3551"/>
    <w:rsid w:val="008A36FB"/>
    <w:rsid w:val="008A375A"/>
    <w:rsid w:val="008A398A"/>
    <w:rsid w:val="008A3B20"/>
    <w:rsid w:val="008A426D"/>
    <w:rsid w:val="008A4320"/>
    <w:rsid w:val="008A4E34"/>
    <w:rsid w:val="008A5279"/>
    <w:rsid w:val="008A5376"/>
    <w:rsid w:val="008A5B51"/>
    <w:rsid w:val="008A5D19"/>
    <w:rsid w:val="008A736C"/>
    <w:rsid w:val="008A7A73"/>
    <w:rsid w:val="008A7D45"/>
    <w:rsid w:val="008B027E"/>
    <w:rsid w:val="008B0384"/>
    <w:rsid w:val="008B0416"/>
    <w:rsid w:val="008B066A"/>
    <w:rsid w:val="008B0933"/>
    <w:rsid w:val="008B09B0"/>
    <w:rsid w:val="008B0FD0"/>
    <w:rsid w:val="008B1326"/>
    <w:rsid w:val="008B1576"/>
    <w:rsid w:val="008B1A7F"/>
    <w:rsid w:val="008B1D44"/>
    <w:rsid w:val="008B1D45"/>
    <w:rsid w:val="008B1E5E"/>
    <w:rsid w:val="008B20D3"/>
    <w:rsid w:val="008B252F"/>
    <w:rsid w:val="008B2543"/>
    <w:rsid w:val="008B2546"/>
    <w:rsid w:val="008B2762"/>
    <w:rsid w:val="008B3512"/>
    <w:rsid w:val="008B3B69"/>
    <w:rsid w:val="008B3B7E"/>
    <w:rsid w:val="008B4353"/>
    <w:rsid w:val="008B43CC"/>
    <w:rsid w:val="008B455B"/>
    <w:rsid w:val="008B4BB2"/>
    <w:rsid w:val="008B5381"/>
    <w:rsid w:val="008B5431"/>
    <w:rsid w:val="008B5498"/>
    <w:rsid w:val="008B55B6"/>
    <w:rsid w:val="008B5A73"/>
    <w:rsid w:val="008B5CBB"/>
    <w:rsid w:val="008B5EA8"/>
    <w:rsid w:val="008B61AA"/>
    <w:rsid w:val="008B64DD"/>
    <w:rsid w:val="008B67F2"/>
    <w:rsid w:val="008B6A21"/>
    <w:rsid w:val="008B6DF4"/>
    <w:rsid w:val="008B7143"/>
    <w:rsid w:val="008B71D9"/>
    <w:rsid w:val="008B72A1"/>
    <w:rsid w:val="008B77D2"/>
    <w:rsid w:val="008B7825"/>
    <w:rsid w:val="008B785B"/>
    <w:rsid w:val="008B7DCF"/>
    <w:rsid w:val="008B7EC4"/>
    <w:rsid w:val="008B7FE2"/>
    <w:rsid w:val="008C0376"/>
    <w:rsid w:val="008C07A8"/>
    <w:rsid w:val="008C084A"/>
    <w:rsid w:val="008C0ED0"/>
    <w:rsid w:val="008C1039"/>
    <w:rsid w:val="008C1241"/>
    <w:rsid w:val="008C14B3"/>
    <w:rsid w:val="008C1855"/>
    <w:rsid w:val="008C1A7F"/>
    <w:rsid w:val="008C1E7A"/>
    <w:rsid w:val="008C2063"/>
    <w:rsid w:val="008C2207"/>
    <w:rsid w:val="008C22C0"/>
    <w:rsid w:val="008C290B"/>
    <w:rsid w:val="008C2983"/>
    <w:rsid w:val="008C29F5"/>
    <w:rsid w:val="008C34AF"/>
    <w:rsid w:val="008C355A"/>
    <w:rsid w:val="008C3B39"/>
    <w:rsid w:val="008C435E"/>
    <w:rsid w:val="008C46DE"/>
    <w:rsid w:val="008C4C20"/>
    <w:rsid w:val="008C4CB2"/>
    <w:rsid w:val="008C4F36"/>
    <w:rsid w:val="008C528A"/>
    <w:rsid w:val="008C53B5"/>
    <w:rsid w:val="008C54CA"/>
    <w:rsid w:val="008C5D28"/>
    <w:rsid w:val="008C5FE8"/>
    <w:rsid w:val="008C605E"/>
    <w:rsid w:val="008C60A4"/>
    <w:rsid w:val="008C6174"/>
    <w:rsid w:val="008C63BA"/>
    <w:rsid w:val="008C6610"/>
    <w:rsid w:val="008C668E"/>
    <w:rsid w:val="008C6905"/>
    <w:rsid w:val="008C69A5"/>
    <w:rsid w:val="008C7097"/>
    <w:rsid w:val="008C714D"/>
    <w:rsid w:val="008C71D9"/>
    <w:rsid w:val="008C74DA"/>
    <w:rsid w:val="008C763C"/>
    <w:rsid w:val="008C79A4"/>
    <w:rsid w:val="008C79AD"/>
    <w:rsid w:val="008C7D43"/>
    <w:rsid w:val="008D03C4"/>
    <w:rsid w:val="008D0471"/>
    <w:rsid w:val="008D0BB9"/>
    <w:rsid w:val="008D0C4E"/>
    <w:rsid w:val="008D0D7E"/>
    <w:rsid w:val="008D1656"/>
    <w:rsid w:val="008D1677"/>
    <w:rsid w:val="008D1795"/>
    <w:rsid w:val="008D271C"/>
    <w:rsid w:val="008D298B"/>
    <w:rsid w:val="008D2F06"/>
    <w:rsid w:val="008D2F83"/>
    <w:rsid w:val="008D2FC0"/>
    <w:rsid w:val="008D32C2"/>
    <w:rsid w:val="008D3601"/>
    <w:rsid w:val="008D39DC"/>
    <w:rsid w:val="008D3E63"/>
    <w:rsid w:val="008D43B3"/>
    <w:rsid w:val="008D4D2B"/>
    <w:rsid w:val="008D516F"/>
    <w:rsid w:val="008D5382"/>
    <w:rsid w:val="008D570B"/>
    <w:rsid w:val="008D57D2"/>
    <w:rsid w:val="008D61C8"/>
    <w:rsid w:val="008D627F"/>
    <w:rsid w:val="008D642E"/>
    <w:rsid w:val="008D6CEC"/>
    <w:rsid w:val="008D6D58"/>
    <w:rsid w:val="008D6E21"/>
    <w:rsid w:val="008D703C"/>
    <w:rsid w:val="008D70A1"/>
    <w:rsid w:val="008D75D4"/>
    <w:rsid w:val="008D799B"/>
    <w:rsid w:val="008D7B20"/>
    <w:rsid w:val="008D7B40"/>
    <w:rsid w:val="008D7CAE"/>
    <w:rsid w:val="008D7DF9"/>
    <w:rsid w:val="008D7E5B"/>
    <w:rsid w:val="008D7F2C"/>
    <w:rsid w:val="008E054E"/>
    <w:rsid w:val="008E06E6"/>
    <w:rsid w:val="008E0D21"/>
    <w:rsid w:val="008E1108"/>
    <w:rsid w:val="008E18AB"/>
    <w:rsid w:val="008E1ADF"/>
    <w:rsid w:val="008E1B23"/>
    <w:rsid w:val="008E24DD"/>
    <w:rsid w:val="008E2776"/>
    <w:rsid w:val="008E2822"/>
    <w:rsid w:val="008E2CE5"/>
    <w:rsid w:val="008E3DAC"/>
    <w:rsid w:val="008E42B0"/>
    <w:rsid w:val="008E42B7"/>
    <w:rsid w:val="008E45FA"/>
    <w:rsid w:val="008E48F8"/>
    <w:rsid w:val="008E49A6"/>
    <w:rsid w:val="008E4C78"/>
    <w:rsid w:val="008E542A"/>
    <w:rsid w:val="008E5838"/>
    <w:rsid w:val="008E58A3"/>
    <w:rsid w:val="008E5B2F"/>
    <w:rsid w:val="008E5C14"/>
    <w:rsid w:val="008E61FB"/>
    <w:rsid w:val="008E64F4"/>
    <w:rsid w:val="008E658F"/>
    <w:rsid w:val="008E69CD"/>
    <w:rsid w:val="008E6A28"/>
    <w:rsid w:val="008E6C22"/>
    <w:rsid w:val="008E6C52"/>
    <w:rsid w:val="008E6D53"/>
    <w:rsid w:val="008E70E8"/>
    <w:rsid w:val="008E7E58"/>
    <w:rsid w:val="008E7E79"/>
    <w:rsid w:val="008E7E7E"/>
    <w:rsid w:val="008F0168"/>
    <w:rsid w:val="008F0196"/>
    <w:rsid w:val="008F029F"/>
    <w:rsid w:val="008F044E"/>
    <w:rsid w:val="008F0E29"/>
    <w:rsid w:val="008F1365"/>
    <w:rsid w:val="008F1674"/>
    <w:rsid w:val="008F16ED"/>
    <w:rsid w:val="008F19C7"/>
    <w:rsid w:val="008F1CA8"/>
    <w:rsid w:val="008F1E8D"/>
    <w:rsid w:val="008F2097"/>
    <w:rsid w:val="008F2140"/>
    <w:rsid w:val="008F294A"/>
    <w:rsid w:val="008F2A69"/>
    <w:rsid w:val="008F2DBE"/>
    <w:rsid w:val="008F2E4D"/>
    <w:rsid w:val="008F31DD"/>
    <w:rsid w:val="008F3288"/>
    <w:rsid w:val="008F331F"/>
    <w:rsid w:val="008F3740"/>
    <w:rsid w:val="008F375D"/>
    <w:rsid w:val="008F3B86"/>
    <w:rsid w:val="008F4057"/>
    <w:rsid w:val="008F4D34"/>
    <w:rsid w:val="008F501F"/>
    <w:rsid w:val="008F5298"/>
    <w:rsid w:val="008F576C"/>
    <w:rsid w:val="008F5E67"/>
    <w:rsid w:val="008F5ED4"/>
    <w:rsid w:val="008F6117"/>
    <w:rsid w:val="008F614F"/>
    <w:rsid w:val="008F6632"/>
    <w:rsid w:val="008F6812"/>
    <w:rsid w:val="008F7837"/>
    <w:rsid w:val="008F7892"/>
    <w:rsid w:val="008F7C27"/>
    <w:rsid w:val="0090074E"/>
    <w:rsid w:val="00900D06"/>
    <w:rsid w:val="00901014"/>
    <w:rsid w:val="00901030"/>
    <w:rsid w:val="0090116D"/>
    <w:rsid w:val="009014CC"/>
    <w:rsid w:val="00901638"/>
    <w:rsid w:val="00901832"/>
    <w:rsid w:val="00902455"/>
    <w:rsid w:val="009024A3"/>
    <w:rsid w:val="00902B79"/>
    <w:rsid w:val="00902C89"/>
    <w:rsid w:val="00902F9A"/>
    <w:rsid w:val="0090305D"/>
    <w:rsid w:val="00903460"/>
    <w:rsid w:val="009035AD"/>
    <w:rsid w:val="009036F3"/>
    <w:rsid w:val="00903BC8"/>
    <w:rsid w:val="00903C08"/>
    <w:rsid w:val="00903E15"/>
    <w:rsid w:val="00903F55"/>
    <w:rsid w:val="0090412E"/>
    <w:rsid w:val="00904483"/>
    <w:rsid w:val="009046DC"/>
    <w:rsid w:val="009049E8"/>
    <w:rsid w:val="00904E35"/>
    <w:rsid w:val="009052B2"/>
    <w:rsid w:val="00905541"/>
    <w:rsid w:val="00905569"/>
    <w:rsid w:val="00905AB1"/>
    <w:rsid w:val="00905D33"/>
    <w:rsid w:val="00905DFA"/>
    <w:rsid w:val="009060BF"/>
    <w:rsid w:val="00906E66"/>
    <w:rsid w:val="00906E94"/>
    <w:rsid w:val="00906EC6"/>
    <w:rsid w:val="00907039"/>
    <w:rsid w:val="009070A5"/>
    <w:rsid w:val="009070CC"/>
    <w:rsid w:val="009071AE"/>
    <w:rsid w:val="00907A05"/>
    <w:rsid w:val="00907C2C"/>
    <w:rsid w:val="00910286"/>
    <w:rsid w:val="00910679"/>
    <w:rsid w:val="00910A65"/>
    <w:rsid w:val="00910D77"/>
    <w:rsid w:val="009118D1"/>
    <w:rsid w:val="00911B3A"/>
    <w:rsid w:val="00911C32"/>
    <w:rsid w:val="00911ECB"/>
    <w:rsid w:val="00911FAC"/>
    <w:rsid w:val="00911FF9"/>
    <w:rsid w:val="009120DB"/>
    <w:rsid w:val="009122CA"/>
    <w:rsid w:val="0091235A"/>
    <w:rsid w:val="00912852"/>
    <w:rsid w:val="009134D3"/>
    <w:rsid w:val="009137B9"/>
    <w:rsid w:val="009138A6"/>
    <w:rsid w:val="00913A5A"/>
    <w:rsid w:val="00913C1A"/>
    <w:rsid w:val="00913E2C"/>
    <w:rsid w:val="009140CC"/>
    <w:rsid w:val="009149B4"/>
    <w:rsid w:val="00914FCE"/>
    <w:rsid w:val="009158A0"/>
    <w:rsid w:val="00915BB7"/>
    <w:rsid w:val="00915F2C"/>
    <w:rsid w:val="00916285"/>
    <w:rsid w:val="009163ED"/>
    <w:rsid w:val="00916F79"/>
    <w:rsid w:val="00917005"/>
    <w:rsid w:val="00917009"/>
    <w:rsid w:val="009177A9"/>
    <w:rsid w:val="0092035A"/>
    <w:rsid w:val="009205E0"/>
    <w:rsid w:val="009207BF"/>
    <w:rsid w:val="00920ABB"/>
    <w:rsid w:val="00920E0C"/>
    <w:rsid w:val="00920E7C"/>
    <w:rsid w:val="00920EF0"/>
    <w:rsid w:val="00921440"/>
    <w:rsid w:val="00921633"/>
    <w:rsid w:val="009222E7"/>
    <w:rsid w:val="0092238E"/>
    <w:rsid w:val="00922507"/>
    <w:rsid w:val="009227D1"/>
    <w:rsid w:val="009227E1"/>
    <w:rsid w:val="00922B8F"/>
    <w:rsid w:val="00922C44"/>
    <w:rsid w:val="00922EC9"/>
    <w:rsid w:val="00922F53"/>
    <w:rsid w:val="009235E2"/>
    <w:rsid w:val="00923BDB"/>
    <w:rsid w:val="009240CF"/>
    <w:rsid w:val="00924109"/>
    <w:rsid w:val="00924D9D"/>
    <w:rsid w:val="00924E12"/>
    <w:rsid w:val="00924F31"/>
    <w:rsid w:val="009250D4"/>
    <w:rsid w:val="009251DA"/>
    <w:rsid w:val="00925503"/>
    <w:rsid w:val="009257CA"/>
    <w:rsid w:val="00925D00"/>
    <w:rsid w:val="00926549"/>
    <w:rsid w:val="00926566"/>
    <w:rsid w:val="00926859"/>
    <w:rsid w:val="00926ECC"/>
    <w:rsid w:val="00927184"/>
    <w:rsid w:val="00927EF4"/>
    <w:rsid w:val="00927FC9"/>
    <w:rsid w:val="00930216"/>
    <w:rsid w:val="00930330"/>
    <w:rsid w:val="00930487"/>
    <w:rsid w:val="009305AD"/>
    <w:rsid w:val="00930932"/>
    <w:rsid w:val="00930AA5"/>
    <w:rsid w:val="00930AD2"/>
    <w:rsid w:val="00930BD7"/>
    <w:rsid w:val="00930F27"/>
    <w:rsid w:val="00930F79"/>
    <w:rsid w:val="00931070"/>
    <w:rsid w:val="00931579"/>
    <w:rsid w:val="009316A3"/>
    <w:rsid w:val="0093174D"/>
    <w:rsid w:val="009317C4"/>
    <w:rsid w:val="00931C03"/>
    <w:rsid w:val="00931CBA"/>
    <w:rsid w:val="00931D06"/>
    <w:rsid w:val="00931D30"/>
    <w:rsid w:val="009322E4"/>
    <w:rsid w:val="00932543"/>
    <w:rsid w:val="00932732"/>
    <w:rsid w:val="009328CC"/>
    <w:rsid w:val="009329D8"/>
    <w:rsid w:val="00932F16"/>
    <w:rsid w:val="00932F9B"/>
    <w:rsid w:val="00933137"/>
    <w:rsid w:val="00933272"/>
    <w:rsid w:val="0093353F"/>
    <w:rsid w:val="0093392D"/>
    <w:rsid w:val="00933A2D"/>
    <w:rsid w:val="00933EF1"/>
    <w:rsid w:val="009344A6"/>
    <w:rsid w:val="0093477B"/>
    <w:rsid w:val="0093482E"/>
    <w:rsid w:val="00934AA3"/>
    <w:rsid w:val="009350FD"/>
    <w:rsid w:val="00935785"/>
    <w:rsid w:val="00935787"/>
    <w:rsid w:val="00935AB6"/>
    <w:rsid w:val="00935C9E"/>
    <w:rsid w:val="00935DBF"/>
    <w:rsid w:val="00936268"/>
    <w:rsid w:val="00936473"/>
    <w:rsid w:val="009364C4"/>
    <w:rsid w:val="009364DF"/>
    <w:rsid w:val="00936646"/>
    <w:rsid w:val="009367ED"/>
    <w:rsid w:val="0093705E"/>
    <w:rsid w:val="009372C8"/>
    <w:rsid w:val="009379A2"/>
    <w:rsid w:val="00937BDE"/>
    <w:rsid w:val="00937C20"/>
    <w:rsid w:val="00937ED9"/>
    <w:rsid w:val="00940094"/>
    <w:rsid w:val="009404DB"/>
    <w:rsid w:val="0094107C"/>
    <w:rsid w:val="009412C0"/>
    <w:rsid w:val="00941C01"/>
    <w:rsid w:val="00941F52"/>
    <w:rsid w:val="00941FFC"/>
    <w:rsid w:val="00942083"/>
    <w:rsid w:val="00942654"/>
    <w:rsid w:val="009427A7"/>
    <w:rsid w:val="00942B38"/>
    <w:rsid w:val="00942C14"/>
    <w:rsid w:val="0094303E"/>
    <w:rsid w:val="009432B4"/>
    <w:rsid w:val="009432DC"/>
    <w:rsid w:val="00943529"/>
    <w:rsid w:val="009435A6"/>
    <w:rsid w:val="009436D6"/>
    <w:rsid w:val="00943BC5"/>
    <w:rsid w:val="00943C11"/>
    <w:rsid w:val="0094449C"/>
    <w:rsid w:val="009446E2"/>
    <w:rsid w:val="00944761"/>
    <w:rsid w:val="0094502A"/>
    <w:rsid w:val="00945108"/>
    <w:rsid w:val="0094620A"/>
    <w:rsid w:val="00946649"/>
    <w:rsid w:val="00946710"/>
    <w:rsid w:val="00946808"/>
    <w:rsid w:val="00946E5A"/>
    <w:rsid w:val="009471E5"/>
    <w:rsid w:val="00947A5A"/>
    <w:rsid w:val="009502A6"/>
    <w:rsid w:val="0095038B"/>
    <w:rsid w:val="00950926"/>
    <w:rsid w:val="00950A4D"/>
    <w:rsid w:val="00951121"/>
    <w:rsid w:val="0095115F"/>
    <w:rsid w:val="00951187"/>
    <w:rsid w:val="009517CD"/>
    <w:rsid w:val="0095195D"/>
    <w:rsid w:val="00951DC9"/>
    <w:rsid w:val="009520F6"/>
    <w:rsid w:val="00952130"/>
    <w:rsid w:val="0095255F"/>
    <w:rsid w:val="00952DB7"/>
    <w:rsid w:val="00952FFB"/>
    <w:rsid w:val="00953465"/>
    <w:rsid w:val="00953ACF"/>
    <w:rsid w:val="00954000"/>
    <w:rsid w:val="0095421B"/>
    <w:rsid w:val="009543E0"/>
    <w:rsid w:val="009546F9"/>
    <w:rsid w:val="00954E52"/>
    <w:rsid w:val="00954F42"/>
    <w:rsid w:val="0095500E"/>
    <w:rsid w:val="009554A9"/>
    <w:rsid w:val="0095565E"/>
    <w:rsid w:val="009556E8"/>
    <w:rsid w:val="00955B46"/>
    <w:rsid w:val="00955D06"/>
    <w:rsid w:val="00955E23"/>
    <w:rsid w:val="00955FB9"/>
    <w:rsid w:val="009561B7"/>
    <w:rsid w:val="00956238"/>
    <w:rsid w:val="0095649B"/>
    <w:rsid w:val="009569D4"/>
    <w:rsid w:val="00956A87"/>
    <w:rsid w:val="00956C9F"/>
    <w:rsid w:val="00957693"/>
    <w:rsid w:val="00957E26"/>
    <w:rsid w:val="0096015D"/>
    <w:rsid w:val="009601A5"/>
    <w:rsid w:val="009602CC"/>
    <w:rsid w:val="00960705"/>
    <w:rsid w:val="00960AE1"/>
    <w:rsid w:val="00960DA5"/>
    <w:rsid w:val="009610CA"/>
    <w:rsid w:val="0096186D"/>
    <w:rsid w:val="00961AD9"/>
    <w:rsid w:val="00961DF6"/>
    <w:rsid w:val="00962072"/>
    <w:rsid w:val="00962081"/>
    <w:rsid w:val="0096220B"/>
    <w:rsid w:val="0096292A"/>
    <w:rsid w:val="009629DE"/>
    <w:rsid w:val="00962C14"/>
    <w:rsid w:val="00962D15"/>
    <w:rsid w:val="009631BF"/>
    <w:rsid w:val="0096343A"/>
    <w:rsid w:val="009634B7"/>
    <w:rsid w:val="009638F1"/>
    <w:rsid w:val="00963A2A"/>
    <w:rsid w:val="00963A9A"/>
    <w:rsid w:val="00963B85"/>
    <w:rsid w:val="009648F5"/>
    <w:rsid w:val="00964964"/>
    <w:rsid w:val="00964ACD"/>
    <w:rsid w:val="0096524E"/>
    <w:rsid w:val="00965576"/>
    <w:rsid w:val="00965736"/>
    <w:rsid w:val="00965BC7"/>
    <w:rsid w:val="00965CA4"/>
    <w:rsid w:val="00965D6A"/>
    <w:rsid w:val="00966028"/>
    <w:rsid w:val="00967304"/>
    <w:rsid w:val="00967312"/>
    <w:rsid w:val="00967533"/>
    <w:rsid w:val="00967699"/>
    <w:rsid w:val="00967AD8"/>
    <w:rsid w:val="00967B24"/>
    <w:rsid w:val="00967C4B"/>
    <w:rsid w:val="00967F72"/>
    <w:rsid w:val="009700E9"/>
    <w:rsid w:val="009704F4"/>
    <w:rsid w:val="00970795"/>
    <w:rsid w:val="00970971"/>
    <w:rsid w:val="00970DF0"/>
    <w:rsid w:val="009710D7"/>
    <w:rsid w:val="00971506"/>
    <w:rsid w:val="00971538"/>
    <w:rsid w:val="009715D7"/>
    <w:rsid w:val="009716BB"/>
    <w:rsid w:val="00971CC1"/>
    <w:rsid w:val="00971D8F"/>
    <w:rsid w:val="009720DC"/>
    <w:rsid w:val="00972F17"/>
    <w:rsid w:val="00973333"/>
    <w:rsid w:val="00973400"/>
    <w:rsid w:val="00973970"/>
    <w:rsid w:val="009739DA"/>
    <w:rsid w:val="00973D83"/>
    <w:rsid w:val="00973E4C"/>
    <w:rsid w:val="009742F6"/>
    <w:rsid w:val="009745AE"/>
    <w:rsid w:val="00974CB9"/>
    <w:rsid w:val="00974FD8"/>
    <w:rsid w:val="00975301"/>
    <w:rsid w:val="009759AD"/>
    <w:rsid w:val="00975C58"/>
    <w:rsid w:val="00975CDE"/>
    <w:rsid w:val="00975F97"/>
    <w:rsid w:val="0097623A"/>
    <w:rsid w:val="00976B17"/>
    <w:rsid w:val="0097767C"/>
    <w:rsid w:val="009776CE"/>
    <w:rsid w:val="00977962"/>
    <w:rsid w:val="009779A3"/>
    <w:rsid w:val="00980550"/>
    <w:rsid w:val="00980960"/>
    <w:rsid w:val="00980998"/>
    <w:rsid w:val="00980B75"/>
    <w:rsid w:val="009815C4"/>
    <w:rsid w:val="0098190C"/>
    <w:rsid w:val="009819C0"/>
    <w:rsid w:val="00981DD0"/>
    <w:rsid w:val="00982096"/>
    <w:rsid w:val="0098243F"/>
    <w:rsid w:val="0098256C"/>
    <w:rsid w:val="00982692"/>
    <w:rsid w:val="00982FF1"/>
    <w:rsid w:val="00983230"/>
    <w:rsid w:val="0098362A"/>
    <w:rsid w:val="009837AC"/>
    <w:rsid w:val="009837D9"/>
    <w:rsid w:val="009838F4"/>
    <w:rsid w:val="00983ADB"/>
    <w:rsid w:val="00983AFA"/>
    <w:rsid w:val="00983DA8"/>
    <w:rsid w:val="00983F1D"/>
    <w:rsid w:val="0098429E"/>
    <w:rsid w:val="009842FF"/>
    <w:rsid w:val="00984487"/>
    <w:rsid w:val="009845AB"/>
    <w:rsid w:val="00984D82"/>
    <w:rsid w:val="00985235"/>
    <w:rsid w:val="00985322"/>
    <w:rsid w:val="00986069"/>
    <w:rsid w:val="00986106"/>
    <w:rsid w:val="00986159"/>
    <w:rsid w:val="009861B2"/>
    <w:rsid w:val="00986676"/>
    <w:rsid w:val="0098668F"/>
    <w:rsid w:val="009869B4"/>
    <w:rsid w:val="00986C51"/>
    <w:rsid w:val="00987880"/>
    <w:rsid w:val="009878ED"/>
    <w:rsid w:val="00987CD5"/>
    <w:rsid w:val="009903CD"/>
    <w:rsid w:val="00990407"/>
    <w:rsid w:val="00990437"/>
    <w:rsid w:val="0099050E"/>
    <w:rsid w:val="00990759"/>
    <w:rsid w:val="00990A63"/>
    <w:rsid w:val="00990BD0"/>
    <w:rsid w:val="009913C3"/>
    <w:rsid w:val="00991486"/>
    <w:rsid w:val="00991BD0"/>
    <w:rsid w:val="00991F8F"/>
    <w:rsid w:val="00992048"/>
    <w:rsid w:val="0099215F"/>
    <w:rsid w:val="0099247B"/>
    <w:rsid w:val="00992A85"/>
    <w:rsid w:val="00992AA6"/>
    <w:rsid w:val="00992F25"/>
    <w:rsid w:val="00993664"/>
    <w:rsid w:val="009938D0"/>
    <w:rsid w:val="009938EC"/>
    <w:rsid w:val="00993E03"/>
    <w:rsid w:val="00994998"/>
    <w:rsid w:val="00994EB0"/>
    <w:rsid w:val="009952CD"/>
    <w:rsid w:val="00995493"/>
    <w:rsid w:val="00995C66"/>
    <w:rsid w:val="00995D1D"/>
    <w:rsid w:val="00995D3A"/>
    <w:rsid w:val="00995E8F"/>
    <w:rsid w:val="00996739"/>
    <w:rsid w:val="00997062"/>
    <w:rsid w:val="0099712B"/>
    <w:rsid w:val="009975C5"/>
    <w:rsid w:val="00997A72"/>
    <w:rsid w:val="00997ACB"/>
    <w:rsid w:val="009A0236"/>
    <w:rsid w:val="009A033A"/>
    <w:rsid w:val="009A03B8"/>
    <w:rsid w:val="009A06B8"/>
    <w:rsid w:val="009A074A"/>
    <w:rsid w:val="009A0AA4"/>
    <w:rsid w:val="009A10A6"/>
    <w:rsid w:val="009A184A"/>
    <w:rsid w:val="009A18E6"/>
    <w:rsid w:val="009A1EBD"/>
    <w:rsid w:val="009A1F06"/>
    <w:rsid w:val="009A1F22"/>
    <w:rsid w:val="009A24FA"/>
    <w:rsid w:val="009A2514"/>
    <w:rsid w:val="009A2AEE"/>
    <w:rsid w:val="009A2C71"/>
    <w:rsid w:val="009A2CF8"/>
    <w:rsid w:val="009A33D4"/>
    <w:rsid w:val="009A35E7"/>
    <w:rsid w:val="009A36CF"/>
    <w:rsid w:val="009A3765"/>
    <w:rsid w:val="009A38AF"/>
    <w:rsid w:val="009A3963"/>
    <w:rsid w:val="009A3A76"/>
    <w:rsid w:val="009A3AE7"/>
    <w:rsid w:val="009A3B81"/>
    <w:rsid w:val="009A3BB6"/>
    <w:rsid w:val="009A3D05"/>
    <w:rsid w:val="009A3F73"/>
    <w:rsid w:val="009A4173"/>
    <w:rsid w:val="009A4534"/>
    <w:rsid w:val="009A4685"/>
    <w:rsid w:val="009A46D9"/>
    <w:rsid w:val="009A4D2C"/>
    <w:rsid w:val="009A4D60"/>
    <w:rsid w:val="009A4FE7"/>
    <w:rsid w:val="009A5052"/>
    <w:rsid w:val="009A58FF"/>
    <w:rsid w:val="009A6A3B"/>
    <w:rsid w:val="009A6D73"/>
    <w:rsid w:val="009A7551"/>
    <w:rsid w:val="009A76C8"/>
    <w:rsid w:val="009A77AC"/>
    <w:rsid w:val="009A79D0"/>
    <w:rsid w:val="009A7CEB"/>
    <w:rsid w:val="009B0989"/>
    <w:rsid w:val="009B0C33"/>
    <w:rsid w:val="009B0E08"/>
    <w:rsid w:val="009B0EEC"/>
    <w:rsid w:val="009B1219"/>
    <w:rsid w:val="009B152F"/>
    <w:rsid w:val="009B155A"/>
    <w:rsid w:val="009B172B"/>
    <w:rsid w:val="009B2092"/>
    <w:rsid w:val="009B298A"/>
    <w:rsid w:val="009B3978"/>
    <w:rsid w:val="009B3AFB"/>
    <w:rsid w:val="009B3CF5"/>
    <w:rsid w:val="009B3F1E"/>
    <w:rsid w:val="009B3F5C"/>
    <w:rsid w:val="009B416D"/>
    <w:rsid w:val="009B4406"/>
    <w:rsid w:val="009B4F33"/>
    <w:rsid w:val="009B4F68"/>
    <w:rsid w:val="009B5243"/>
    <w:rsid w:val="009B5456"/>
    <w:rsid w:val="009B5639"/>
    <w:rsid w:val="009B58AB"/>
    <w:rsid w:val="009B5A0D"/>
    <w:rsid w:val="009B5CF2"/>
    <w:rsid w:val="009B5F2C"/>
    <w:rsid w:val="009B646D"/>
    <w:rsid w:val="009B673E"/>
    <w:rsid w:val="009B6AF3"/>
    <w:rsid w:val="009B6B13"/>
    <w:rsid w:val="009B6F8D"/>
    <w:rsid w:val="009B7273"/>
    <w:rsid w:val="009B7A2D"/>
    <w:rsid w:val="009B7CEC"/>
    <w:rsid w:val="009C0092"/>
    <w:rsid w:val="009C01B8"/>
    <w:rsid w:val="009C034A"/>
    <w:rsid w:val="009C06B3"/>
    <w:rsid w:val="009C0D56"/>
    <w:rsid w:val="009C1545"/>
    <w:rsid w:val="009C1A8C"/>
    <w:rsid w:val="009C1F11"/>
    <w:rsid w:val="009C27FA"/>
    <w:rsid w:val="009C3417"/>
    <w:rsid w:val="009C3867"/>
    <w:rsid w:val="009C3A93"/>
    <w:rsid w:val="009C3C05"/>
    <w:rsid w:val="009C3D50"/>
    <w:rsid w:val="009C4412"/>
    <w:rsid w:val="009C44C2"/>
    <w:rsid w:val="009C4648"/>
    <w:rsid w:val="009C4BC4"/>
    <w:rsid w:val="009C4BF6"/>
    <w:rsid w:val="009C54B2"/>
    <w:rsid w:val="009C5AFD"/>
    <w:rsid w:val="009C63DF"/>
    <w:rsid w:val="009C6B09"/>
    <w:rsid w:val="009C76E0"/>
    <w:rsid w:val="009C7751"/>
    <w:rsid w:val="009C7DB0"/>
    <w:rsid w:val="009D0377"/>
    <w:rsid w:val="009D06B7"/>
    <w:rsid w:val="009D0BC0"/>
    <w:rsid w:val="009D1081"/>
    <w:rsid w:val="009D11E1"/>
    <w:rsid w:val="009D12A0"/>
    <w:rsid w:val="009D12E4"/>
    <w:rsid w:val="009D16F6"/>
    <w:rsid w:val="009D1E27"/>
    <w:rsid w:val="009D1F84"/>
    <w:rsid w:val="009D2213"/>
    <w:rsid w:val="009D231F"/>
    <w:rsid w:val="009D2666"/>
    <w:rsid w:val="009D298C"/>
    <w:rsid w:val="009D29B4"/>
    <w:rsid w:val="009D2F20"/>
    <w:rsid w:val="009D2F86"/>
    <w:rsid w:val="009D32BE"/>
    <w:rsid w:val="009D37AA"/>
    <w:rsid w:val="009D3BD2"/>
    <w:rsid w:val="009D40D4"/>
    <w:rsid w:val="009D46CF"/>
    <w:rsid w:val="009D47F7"/>
    <w:rsid w:val="009D4F83"/>
    <w:rsid w:val="009D51A0"/>
    <w:rsid w:val="009D5375"/>
    <w:rsid w:val="009D54D6"/>
    <w:rsid w:val="009D55FC"/>
    <w:rsid w:val="009D59A1"/>
    <w:rsid w:val="009D615C"/>
    <w:rsid w:val="009D6177"/>
    <w:rsid w:val="009D620E"/>
    <w:rsid w:val="009D634C"/>
    <w:rsid w:val="009D656C"/>
    <w:rsid w:val="009D73E0"/>
    <w:rsid w:val="009D7779"/>
    <w:rsid w:val="009D7830"/>
    <w:rsid w:val="009D7B98"/>
    <w:rsid w:val="009D7EAF"/>
    <w:rsid w:val="009E007F"/>
    <w:rsid w:val="009E00FD"/>
    <w:rsid w:val="009E0253"/>
    <w:rsid w:val="009E033C"/>
    <w:rsid w:val="009E0640"/>
    <w:rsid w:val="009E1DD0"/>
    <w:rsid w:val="009E208C"/>
    <w:rsid w:val="009E2EC0"/>
    <w:rsid w:val="009E323D"/>
    <w:rsid w:val="009E361F"/>
    <w:rsid w:val="009E4350"/>
    <w:rsid w:val="009E4C1D"/>
    <w:rsid w:val="009E4CE1"/>
    <w:rsid w:val="009E52E0"/>
    <w:rsid w:val="009E55EB"/>
    <w:rsid w:val="009E588E"/>
    <w:rsid w:val="009E5C03"/>
    <w:rsid w:val="009E5CB1"/>
    <w:rsid w:val="009E5E77"/>
    <w:rsid w:val="009E660F"/>
    <w:rsid w:val="009E691E"/>
    <w:rsid w:val="009E6C62"/>
    <w:rsid w:val="009E6CFB"/>
    <w:rsid w:val="009E6E06"/>
    <w:rsid w:val="009E720F"/>
    <w:rsid w:val="009E7246"/>
    <w:rsid w:val="009F009C"/>
    <w:rsid w:val="009F029D"/>
    <w:rsid w:val="009F06A5"/>
    <w:rsid w:val="009F0CE5"/>
    <w:rsid w:val="009F0E75"/>
    <w:rsid w:val="009F118E"/>
    <w:rsid w:val="009F2078"/>
    <w:rsid w:val="009F2301"/>
    <w:rsid w:val="009F2735"/>
    <w:rsid w:val="009F2785"/>
    <w:rsid w:val="009F29A5"/>
    <w:rsid w:val="009F2FEF"/>
    <w:rsid w:val="009F3374"/>
    <w:rsid w:val="009F37CA"/>
    <w:rsid w:val="009F3827"/>
    <w:rsid w:val="009F3B92"/>
    <w:rsid w:val="009F3D4D"/>
    <w:rsid w:val="009F5939"/>
    <w:rsid w:val="009F5954"/>
    <w:rsid w:val="009F5D17"/>
    <w:rsid w:val="009F5E93"/>
    <w:rsid w:val="009F5EB3"/>
    <w:rsid w:val="009F6068"/>
    <w:rsid w:val="009F632D"/>
    <w:rsid w:val="009F6578"/>
    <w:rsid w:val="009F662A"/>
    <w:rsid w:val="009F6F76"/>
    <w:rsid w:val="009F705B"/>
    <w:rsid w:val="009F70F5"/>
    <w:rsid w:val="009F765A"/>
    <w:rsid w:val="009F787F"/>
    <w:rsid w:val="009F7942"/>
    <w:rsid w:val="00A00023"/>
    <w:rsid w:val="00A0014A"/>
    <w:rsid w:val="00A001B0"/>
    <w:rsid w:val="00A0029B"/>
    <w:rsid w:val="00A002D1"/>
    <w:rsid w:val="00A00304"/>
    <w:rsid w:val="00A00B62"/>
    <w:rsid w:val="00A00C49"/>
    <w:rsid w:val="00A0134C"/>
    <w:rsid w:val="00A015CF"/>
    <w:rsid w:val="00A016D1"/>
    <w:rsid w:val="00A016E6"/>
    <w:rsid w:val="00A017FF"/>
    <w:rsid w:val="00A0198F"/>
    <w:rsid w:val="00A01BBA"/>
    <w:rsid w:val="00A01C2E"/>
    <w:rsid w:val="00A02382"/>
    <w:rsid w:val="00A03122"/>
    <w:rsid w:val="00A031BA"/>
    <w:rsid w:val="00A0425A"/>
    <w:rsid w:val="00A04AA7"/>
    <w:rsid w:val="00A04C31"/>
    <w:rsid w:val="00A05393"/>
    <w:rsid w:val="00A0544B"/>
    <w:rsid w:val="00A055EC"/>
    <w:rsid w:val="00A057EC"/>
    <w:rsid w:val="00A058F0"/>
    <w:rsid w:val="00A05A04"/>
    <w:rsid w:val="00A05CD6"/>
    <w:rsid w:val="00A06253"/>
    <w:rsid w:val="00A06738"/>
    <w:rsid w:val="00A06A1D"/>
    <w:rsid w:val="00A06D38"/>
    <w:rsid w:val="00A06F85"/>
    <w:rsid w:val="00A06FB1"/>
    <w:rsid w:val="00A07205"/>
    <w:rsid w:val="00A073C5"/>
    <w:rsid w:val="00A07556"/>
    <w:rsid w:val="00A076DD"/>
    <w:rsid w:val="00A076E8"/>
    <w:rsid w:val="00A078AB"/>
    <w:rsid w:val="00A078CA"/>
    <w:rsid w:val="00A07912"/>
    <w:rsid w:val="00A07991"/>
    <w:rsid w:val="00A101DB"/>
    <w:rsid w:val="00A104B4"/>
    <w:rsid w:val="00A105F2"/>
    <w:rsid w:val="00A106B4"/>
    <w:rsid w:val="00A10E6C"/>
    <w:rsid w:val="00A11000"/>
    <w:rsid w:val="00A1207A"/>
    <w:rsid w:val="00A12527"/>
    <w:rsid w:val="00A1253A"/>
    <w:rsid w:val="00A12671"/>
    <w:rsid w:val="00A12ACA"/>
    <w:rsid w:val="00A12AF5"/>
    <w:rsid w:val="00A12BCE"/>
    <w:rsid w:val="00A12CCE"/>
    <w:rsid w:val="00A12CF6"/>
    <w:rsid w:val="00A12D98"/>
    <w:rsid w:val="00A12E29"/>
    <w:rsid w:val="00A1350F"/>
    <w:rsid w:val="00A137F8"/>
    <w:rsid w:val="00A138CC"/>
    <w:rsid w:val="00A13A5C"/>
    <w:rsid w:val="00A13DC4"/>
    <w:rsid w:val="00A13ED9"/>
    <w:rsid w:val="00A14484"/>
    <w:rsid w:val="00A14520"/>
    <w:rsid w:val="00A148BE"/>
    <w:rsid w:val="00A1498A"/>
    <w:rsid w:val="00A14B90"/>
    <w:rsid w:val="00A150CF"/>
    <w:rsid w:val="00A153A5"/>
    <w:rsid w:val="00A1588F"/>
    <w:rsid w:val="00A1599F"/>
    <w:rsid w:val="00A1612A"/>
    <w:rsid w:val="00A16412"/>
    <w:rsid w:val="00A16506"/>
    <w:rsid w:val="00A1658F"/>
    <w:rsid w:val="00A16758"/>
    <w:rsid w:val="00A16902"/>
    <w:rsid w:val="00A172D0"/>
    <w:rsid w:val="00A17956"/>
    <w:rsid w:val="00A17A31"/>
    <w:rsid w:val="00A17CE2"/>
    <w:rsid w:val="00A2057A"/>
    <w:rsid w:val="00A209CC"/>
    <w:rsid w:val="00A20A75"/>
    <w:rsid w:val="00A20A96"/>
    <w:rsid w:val="00A20DD6"/>
    <w:rsid w:val="00A213B7"/>
    <w:rsid w:val="00A21454"/>
    <w:rsid w:val="00A2145C"/>
    <w:rsid w:val="00A21524"/>
    <w:rsid w:val="00A21587"/>
    <w:rsid w:val="00A21719"/>
    <w:rsid w:val="00A217A2"/>
    <w:rsid w:val="00A21836"/>
    <w:rsid w:val="00A218CA"/>
    <w:rsid w:val="00A21963"/>
    <w:rsid w:val="00A21DD4"/>
    <w:rsid w:val="00A21E45"/>
    <w:rsid w:val="00A21E4B"/>
    <w:rsid w:val="00A21FDF"/>
    <w:rsid w:val="00A229B7"/>
    <w:rsid w:val="00A22C0C"/>
    <w:rsid w:val="00A22E10"/>
    <w:rsid w:val="00A230B2"/>
    <w:rsid w:val="00A2356E"/>
    <w:rsid w:val="00A235C3"/>
    <w:rsid w:val="00A2369E"/>
    <w:rsid w:val="00A238D5"/>
    <w:rsid w:val="00A23CAB"/>
    <w:rsid w:val="00A23DC9"/>
    <w:rsid w:val="00A24563"/>
    <w:rsid w:val="00A24938"/>
    <w:rsid w:val="00A25162"/>
    <w:rsid w:val="00A25295"/>
    <w:rsid w:val="00A252B5"/>
    <w:rsid w:val="00A254AD"/>
    <w:rsid w:val="00A2581D"/>
    <w:rsid w:val="00A2590F"/>
    <w:rsid w:val="00A25AAC"/>
    <w:rsid w:val="00A25E8B"/>
    <w:rsid w:val="00A26254"/>
    <w:rsid w:val="00A262B4"/>
    <w:rsid w:val="00A26512"/>
    <w:rsid w:val="00A268AF"/>
    <w:rsid w:val="00A26A44"/>
    <w:rsid w:val="00A270E3"/>
    <w:rsid w:val="00A2740B"/>
    <w:rsid w:val="00A27490"/>
    <w:rsid w:val="00A277CB"/>
    <w:rsid w:val="00A27D56"/>
    <w:rsid w:val="00A27E4C"/>
    <w:rsid w:val="00A3015E"/>
    <w:rsid w:val="00A3041C"/>
    <w:rsid w:val="00A30ABC"/>
    <w:rsid w:val="00A30E3F"/>
    <w:rsid w:val="00A30E49"/>
    <w:rsid w:val="00A31590"/>
    <w:rsid w:val="00A31ABC"/>
    <w:rsid w:val="00A31E70"/>
    <w:rsid w:val="00A3220A"/>
    <w:rsid w:val="00A32226"/>
    <w:rsid w:val="00A3247F"/>
    <w:rsid w:val="00A324A2"/>
    <w:rsid w:val="00A32518"/>
    <w:rsid w:val="00A32567"/>
    <w:rsid w:val="00A327F2"/>
    <w:rsid w:val="00A32A9B"/>
    <w:rsid w:val="00A331C5"/>
    <w:rsid w:val="00A334D6"/>
    <w:rsid w:val="00A33C54"/>
    <w:rsid w:val="00A33D29"/>
    <w:rsid w:val="00A34312"/>
    <w:rsid w:val="00A3435D"/>
    <w:rsid w:val="00A344BD"/>
    <w:rsid w:val="00A34707"/>
    <w:rsid w:val="00A34C36"/>
    <w:rsid w:val="00A3518D"/>
    <w:rsid w:val="00A3560F"/>
    <w:rsid w:val="00A356F0"/>
    <w:rsid w:val="00A35859"/>
    <w:rsid w:val="00A35E33"/>
    <w:rsid w:val="00A361A9"/>
    <w:rsid w:val="00A3675F"/>
    <w:rsid w:val="00A36BC8"/>
    <w:rsid w:val="00A36D37"/>
    <w:rsid w:val="00A36E84"/>
    <w:rsid w:val="00A3716E"/>
    <w:rsid w:val="00A378BB"/>
    <w:rsid w:val="00A37C11"/>
    <w:rsid w:val="00A37E6B"/>
    <w:rsid w:val="00A37F11"/>
    <w:rsid w:val="00A4008E"/>
    <w:rsid w:val="00A402B5"/>
    <w:rsid w:val="00A4051D"/>
    <w:rsid w:val="00A40648"/>
    <w:rsid w:val="00A40A20"/>
    <w:rsid w:val="00A40DF9"/>
    <w:rsid w:val="00A4142C"/>
    <w:rsid w:val="00A41467"/>
    <w:rsid w:val="00A4181E"/>
    <w:rsid w:val="00A41D00"/>
    <w:rsid w:val="00A41EF0"/>
    <w:rsid w:val="00A42645"/>
    <w:rsid w:val="00A43107"/>
    <w:rsid w:val="00A434B7"/>
    <w:rsid w:val="00A43D72"/>
    <w:rsid w:val="00A447DD"/>
    <w:rsid w:val="00A44930"/>
    <w:rsid w:val="00A44A00"/>
    <w:rsid w:val="00A44ED3"/>
    <w:rsid w:val="00A44F4F"/>
    <w:rsid w:val="00A45503"/>
    <w:rsid w:val="00A46269"/>
    <w:rsid w:val="00A462DC"/>
    <w:rsid w:val="00A46374"/>
    <w:rsid w:val="00A47498"/>
    <w:rsid w:val="00A4799D"/>
    <w:rsid w:val="00A500AD"/>
    <w:rsid w:val="00A50146"/>
    <w:rsid w:val="00A506AD"/>
    <w:rsid w:val="00A50C28"/>
    <w:rsid w:val="00A50E8C"/>
    <w:rsid w:val="00A50F8B"/>
    <w:rsid w:val="00A50FF3"/>
    <w:rsid w:val="00A51031"/>
    <w:rsid w:val="00A51075"/>
    <w:rsid w:val="00A51810"/>
    <w:rsid w:val="00A51C6C"/>
    <w:rsid w:val="00A51FF0"/>
    <w:rsid w:val="00A52026"/>
    <w:rsid w:val="00A52111"/>
    <w:rsid w:val="00A523A2"/>
    <w:rsid w:val="00A52CB4"/>
    <w:rsid w:val="00A52EAA"/>
    <w:rsid w:val="00A531C2"/>
    <w:rsid w:val="00A53231"/>
    <w:rsid w:val="00A5333D"/>
    <w:rsid w:val="00A53373"/>
    <w:rsid w:val="00A53827"/>
    <w:rsid w:val="00A5389D"/>
    <w:rsid w:val="00A538F0"/>
    <w:rsid w:val="00A547A9"/>
    <w:rsid w:val="00A54ACF"/>
    <w:rsid w:val="00A54BA4"/>
    <w:rsid w:val="00A54C3D"/>
    <w:rsid w:val="00A54F19"/>
    <w:rsid w:val="00A55021"/>
    <w:rsid w:val="00A5555E"/>
    <w:rsid w:val="00A55AAF"/>
    <w:rsid w:val="00A567B1"/>
    <w:rsid w:val="00A567FC"/>
    <w:rsid w:val="00A56B8B"/>
    <w:rsid w:val="00A56BA8"/>
    <w:rsid w:val="00A56EDD"/>
    <w:rsid w:val="00A57015"/>
    <w:rsid w:val="00A570AF"/>
    <w:rsid w:val="00A57260"/>
    <w:rsid w:val="00A5742B"/>
    <w:rsid w:val="00A57AD2"/>
    <w:rsid w:val="00A57B1B"/>
    <w:rsid w:val="00A57EC9"/>
    <w:rsid w:val="00A57F5A"/>
    <w:rsid w:val="00A601CE"/>
    <w:rsid w:val="00A6072B"/>
    <w:rsid w:val="00A60C49"/>
    <w:rsid w:val="00A60FCE"/>
    <w:rsid w:val="00A61121"/>
    <w:rsid w:val="00A611B9"/>
    <w:rsid w:val="00A61931"/>
    <w:rsid w:val="00A619E1"/>
    <w:rsid w:val="00A61D81"/>
    <w:rsid w:val="00A620B2"/>
    <w:rsid w:val="00A626C3"/>
    <w:rsid w:val="00A62A4B"/>
    <w:rsid w:val="00A62AB6"/>
    <w:rsid w:val="00A631D5"/>
    <w:rsid w:val="00A6334D"/>
    <w:rsid w:val="00A63A29"/>
    <w:rsid w:val="00A63A57"/>
    <w:rsid w:val="00A63B8B"/>
    <w:rsid w:val="00A63DDF"/>
    <w:rsid w:val="00A6414B"/>
    <w:rsid w:val="00A64377"/>
    <w:rsid w:val="00A64503"/>
    <w:rsid w:val="00A64571"/>
    <w:rsid w:val="00A64815"/>
    <w:rsid w:val="00A64CC4"/>
    <w:rsid w:val="00A64E83"/>
    <w:rsid w:val="00A65060"/>
    <w:rsid w:val="00A65690"/>
    <w:rsid w:val="00A65C49"/>
    <w:rsid w:val="00A65D1D"/>
    <w:rsid w:val="00A65DDF"/>
    <w:rsid w:val="00A6637C"/>
    <w:rsid w:val="00A665E4"/>
    <w:rsid w:val="00A6682D"/>
    <w:rsid w:val="00A66986"/>
    <w:rsid w:val="00A66B4B"/>
    <w:rsid w:val="00A66D97"/>
    <w:rsid w:val="00A66DA5"/>
    <w:rsid w:val="00A66F74"/>
    <w:rsid w:val="00A674C9"/>
    <w:rsid w:val="00A677DF"/>
    <w:rsid w:val="00A6788E"/>
    <w:rsid w:val="00A70356"/>
    <w:rsid w:val="00A707F9"/>
    <w:rsid w:val="00A711F2"/>
    <w:rsid w:val="00A712C2"/>
    <w:rsid w:val="00A71769"/>
    <w:rsid w:val="00A717B0"/>
    <w:rsid w:val="00A71BBB"/>
    <w:rsid w:val="00A71F2B"/>
    <w:rsid w:val="00A71F8D"/>
    <w:rsid w:val="00A72184"/>
    <w:rsid w:val="00A7265A"/>
    <w:rsid w:val="00A7281E"/>
    <w:rsid w:val="00A728E6"/>
    <w:rsid w:val="00A729DC"/>
    <w:rsid w:val="00A72D51"/>
    <w:rsid w:val="00A732C1"/>
    <w:rsid w:val="00A73548"/>
    <w:rsid w:val="00A73654"/>
    <w:rsid w:val="00A73667"/>
    <w:rsid w:val="00A74327"/>
    <w:rsid w:val="00A745B7"/>
    <w:rsid w:val="00A745F5"/>
    <w:rsid w:val="00A748BF"/>
    <w:rsid w:val="00A74A00"/>
    <w:rsid w:val="00A75007"/>
    <w:rsid w:val="00A750FA"/>
    <w:rsid w:val="00A7594E"/>
    <w:rsid w:val="00A75AE2"/>
    <w:rsid w:val="00A75D4E"/>
    <w:rsid w:val="00A760A9"/>
    <w:rsid w:val="00A76843"/>
    <w:rsid w:val="00A769D6"/>
    <w:rsid w:val="00A76BE5"/>
    <w:rsid w:val="00A76E88"/>
    <w:rsid w:val="00A7710B"/>
    <w:rsid w:val="00A772B6"/>
    <w:rsid w:val="00A7782D"/>
    <w:rsid w:val="00A77BCC"/>
    <w:rsid w:val="00A77DF9"/>
    <w:rsid w:val="00A80388"/>
    <w:rsid w:val="00A804ED"/>
    <w:rsid w:val="00A80569"/>
    <w:rsid w:val="00A806EA"/>
    <w:rsid w:val="00A81192"/>
    <w:rsid w:val="00A81D00"/>
    <w:rsid w:val="00A821E6"/>
    <w:rsid w:val="00A823D0"/>
    <w:rsid w:val="00A8243B"/>
    <w:rsid w:val="00A8317C"/>
    <w:rsid w:val="00A8372B"/>
    <w:rsid w:val="00A83B6E"/>
    <w:rsid w:val="00A83D79"/>
    <w:rsid w:val="00A83EF8"/>
    <w:rsid w:val="00A843D7"/>
    <w:rsid w:val="00A8457B"/>
    <w:rsid w:val="00A849CB"/>
    <w:rsid w:val="00A84D6A"/>
    <w:rsid w:val="00A84FBE"/>
    <w:rsid w:val="00A8519A"/>
    <w:rsid w:val="00A851AB"/>
    <w:rsid w:val="00A85BF4"/>
    <w:rsid w:val="00A867FD"/>
    <w:rsid w:val="00A869C9"/>
    <w:rsid w:val="00A86A68"/>
    <w:rsid w:val="00A87609"/>
    <w:rsid w:val="00A876F2"/>
    <w:rsid w:val="00A87E81"/>
    <w:rsid w:val="00A900F8"/>
    <w:rsid w:val="00A90336"/>
    <w:rsid w:val="00A90512"/>
    <w:rsid w:val="00A90B60"/>
    <w:rsid w:val="00A90C5C"/>
    <w:rsid w:val="00A90F2C"/>
    <w:rsid w:val="00A9103F"/>
    <w:rsid w:val="00A9117F"/>
    <w:rsid w:val="00A9135E"/>
    <w:rsid w:val="00A914E5"/>
    <w:rsid w:val="00A91B53"/>
    <w:rsid w:val="00A91BDE"/>
    <w:rsid w:val="00A926FE"/>
    <w:rsid w:val="00A92E04"/>
    <w:rsid w:val="00A93123"/>
    <w:rsid w:val="00A931A6"/>
    <w:rsid w:val="00A936B8"/>
    <w:rsid w:val="00A93DFD"/>
    <w:rsid w:val="00A94146"/>
    <w:rsid w:val="00A947CA"/>
    <w:rsid w:val="00A94FAC"/>
    <w:rsid w:val="00A954E7"/>
    <w:rsid w:val="00A95940"/>
    <w:rsid w:val="00A95C22"/>
    <w:rsid w:val="00A95CCA"/>
    <w:rsid w:val="00A95EC7"/>
    <w:rsid w:val="00A9613D"/>
    <w:rsid w:val="00A96287"/>
    <w:rsid w:val="00A96348"/>
    <w:rsid w:val="00A965C1"/>
    <w:rsid w:val="00A96654"/>
    <w:rsid w:val="00A96683"/>
    <w:rsid w:val="00A966D4"/>
    <w:rsid w:val="00A96A34"/>
    <w:rsid w:val="00A96D7D"/>
    <w:rsid w:val="00A9711D"/>
    <w:rsid w:val="00A97200"/>
    <w:rsid w:val="00A97245"/>
    <w:rsid w:val="00A97487"/>
    <w:rsid w:val="00A977D8"/>
    <w:rsid w:val="00A97B50"/>
    <w:rsid w:val="00AA0139"/>
    <w:rsid w:val="00AA08CA"/>
    <w:rsid w:val="00AA091D"/>
    <w:rsid w:val="00AA0ADA"/>
    <w:rsid w:val="00AA0AE1"/>
    <w:rsid w:val="00AA0BE9"/>
    <w:rsid w:val="00AA0C93"/>
    <w:rsid w:val="00AA0C9F"/>
    <w:rsid w:val="00AA0D58"/>
    <w:rsid w:val="00AA10C3"/>
    <w:rsid w:val="00AA116D"/>
    <w:rsid w:val="00AA1174"/>
    <w:rsid w:val="00AA140C"/>
    <w:rsid w:val="00AA1F65"/>
    <w:rsid w:val="00AA2138"/>
    <w:rsid w:val="00AA2174"/>
    <w:rsid w:val="00AA287D"/>
    <w:rsid w:val="00AA2C3A"/>
    <w:rsid w:val="00AA2CEB"/>
    <w:rsid w:val="00AA2E04"/>
    <w:rsid w:val="00AA3321"/>
    <w:rsid w:val="00AA33BD"/>
    <w:rsid w:val="00AA3740"/>
    <w:rsid w:val="00AA3953"/>
    <w:rsid w:val="00AA399A"/>
    <w:rsid w:val="00AA39D5"/>
    <w:rsid w:val="00AA3BCD"/>
    <w:rsid w:val="00AA4045"/>
    <w:rsid w:val="00AA42FD"/>
    <w:rsid w:val="00AA45AD"/>
    <w:rsid w:val="00AA46B5"/>
    <w:rsid w:val="00AA4B5C"/>
    <w:rsid w:val="00AA5164"/>
    <w:rsid w:val="00AA56AE"/>
    <w:rsid w:val="00AA58A7"/>
    <w:rsid w:val="00AA5B92"/>
    <w:rsid w:val="00AA5EB9"/>
    <w:rsid w:val="00AA5FCE"/>
    <w:rsid w:val="00AA642F"/>
    <w:rsid w:val="00AA6839"/>
    <w:rsid w:val="00AA6A5F"/>
    <w:rsid w:val="00AA6C95"/>
    <w:rsid w:val="00AA6D82"/>
    <w:rsid w:val="00AA6F68"/>
    <w:rsid w:val="00AA6FD6"/>
    <w:rsid w:val="00AA73F8"/>
    <w:rsid w:val="00AA74BF"/>
    <w:rsid w:val="00AA78D4"/>
    <w:rsid w:val="00AB00D4"/>
    <w:rsid w:val="00AB0112"/>
    <w:rsid w:val="00AB0241"/>
    <w:rsid w:val="00AB0429"/>
    <w:rsid w:val="00AB04A5"/>
    <w:rsid w:val="00AB058D"/>
    <w:rsid w:val="00AB0626"/>
    <w:rsid w:val="00AB08A0"/>
    <w:rsid w:val="00AB08C3"/>
    <w:rsid w:val="00AB0AA1"/>
    <w:rsid w:val="00AB0F30"/>
    <w:rsid w:val="00AB121E"/>
    <w:rsid w:val="00AB1BD5"/>
    <w:rsid w:val="00AB1C36"/>
    <w:rsid w:val="00AB1D40"/>
    <w:rsid w:val="00AB2590"/>
    <w:rsid w:val="00AB26AE"/>
    <w:rsid w:val="00AB2EE5"/>
    <w:rsid w:val="00AB3258"/>
    <w:rsid w:val="00AB339D"/>
    <w:rsid w:val="00AB34DF"/>
    <w:rsid w:val="00AB365F"/>
    <w:rsid w:val="00AB38A0"/>
    <w:rsid w:val="00AB39CC"/>
    <w:rsid w:val="00AB3CB1"/>
    <w:rsid w:val="00AB40EA"/>
    <w:rsid w:val="00AB422C"/>
    <w:rsid w:val="00AB4919"/>
    <w:rsid w:val="00AB49D0"/>
    <w:rsid w:val="00AB4C0F"/>
    <w:rsid w:val="00AB4D7F"/>
    <w:rsid w:val="00AB4E33"/>
    <w:rsid w:val="00AB511C"/>
    <w:rsid w:val="00AB5685"/>
    <w:rsid w:val="00AB5902"/>
    <w:rsid w:val="00AB5BD0"/>
    <w:rsid w:val="00AB62F4"/>
    <w:rsid w:val="00AB6C4C"/>
    <w:rsid w:val="00AB6CE4"/>
    <w:rsid w:val="00AB7098"/>
    <w:rsid w:val="00AB71C2"/>
    <w:rsid w:val="00AB7762"/>
    <w:rsid w:val="00AB78B4"/>
    <w:rsid w:val="00AB7923"/>
    <w:rsid w:val="00AB7ABC"/>
    <w:rsid w:val="00AC03BC"/>
    <w:rsid w:val="00AC0746"/>
    <w:rsid w:val="00AC0A30"/>
    <w:rsid w:val="00AC10D2"/>
    <w:rsid w:val="00AC1B56"/>
    <w:rsid w:val="00AC200E"/>
    <w:rsid w:val="00AC2063"/>
    <w:rsid w:val="00AC26FB"/>
    <w:rsid w:val="00AC2A41"/>
    <w:rsid w:val="00AC30CA"/>
    <w:rsid w:val="00AC3112"/>
    <w:rsid w:val="00AC3717"/>
    <w:rsid w:val="00AC3754"/>
    <w:rsid w:val="00AC39B5"/>
    <w:rsid w:val="00AC3BCF"/>
    <w:rsid w:val="00AC3CFC"/>
    <w:rsid w:val="00AC3E2E"/>
    <w:rsid w:val="00AC40A5"/>
    <w:rsid w:val="00AC4185"/>
    <w:rsid w:val="00AC4349"/>
    <w:rsid w:val="00AC442F"/>
    <w:rsid w:val="00AC4748"/>
    <w:rsid w:val="00AC48F6"/>
    <w:rsid w:val="00AC4911"/>
    <w:rsid w:val="00AC4A0B"/>
    <w:rsid w:val="00AC4A60"/>
    <w:rsid w:val="00AC4C57"/>
    <w:rsid w:val="00AC5258"/>
    <w:rsid w:val="00AC5272"/>
    <w:rsid w:val="00AC5374"/>
    <w:rsid w:val="00AC573F"/>
    <w:rsid w:val="00AC58FC"/>
    <w:rsid w:val="00AC5A8E"/>
    <w:rsid w:val="00AC63DB"/>
    <w:rsid w:val="00AC691D"/>
    <w:rsid w:val="00AC736E"/>
    <w:rsid w:val="00AC75B8"/>
    <w:rsid w:val="00AC777F"/>
    <w:rsid w:val="00AC7837"/>
    <w:rsid w:val="00AC7A6F"/>
    <w:rsid w:val="00AC7B17"/>
    <w:rsid w:val="00AD003A"/>
    <w:rsid w:val="00AD026E"/>
    <w:rsid w:val="00AD0325"/>
    <w:rsid w:val="00AD0B4E"/>
    <w:rsid w:val="00AD0C02"/>
    <w:rsid w:val="00AD0ED6"/>
    <w:rsid w:val="00AD0F04"/>
    <w:rsid w:val="00AD1063"/>
    <w:rsid w:val="00AD13DC"/>
    <w:rsid w:val="00AD158B"/>
    <w:rsid w:val="00AD1CE2"/>
    <w:rsid w:val="00AD1D59"/>
    <w:rsid w:val="00AD2355"/>
    <w:rsid w:val="00AD23D5"/>
    <w:rsid w:val="00AD240B"/>
    <w:rsid w:val="00AD2571"/>
    <w:rsid w:val="00AD2576"/>
    <w:rsid w:val="00AD2827"/>
    <w:rsid w:val="00AD2B35"/>
    <w:rsid w:val="00AD3342"/>
    <w:rsid w:val="00AD359A"/>
    <w:rsid w:val="00AD3863"/>
    <w:rsid w:val="00AD3B4A"/>
    <w:rsid w:val="00AD43A0"/>
    <w:rsid w:val="00AD44D2"/>
    <w:rsid w:val="00AD45B9"/>
    <w:rsid w:val="00AD488B"/>
    <w:rsid w:val="00AD493E"/>
    <w:rsid w:val="00AD4946"/>
    <w:rsid w:val="00AD4F97"/>
    <w:rsid w:val="00AD5253"/>
    <w:rsid w:val="00AD5AE8"/>
    <w:rsid w:val="00AD644F"/>
    <w:rsid w:val="00AD6BC8"/>
    <w:rsid w:val="00AD704D"/>
    <w:rsid w:val="00AD74C3"/>
    <w:rsid w:val="00AD7724"/>
    <w:rsid w:val="00AD7DAC"/>
    <w:rsid w:val="00AD7FBD"/>
    <w:rsid w:val="00AE03EA"/>
    <w:rsid w:val="00AE0424"/>
    <w:rsid w:val="00AE05D2"/>
    <w:rsid w:val="00AE0993"/>
    <w:rsid w:val="00AE0BC8"/>
    <w:rsid w:val="00AE0F2D"/>
    <w:rsid w:val="00AE1625"/>
    <w:rsid w:val="00AE1A71"/>
    <w:rsid w:val="00AE1CA1"/>
    <w:rsid w:val="00AE2091"/>
    <w:rsid w:val="00AE2156"/>
    <w:rsid w:val="00AE2389"/>
    <w:rsid w:val="00AE29B9"/>
    <w:rsid w:val="00AE2AC7"/>
    <w:rsid w:val="00AE2DB8"/>
    <w:rsid w:val="00AE3425"/>
    <w:rsid w:val="00AE37A2"/>
    <w:rsid w:val="00AE3838"/>
    <w:rsid w:val="00AE38D1"/>
    <w:rsid w:val="00AE3B42"/>
    <w:rsid w:val="00AE3C3D"/>
    <w:rsid w:val="00AE453B"/>
    <w:rsid w:val="00AE4B25"/>
    <w:rsid w:val="00AE4E12"/>
    <w:rsid w:val="00AE556B"/>
    <w:rsid w:val="00AE5904"/>
    <w:rsid w:val="00AE5B2C"/>
    <w:rsid w:val="00AE5CE9"/>
    <w:rsid w:val="00AE5D12"/>
    <w:rsid w:val="00AE5DD4"/>
    <w:rsid w:val="00AE5DE3"/>
    <w:rsid w:val="00AE5FAF"/>
    <w:rsid w:val="00AE6054"/>
    <w:rsid w:val="00AE6158"/>
    <w:rsid w:val="00AE6553"/>
    <w:rsid w:val="00AE697F"/>
    <w:rsid w:val="00AE6CC9"/>
    <w:rsid w:val="00AE7323"/>
    <w:rsid w:val="00AE7523"/>
    <w:rsid w:val="00AE756F"/>
    <w:rsid w:val="00AE7BF2"/>
    <w:rsid w:val="00AE7E95"/>
    <w:rsid w:val="00AE7F51"/>
    <w:rsid w:val="00AF01DE"/>
    <w:rsid w:val="00AF0408"/>
    <w:rsid w:val="00AF05B0"/>
    <w:rsid w:val="00AF05FB"/>
    <w:rsid w:val="00AF0A7B"/>
    <w:rsid w:val="00AF0ABD"/>
    <w:rsid w:val="00AF0B3D"/>
    <w:rsid w:val="00AF0D81"/>
    <w:rsid w:val="00AF12D7"/>
    <w:rsid w:val="00AF167B"/>
    <w:rsid w:val="00AF1962"/>
    <w:rsid w:val="00AF1CC7"/>
    <w:rsid w:val="00AF22AB"/>
    <w:rsid w:val="00AF23B9"/>
    <w:rsid w:val="00AF24BC"/>
    <w:rsid w:val="00AF265C"/>
    <w:rsid w:val="00AF275C"/>
    <w:rsid w:val="00AF2A4A"/>
    <w:rsid w:val="00AF2F5D"/>
    <w:rsid w:val="00AF2F66"/>
    <w:rsid w:val="00AF3304"/>
    <w:rsid w:val="00AF34FC"/>
    <w:rsid w:val="00AF361F"/>
    <w:rsid w:val="00AF380C"/>
    <w:rsid w:val="00AF3ADC"/>
    <w:rsid w:val="00AF3FF4"/>
    <w:rsid w:val="00AF45B9"/>
    <w:rsid w:val="00AF471D"/>
    <w:rsid w:val="00AF4BF5"/>
    <w:rsid w:val="00AF4E31"/>
    <w:rsid w:val="00AF4FB2"/>
    <w:rsid w:val="00AF5076"/>
    <w:rsid w:val="00AF5654"/>
    <w:rsid w:val="00AF586E"/>
    <w:rsid w:val="00AF5B03"/>
    <w:rsid w:val="00AF5B4C"/>
    <w:rsid w:val="00AF5BFE"/>
    <w:rsid w:val="00AF5D30"/>
    <w:rsid w:val="00AF5F40"/>
    <w:rsid w:val="00AF604F"/>
    <w:rsid w:val="00AF61A1"/>
    <w:rsid w:val="00AF6432"/>
    <w:rsid w:val="00AF6BCC"/>
    <w:rsid w:val="00AF6C62"/>
    <w:rsid w:val="00AF6EFC"/>
    <w:rsid w:val="00AF7053"/>
    <w:rsid w:val="00AF73F9"/>
    <w:rsid w:val="00AF7623"/>
    <w:rsid w:val="00AF7976"/>
    <w:rsid w:val="00AF7B07"/>
    <w:rsid w:val="00B00001"/>
    <w:rsid w:val="00B00454"/>
    <w:rsid w:val="00B005E0"/>
    <w:rsid w:val="00B01908"/>
    <w:rsid w:val="00B01A37"/>
    <w:rsid w:val="00B01EAF"/>
    <w:rsid w:val="00B01FA8"/>
    <w:rsid w:val="00B02024"/>
    <w:rsid w:val="00B02809"/>
    <w:rsid w:val="00B0291C"/>
    <w:rsid w:val="00B02F95"/>
    <w:rsid w:val="00B0312A"/>
    <w:rsid w:val="00B032C5"/>
    <w:rsid w:val="00B0406C"/>
    <w:rsid w:val="00B04141"/>
    <w:rsid w:val="00B047CD"/>
    <w:rsid w:val="00B05156"/>
    <w:rsid w:val="00B05261"/>
    <w:rsid w:val="00B05FB9"/>
    <w:rsid w:val="00B065CF"/>
    <w:rsid w:val="00B06EB6"/>
    <w:rsid w:val="00B0778A"/>
    <w:rsid w:val="00B07934"/>
    <w:rsid w:val="00B079FD"/>
    <w:rsid w:val="00B07A4F"/>
    <w:rsid w:val="00B07A7E"/>
    <w:rsid w:val="00B10E1D"/>
    <w:rsid w:val="00B110B0"/>
    <w:rsid w:val="00B1130B"/>
    <w:rsid w:val="00B1148E"/>
    <w:rsid w:val="00B117F9"/>
    <w:rsid w:val="00B1209A"/>
    <w:rsid w:val="00B12147"/>
    <w:rsid w:val="00B121FB"/>
    <w:rsid w:val="00B1227D"/>
    <w:rsid w:val="00B12957"/>
    <w:rsid w:val="00B13070"/>
    <w:rsid w:val="00B1312A"/>
    <w:rsid w:val="00B13191"/>
    <w:rsid w:val="00B131EC"/>
    <w:rsid w:val="00B1320A"/>
    <w:rsid w:val="00B13596"/>
    <w:rsid w:val="00B13740"/>
    <w:rsid w:val="00B137B9"/>
    <w:rsid w:val="00B139B5"/>
    <w:rsid w:val="00B13C3A"/>
    <w:rsid w:val="00B13D5A"/>
    <w:rsid w:val="00B14485"/>
    <w:rsid w:val="00B14668"/>
    <w:rsid w:val="00B1478E"/>
    <w:rsid w:val="00B14C53"/>
    <w:rsid w:val="00B151DE"/>
    <w:rsid w:val="00B15653"/>
    <w:rsid w:val="00B15BB4"/>
    <w:rsid w:val="00B163A5"/>
    <w:rsid w:val="00B16AA2"/>
    <w:rsid w:val="00B16E6C"/>
    <w:rsid w:val="00B16FAE"/>
    <w:rsid w:val="00B16FF6"/>
    <w:rsid w:val="00B172D0"/>
    <w:rsid w:val="00B178A0"/>
    <w:rsid w:val="00B17E57"/>
    <w:rsid w:val="00B17F42"/>
    <w:rsid w:val="00B17F60"/>
    <w:rsid w:val="00B2024E"/>
    <w:rsid w:val="00B206AD"/>
    <w:rsid w:val="00B2099E"/>
    <w:rsid w:val="00B20AB7"/>
    <w:rsid w:val="00B20EE9"/>
    <w:rsid w:val="00B20F4C"/>
    <w:rsid w:val="00B21503"/>
    <w:rsid w:val="00B218D1"/>
    <w:rsid w:val="00B22852"/>
    <w:rsid w:val="00B22962"/>
    <w:rsid w:val="00B22966"/>
    <w:rsid w:val="00B22A33"/>
    <w:rsid w:val="00B22E5A"/>
    <w:rsid w:val="00B22F8F"/>
    <w:rsid w:val="00B23773"/>
    <w:rsid w:val="00B239B2"/>
    <w:rsid w:val="00B23C3E"/>
    <w:rsid w:val="00B23DDC"/>
    <w:rsid w:val="00B23F8F"/>
    <w:rsid w:val="00B246F0"/>
    <w:rsid w:val="00B248D5"/>
    <w:rsid w:val="00B24915"/>
    <w:rsid w:val="00B249CC"/>
    <w:rsid w:val="00B24A86"/>
    <w:rsid w:val="00B252A8"/>
    <w:rsid w:val="00B2584B"/>
    <w:rsid w:val="00B258B2"/>
    <w:rsid w:val="00B25B90"/>
    <w:rsid w:val="00B25C17"/>
    <w:rsid w:val="00B25EC1"/>
    <w:rsid w:val="00B26019"/>
    <w:rsid w:val="00B26102"/>
    <w:rsid w:val="00B266F1"/>
    <w:rsid w:val="00B266FF"/>
    <w:rsid w:val="00B26776"/>
    <w:rsid w:val="00B2695F"/>
    <w:rsid w:val="00B26ABE"/>
    <w:rsid w:val="00B2734C"/>
    <w:rsid w:val="00B275EC"/>
    <w:rsid w:val="00B2784F"/>
    <w:rsid w:val="00B279F2"/>
    <w:rsid w:val="00B3045A"/>
    <w:rsid w:val="00B30D7B"/>
    <w:rsid w:val="00B30DDA"/>
    <w:rsid w:val="00B30FA9"/>
    <w:rsid w:val="00B31205"/>
    <w:rsid w:val="00B31AF9"/>
    <w:rsid w:val="00B31E1E"/>
    <w:rsid w:val="00B322E3"/>
    <w:rsid w:val="00B3266A"/>
    <w:rsid w:val="00B3276E"/>
    <w:rsid w:val="00B3286B"/>
    <w:rsid w:val="00B3286E"/>
    <w:rsid w:val="00B32EEF"/>
    <w:rsid w:val="00B33763"/>
    <w:rsid w:val="00B339C3"/>
    <w:rsid w:val="00B34674"/>
    <w:rsid w:val="00B348E2"/>
    <w:rsid w:val="00B34949"/>
    <w:rsid w:val="00B34A72"/>
    <w:rsid w:val="00B34BBE"/>
    <w:rsid w:val="00B34E2E"/>
    <w:rsid w:val="00B352B7"/>
    <w:rsid w:val="00B352F1"/>
    <w:rsid w:val="00B3543C"/>
    <w:rsid w:val="00B35756"/>
    <w:rsid w:val="00B35D70"/>
    <w:rsid w:val="00B35E2D"/>
    <w:rsid w:val="00B36063"/>
    <w:rsid w:val="00B36515"/>
    <w:rsid w:val="00B3669E"/>
    <w:rsid w:val="00B36999"/>
    <w:rsid w:val="00B37328"/>
    <w:rsid w:val="00B375D1"/>
    <w:rsid w:val="00B37B41"/>
    <w:rsid w:val="00B37C36"/>
    <w:rsid w:val="00B37FB1"/>
    <w:rsid w:val="00B4030D"/>
    <w:rsid w:val="00B40551"/>
    <w:rsid w:val="00B4073D"/>
    <w:rsid w:val="00B408AD"/>
    <w:rsid w:val="00B40ADC"/>
    <w:rsid w:val="00B40BB8"/>
    <w:rsid w:val="00B40FC6"/>
    <w:rsid w:val="00B41026"/>
    <w:rsid w:val="00B41265"/>
    <w:rsid w:val="00B4136C"/>
    <w:rsid w:val="00B41B6B"/>
    <w:rsid w:val="00B41C06"/>
    <w:rsid w:val="00B41E44"/>
    <w:rsid w:val="00B41F2F"/>
    <w:rsid w:val="00B42090"/>
    <w:rsid w:val="00B422FD"/>
    <w:rsid w:val="00B42311"/>
    <w:rsid w:val="00B42315"/>
    <w:rsid w:val="00B4250C"/>
    <w:rsid w:val="00B4276F"/>
    <w:rsid w:val="00B42F0F"/>
    <w:rsid w:val="00B434B8"/>
    <w:rsid w:val="00B435AA"/>
    <w:rsid w:val="00B439E3"/>
    <w:rsid w:val="00B43E4F"/>
    <w:rsid w:val="00B43FB1"/>
    <w:rsid w:val="00B440C8"/>
    <w:rsid w:val="00B44622"/>
    <w:rsid w:val="00B447A2"/>
    <w:rsid w:val="00B44C3E"/>
    <w:rsid w:val="00B45232"/>
    <w:rsid w:val="00B455A5"/>
    <w:rsid w:val="00B45678"/>
    <w:rsid w:val="00B45736"/>
    <w:rsid w:val="00B45861"/>
    <w:rsid w:val="00B45B99"/>
    <w:rsid w:val="00B45FBE"/>
    <w:rsid w:val="00B45FC0"/>
    <w:rsid w:val="00B46059"/>
    <w:rsid w:val="00B4613D"/>
    <w:rsid w:val="00B46521"/>
    <w:rsid w:val="00B469A1"/>
    <w:rsid w:val="00B46B54"/>
    <w:rsid w:val="00B47195"/>
    <w:rsid w:val="00B4753F"/>
    <w:rsid w:val="00B475E3"/>
    <w:rsid w:val="00B479F2"/>
    <w:rsid w:val="00B47A71"/>
    <w:rsid w:val="00B47B6C"/>
    <w:rsid w:val="00B47D7A"/>
    <w:rsid w:val="00B505EE"/>
    <w:rsid w:val="00B50760"/>
    <w:rsid w:val="00B50AA1"/>
    <w:rsid w:val="00B50B51"/>
    <w:rsid w:val="00B50E5B"/>
    <w:rsid w:val="00B51855"/>
    <w:rsid w:val="00B51C89"/>
    <w:rsid w:val="00B5283A"/>
    <w:rsid w:val="00B52A30"/>
    <w:rsid w:val="00B52CF4"/>
    <w:rsid w:val="00B52E6F"/>
    <w:rsid w:val="00B535B9"/>
    <w:rsid w:val="00B53E5D"/>
    <w:rsid w:val="00B54596"/>
    <w:rsid w:val="00B54708"/>
    <w:rsid w:val="00B55A97"/>
    <w:rsid w:val="00B560D9"/>
    <w:rsid w:val="00B56152"/>
    <w:rsid w:val="00B56F2D"/>
    <w:rsid w:val="00B56FCD"/>
    <w:rsid w:val="00B5703D"/>
    <w:rsid w:val="00B575FC"/>
    <w:rsid w:val="00B5766E"/>
    <w:rsid w:val="00B57800"/>
    <w:rsid w:val="00B57AE4"/>
    <w:rsid w:val="00B57E0F"/>
    <w:rsid w:val="00B57E23"/>
    <w:rsid w:val="00B57E41"/>
    <w:rsid w:val="00B601E1"/>
    <w:rsid w:val="00B60245"/>
    <w:rsid w:val="00B60467"/>
    <w:rsid w:val="00B6090D"/>
    <w:rsid w:val="00B60992"/>
    <w:rsid w:val="00B60A47"/>
    <w:rsid w:val="00B60B08"/>
    <w:rsid w:val="00B60D9E"/>
    <w:rsid w:val="00B61055"/>
    <w:rsid w:val="00B6106C"/>
    <w:rsid w:val="00B61692"/>
    <w:rsid w:val="00B622B7"/>
    <w:rsid w:val="00B62317"/>
    <w:rsid w:val="00B6291F"/>
    <w:rsid w:val="00B6303E"/>
    <w:rsid w:val="00B632FE"/>
    <w:rsid w:val="00B633DC"/>
    <w:rsid w:val="00B636ED"/>
    <w:rsid w:val="00B63777"/>
    <w:rsid w:val="00B63A27"/>
    <w:rsid w:val="00B63B5C"/>
    <w:rsid w:val="00B63C1B"/>
    <w:rsid w:val="00B641CF"/>
    <w:rsid w:val="00B64751"/>
    <w:rsid w:val="00B648BB"/>
    <w:rsid w:val="00B64A86"/>
    <w:rsid w:val="00B64AED"/>
    <w:rsid w:val="00B64EE2"/>
    <w:rsid w:val="00B65742"/>
    <w:rsid w:val="00B6583B"/>
    <w:rsid w:val="00B65912"/>
    <w:rsid w:val="00B65BF4"/>
    <w:rsid w:val="00B65DBB"/>
    <w:rsid w:val="00B65DE2"/>
    <w:rsid w:val="00B65ED5"/>
    <w:rsid w:val="00B662B7"/>
    <w:rsid w:val="00B66813"/>
    <w:rsid w:val="00B674FD"/>
    <w:rsid w:val="00B67983"/>
    <w:rsid w:val="00B67A8B"/>
    <w:rsid w:val="00B702C1"/>
    <w:rsid w:val="00B706E0"/>
    <w:rsid w:val="00B7080F"/>
    <w:rsid w:val="00B71421"/>
    <w:rsid w:val="00B71474"/>
    <w:rsid w:val="00B715D3"/>
    <w:rsid w:val="00B71702"/>
    <w:rsid w:val="00B72234"/>
    <w:rsid w:val="00B724A0"/>
    <w:rsid w:val="00B724E5"/>
    <w:rsid w:val="00B7278D"/>
    <w:rsid w:val="00B7289E"/>
    <w:rsid w:val="00B731E0"/>
    <w:rsid w:val="00B7324C"/>
    <w:rsid w:val="00B73314"/>
    <w:rsid w:val="00B73CD3"/>
    <w:rsid w:val="00B743D4"/>
    <w:rsid w:val="00B74470"/>
    <w:rsid w:val="00B7466A"/>
    <w:rsid w:val="00B7476A"/>
    <w:rsid w:val="00B7520D"/>
    <w:rsid w:val="00B75287"/>
    <w:rsid w:val="00B75423"/>
    <w:rsid w:val="00B755E6"/>
    <w:rsid w:val="00B75623"/>
    <w:rsid w:val="00B75788"/>
    <w:rsid w:val="00B7592F"/>
    <w:rsid w:val="00B759E1"/>
    <w:rsid w:val="00B767FA"/>
    <w:rsid w:val="00B76828"/>
    <w:rsid w:val="00B7724D"/>
    <w:rsid w:val="00B772D4"/>
    <w:rsid w:val="00B7770B"/>
    <w:rsid w:val="00B777E6"/>
    <w:rsid w:val="00B77C9A"/>
    <w:rsid w:val="00B803F0"/>
    <w:rsid w:val="00B8051C"/>
    <w:rsid w:val="00B8057B"/>
    <w:rsid w:val="00B80684"/>
    <w:rsid w:val="00B80780"/>
    <w:rsid w:val="00B81097"/>
    <w:rsid w:val="00B81289"/>
    <w:rsid w:val="00B813A1"/>
    <w:rsid w:val="00B81BBF"/>
    <w:rsid w:val="00B81D54"/>
    <w:rsid w:val="00B821AA"/>
    <w:rsid w:val="00B8224A"/>
    <w:rsid w:val="00B8237B"/>
    <w:rsid w:val="00B82398"/>
    <w:rsid w:val="00B82447"/>
    <w:rsid w:val="00B828DB"/>
    <w:rsid w:val="00B834F0"/>
    <w:rsid w:val="00B83569"/>
    <w:rsid w:val="00B83654"/>
    <w:rsid w:val="00B83E3A"/>
    <w:rsid w:val="00B83FAF"/>
    <w:rsid w:val="00B84509"/>
    <w:rsid w:val="00B846C8"/>
    <w:rsid w:val="00B84763"/>
    <w:rsid w:val="00B84C33"/>
    <w:rsid w:val="00B855D9"/>
    <w:rsid w:val="00B85645"/>
    <w:rsid w:val="00B85893"/>
    <w:rsid w:val="00B858EE"/>
    <w:rsid w:val="00B85C1F"/>
    <w:rsid w:val="00B8633A"/>
    <w:rsid w:val="00B868BA"/>
    <w:rsid w:val="00B86BE8"/>
    <w:rsid w:val="00B86C39"/>
    <w:rsid w:val="00B86C98"/>
    <w:rsid w:val="00B87279"/>
    <w:rsid w:val="00B8772A"/>
    <w:rsid w:val="00B8788F"/>
    <w:rsid w:val="00B878C3"/>
    <w:rsid w:val="00B9029D"/>
    <w:rsid w:val="00B9073E"/>
    <w:rsid w:val="00B90CFE"/>
    <w:rsid w:val="00B912BC"/>
    <w:rsid w:val="00B9134D"/>
    <w:rsid w:val="00B91965"/>
    <w:rsid w:val="00B9197E"/>
    <w:rsid w:val="00B9198B"/>
    <w:rsid w:val="00B91F01"/>
    <w:rsid w:val="00B923D4"/>
    <w:rsid w:val="00B925E8"/>
    <w:rsid w:val="00B926A9"/>
    <w:rsid w:val="00B928D6"/>
    <w:rsid w:val="00B92EDF"/>
    <w:rsid w:val="00B931BA"/>
    <w:rsid w:val="00B93410"/>
    <w:rsid w:val="00B935AE"/>
    <w:rsid w:val="00B93642"/>
    <w:rsid w:val="00B93ADA"/>
    <w:rsid w:val="00B93FA9"/>
    <w:rsid w:val="00B94070"/>
    <w:rsid w:val="00B940DA"/>
    <w:rsid w:val="00B94329"/>
    <w:rsid w:val="00B946BE"/>
    <w:rsid w:val="00B9482C"/>
    <w:rsid w:val="00B94B38"/>
    <w:rsid w:val="00B94C96"/>
    <w:rsid w:val="00B94E1B"/>
    <w:rsid w:val="00B94E20"/>
    <w:rsid w:val="00B952DD"/>
    <w:rsid w:val="00B95722"/>
    <w:rsid w:val="00B95E0A"/>
    <w:rsid w:val="00B95E3A"/>
    <w:rsid w:val="00B95E52"/>
    <w:rsid w:val="00B961DE"/>
    <w:rsid w:val="00B966C5"/>
    <w:rsid w:val="00B96795"/>
    <w:rsid w:val="00B968AB"/>
    <w:rsid w:val="00B96D07"/>
    <w:rsid w:val="00B9760B"/>
    <w:rsid w:val="00B97B3D"/>
    <w:rsid w:val="00BA077E"/>
    <w:rsid w:val="00BA0C06"/>
    <w:rsid w:val="00BA0DE2"/>
    <w:rsid w:val="00BA0EA6"/>
    <w:rsid w:val="00BA1256"/>
    <w:rsid w:val="00BA17DB"/>
    <w:rsid w:val="00BA196C"/>
    <w:rsid w:val="00BA1983"/>
    <w:rsid w:val="00BA22B8"/>
    <w:rsid w:val="00BA2352"/>
    <w:rsid w:val="00BA25FE"/>
    <w:rsid w:val="00BA2659"/>
    <w:rsid w:val="00BA2713"/>
    <w:rsid w:val="00BA2715"/>
    <w:rsid w:val="00BA2791"/>
    <w:rsid w:val="00BA2B9F"/>
    <w:rsid w:val="00BA2E9A"/>
    <w:rsid w:val="00BA3150"/>
    <w:rsid w:val="00BA33B9"/>
    <w:rsid w:val="00BA394E"/>
    <w:rsid w:val="00BA3EB2"/>
    <w:rsid w:val="00BA40AD"/>
    <w:rsid w:val="00BA45F9"/>
    <w:rsid w:val="00BA49BB"/>
    <w:rsid w:val="00BA4AD3"/>
    <w:rsid w:val="00BA4D7E"/>
    <w:rsid w:val="00BA5865"/>
    <w:rsid w:val="00BA58D2"/>
    <w:rsid w:val="00BA5A9F"/>
    <w:rsid w:val="00BA6182"/>
    <w:rsid w:val="00BA61E8"/>
    <w:rsid w:val="00BA6280"/>
    <w:rsid w:val="00BA63F0"/>
    <w:rsid w:val="00BA6537"/>
    <w:rsid w:val="00BA6931"/>
    <w:rsid w:val="00BA6964"/>
    <w:rsid w:val="00BA6BCE"/>
    <w:rsid w:val="00BA6DF9"/>
    <w:rsid w:val="00BA6E50"/>
    <w:rsid w:val="00BA73AC"/>
    <w:rsid w:val="00BA7467"/>
    <w:rsid w:val="00BA768B"/>
    <w:rsid w:val="00BA7FF5"/>
    <w:rsid w:val="00BB11BC"/>
    <w:rsid w:val="00BB124B"/>
    <w:rsid w:val="00BB1858"/>
    <w:rsid w:val="00BB186F"/>
    <w:rsid w:val="00BB1BE2"/>
    <w:rsid w:val="00BB20A0"/>
    <w:rsid w:val="00BB2767"/>
    <w:rsid w:val="00BB28E1"/>
    <w:rsid w:val="00BB2D81"/>
    <w:rsid w:val="00BB2E59"/>
    <w:rsid w:val="00BB3785"/>
    <w:rsid w:val="00BB3B0C"/>
    <w:rsid w:val="00BB3E44"/>
    <w:rsid w:val="00BB3FAA"/>
    <w:rsid w:val="00BB406A"/>
    <w:rsid w:val="00BB451B"/>
    <w:rsid w:val="00BB492F"/>
    <w:rsid w:val="00BB4D8E"/>
    <w:rsid w:val="00BB4DC5"/>
    <w:rsid w:val="00BB4E66"/>
    <w:rsid w:val="00BB529D"/>
    <w:rsid w:val="00BB53C0"/>
    <w:rsid w:val="00BB548A"/>
    <w:rsid w:val="00BB56F1"/>
    <w:rsid w:val="00BB5EB5"/>
    <w:rsid w:val="00BB5FA2"/>
    <w:rsid w:val="00BB633C"/>
    <w:rsid w:val="00BB633D"/>
    <w:rsid w:val="00BB66D2"/>
    <w:rsid w:val="00BB681A"/>
    <w:rsid w:val="00BB68C6"/>
    <w:rsid w:val="00BB7075"/>
    <w:rsid w:val="00BB734D"/>
    <w:rsid w:val="00BB7364"/>
    <w:rsid w:val="00BB73E6"/>
    <w:rsid w:val="00BB7837"/>
    <w:rsid w:val="00BB79FD"/>
    <w:rsid w:val="00BB7D45"/>
    <w:rsid w:val="00BC0128"/>
    <w:rsid w:val="00BC01BF"/>
    <w:rsid w:val="00BC0246"/>
    <w:rsid w:val="00BC0342"/>
    <w:rsid w:val="00BC0C88"/>
    <w:rsid w:val="00BC124B"/>
    <w:rsid w:val="00BC1288"/>
    <w:rsid w:val="00BC137E"/>
    <w:rsid w:val="00BC16A9"/>
    <w:rsid w:val="00BC1A61"/>
    <w:rsid w:val="00BC1D20"/>
    <w:rsid w:val="00BC1DEA"/>
    <w:rsid w:val="00BC1FF1"/>
    <w:rsid w:val="00BC2190"/>
    <w:rsid w:val="00BC258F"/>
    <w:rsid w:val="00BC2C5F"/>
    <w:rsid w:val="00BC2D97"/>
    <w:rsid w:val="00BC349D"/>
    <w:rsid w:val="00BC3645"/>
    <w:rsid w:val="00BC3DA0"/>
    <w:rsid w:val="00BC3DBB"/>
    <w:rsid w:val="00BC40CA"/>
    <w:rsid w:val="00BC447D"/>
    <w:rsid w:val="00BC4940"/>
    <w:rsid w:val="00BC4B42"/>
    <w:rsid w:val="00BC4E5D"/>
    <w:rsid w:val="00BC5782"/>
    <w:rsid w:val="00BC5B10"/>
    <w:rsid w:val="00BC5B76"/>
    <w:rsid w:val="00BC62E8"/>
    <w:rsid w:val="00BC6616"/>
    <w:rsid w:val="00BC67FA"/>
    <w:rsid w:val="00BC6AC1"/>
    <w:rsid w:val="00BC7711"/>
    <w:rsid w:val="00BC7BAB"/>
    <w:rsid w:val="00BC7E09"/>
    <w:rsid w:val="00BD0990"/>
    <w:rsid w:val="00BD0B3B"/>
    <w:rsid w:val="00BD0CA0"/>
    <w:rsid w:val="00BD0F04"/>
    <w:rsid w:val="00BD141E"/>
    <w:rsid w:val="00BD1776"/>
    <w:rsid w:val="00BD19A5"/>
    <w:rsid w:val="00BD1AF9"/>
    <w:rsid w:val="00BD2248"/>
    <w:rsid w:val="00BD2AC3"/>
    <w:rsid w:val="00BD2FFF"/>
    <w:rsid w:val="00BD307C"/>
    <w:rsid w:val="00BD30C2"/>
    <w:rsid w:val="00BD30F9"/>
    <w:rsid w:val="00BD3115"/>
    <w:rsid w:val="00BD341E"/>
    <w:rsid w:val="00BD3457"/>
    <w:rsid w:val="00BD34C2"/>
    <w:rsid w:val="00BD3DCA"/>
    <w:rsid w:val="00BD4262"/>
    <w:rsid w:val="00BD46AE"/>
    <w:rsid w:val="00BD4A00"/>
    <w:rsid w:val="00BD4B63"/>
    <w:rsid w:val="00BD4CF8"/>
    <w:rsid w:val="00BD55D7"/>
    <w:rsid w:val="00BD5F09"/>
    <w:rsid w:val="00BD65E4"/>
    <w:rsid w:val="00BD6F43"/>
    <w:rsid w:val="00BD70A0"/>
    <w:rsid w:val="00BD72F8"/>
    <w:rsid w:val="00BD7397"/>
    <w:rsid w:val="00BE02D0"/>
    <w:rsid w:val="00BE0368"/>
    <w:rsid w:val="00BE03DC"/>
    <w:rsid w:val="00BE08C5"/>
    <w:rsid w:val="00BE12F6"/>
    <w:rsid w:val="00BE1314"/>
    <w:rsid w:val="00BE1349"/>
    <w:rsid w:val="00BE14CD"/>
    <w:rsid w:val="00BE1508"/>
    <w:rsid w:val="00BE15F6"/>
    <w:rsid w:val="00BE17AB"/>
    <w:rsid w:val="00BE1B7A"/>
    <w:rsid w:val="00BE1D5F"/>
    <w:rsid w:val="00BE1DCB"/>
    <w:rsid w:val="00BE2492"/>
    <w:rsid w:val="00BE2D80"/>
    <w:rsid w:val="00BE305A"/>
    <w:rsid w:val="00BE30C2"/>
    <w:rsid w:val="00BE3196"/>
    <w:rsid w:val="00BE3C81"/>
    <w:rsid w:val="00BE3EE5"/>
    <w:rsid w:val="00BE3EFC"/>
    <w:rsid w:val="00BE41D5"/>
    <w:rsid w:val="00BE4381"/>
    <w:rsid w:val="00BE48B5"/>
    <w:rsid w:val="00BE491C"/>
    <w:rsid w:val="00BE5008"/>
    <w:rsid w:val="00BE5261"/>
    <w:rsid w:val="00BE5336"/>
    <w:rsid w:val="00BE542F"/>
    <w:rsid w:val="00BE54FF"/>
    <w:rsid w:val="00BE555D"/>
    <w:rsid w:val="00BE5934"/>
    <w:rsid w:val="00BE60BD"/>
    <w:rsid w:val="00BE66F8"/>
    <w:rsid w:val="00BE6914"/>
    <w:rsid w:val="00BE69D2"/>
    <w:rsid w:val="00BE6AB5"/>
    <w:rsid w:val="00BE6B44"/>
    <w:rsid w:val="00BE7949"/>
    <w:rsid w:val="00BE7B78"/>
    <w:rsid w:val="00BF09EE"/>
    <w:rsid w:val="00BF0EA3"/>
    <w:rsid w:val="00BF0FFE"/>
    <w:rsid w:val="00BF1199"/>
    <w:rsid w:val="00BF1619"/>
    <w:rsid w:val="00BF1DF7"/>
    <w:rsid w:val="00BF21F8"/>
    <w:rsid w:val="00BF21FF"/>
    <w:rsid w:val="00BF2E06"/>
    <w:rsid w:val="00BF2EE0"/>
    <w:rsid w:val="00BF3604"/>
    <w:rsid w:val="00BF3C27"/>
    <w:rsid w:val="00BF3C71"/>
    <w:rsid w:val="00BF408F"/>
    <w:rsid w:val="00BF44F7"/>
    <w:rsid w:val="00BF4EAD"/>
    <w:rsid w:val="00BF57C6"/>
    <w:rsid w:val="00BF5A0D"/>
    <w:rsid w:val="00BF5C21"/>
    <w:rsid w:val="00BF6488"/>
    <w:rsid w:val="00BF6EA2"/>
    <w:rsid w:val="00BF6F89"/>
    <w:rsid w:val="00BF73F2"/>
    <w:rsid w:val="00BF7460"/>
    <w:rsid w:val="00BF7780"/>
    <w:rsid w:val="00C000F9"/>
    <w:rsid w:val="00C003C7"/>
    <w:rsid w:val="00C00C66"/>
    <w:rsid w:val="00C00F1B"/>
    <w:rsid w:val="00C01E06"/>
    <w:rsid w:val="00C028DA"/>
    <w:rsid w:val="00C02A26"/>
    <w:rsid w:val="00C02A82"/>
    <w:rsid w:val="00C02CED"/>
    <w:rsid w:val="00C03D35"/>
    <w:rsid w:val="00C03EE1"/>
    <w:rsid w:val="00C03F07"/>
    <w:rsid w:val="00C0411D"/>
    <w:rsid w:val="00C043A4"/>
    <w:rsid w:val="00C047F7"/>
    <w:rsid w:val="00C048EC"/>
    <w:rsid w:val="00C050A0"/>
    <w:rsid w:val="00C052BF"/>
    <w:rsid w:val="00C05A5F"/>
    <w:rsid w:val="00C05C38"/>
    <w:rsid w:val="00C05CB7"/>
    <w:rsid w:val="00C05DD5"/>
    <w:rsid w:val="00C0609C"/>
    <w:rsid w:val="00C0647D"/>
    <w:rsid w:val="00C06606"/>
    <w:rsid w:val="00C06724"/>
    <w:rsid w:val="00C06F52"/>
    <w:rsid w:val="00C07AE2"/>
    <w:rsid w:val="00C100CA"/>
    <w:rsid w:val="00C10768"/>
    <w:rsid w:val="00C10C5C"/>
    <w:rsid w:val="00C11179"/>
    <w:rsid w:val="00C112E6"/>
    <w:rsid w:val="00C112FD"/>
    <w:rsid w:val="00C1143D"/>
    <w:rsid w:val="00C11614"/>
    <w:rsid w:val="00C1267B"/>
    <w:rsid w:val="00C128C2"/>
    <w:rsid w:val="00C12F08"/>
    <w:rsid w:val="00C133F2"/>
    <w:rsid w:val="00C13A2E"/>
    <w:rsid w:val="00C13B77"/>
    <w:rsid w:val="00C13BC6"/>
    <w:rsid w:val="00C13CF1"/>
    <w:rsid w:val="00C14401"/>
    <w:rsid w:val="00C14545"/>
    <w:rsid w:val="00C14921"/>
    <w:rsid w:val="00C14A85"/>
    <w:rsid w:val="00C14D01"/>
    <w:rsid w:val="00C15047"/>
    <w:rsid w:val="00C15861"/>
    <w:rsid w:val="00C158A1"/>
    <w:rsid w:val="00C15FBE"/>
    <w:rsid w:val="00C16346"/>
    <w:rsid w:val="00C16349"/>
    <w:rsid w:val="00C168BA"/>
    <w:rsid w:val="00C16994"/>
    <w:rsid w:val="00C16BFB"/>
    <w:rsid w:val="00C17418"/>
    <w:rsid w:val="00C17A31"/>
    <w:rsid w:val="00C17E3B"/>
    <w:rsid w:val="00C17EDF"/>
    <w:rsid w:val="00C17FAD"/>
    <w:rsid w:val="00C200A5"/>
    <w:rsid w:val="00C20244"/>
    <w:rsid w:val="00C20490"/>
    <w:rsid w:val="00C20568"/>
    <w:rsid w:val="00C20A7C"/>
    <w:rsid w:val="00C20B22"/>
    <w:rsid w:val="00C20B96"/>
    <w:rsid w:val="00C211F2"/>
    <w:rsid w:val="00C21413"/>
    <w:rsid w:val="00C21423"/>
    <w:rsid w:val="00C21613"/>
    <w:rsid w:val="00C2191C"/>
    <w:rsid w:val="00C219F6"/>
    <w:rsid w:val="00C21A9B"/>
    <w:rsid w:val="00C21B5C"/>
    <w:rsid w:val="00C22195"/>
    <w:rsid w:val="00C2226B"/>
    <w:rsid w:val="00C229A6"/>
    <w:rsid w:val="00C22FFD"/>
    <w:rsid w:val="00C2309A"/>
    <w:rsid w:val="00C2359F"/>
    <w:rsid w:val="00C235F8"/>
    <w:rsid w:val="00C23643"/>
    <w:rsid w:val="00C23AFD"/>
    <w:rsid w:val="00C23C8B"/>
    <w:rsid w:val="00C24272"/>
    <w:rsid w:val="00C2446A"/>
    <w:rsid w:val="00C2467B"/>
    <w:rsid w:val="00C24F8E"/>
    <w:rsid w:val="00C251E9"/>
    <w:rsid w:val="00C261B4"/>
    <w:rsid w:val="00C26C72"/>
    <w:rsid w:val="00C26D4E"/>
    <w:rsid w:val="00C26DEF"/>
    <w:rsid w:val="00C270A6"/>
    <w:rsid w:val="00C272B9"/>
    <w:rsid w:val="00C27442"/>
    <w:rsid w:val="00C274BE"/>
    <w:rsid w:val="00C2775D"/>
    <w:rsid w:val="00C277BC"/>
    <w:rsid w:val="00C27E57"/>
    <w:rsid w:val="00C27EB9"/>
    <w:rsid w:val="00C27FFC"/>
    <w:rsid w:val="00C30003"/>
    <w:rsid w:val="00C30594"/>
    <w:rsid w:val="00C309B0"/>
    <w:rsid w:val="00C30D48"/>
    <w:rsid w:val="00C313E7"/>
    <w:rsid w:val="00C3189D"/>
    <w:rsid w:val="00C31B23"/>
    <w:rsid w:val="00C3220F"/>
    <w:rsid w:val="00C32394"/>
    <w:rsid w:val="00C32AAD"/>
    <w:rsid w:val="00C32D2C"/>
    <w:rsid w:val="00C33426"/>
    <w:rsid w:val="00C33788"/>
    <w:rsid w:val="00C33D37"/>
    <w:rsid w:val="00C342C8"/>
    <w:rsid w:val="00C343E3"/>
    <w:rsid w:val="00C34539"/>
    <w:rsid w:val="00C34739"/>
    <w:rsid w:val="00C34BD8"/>
    <w:rsid w:val="00C34C52"/>
    <w:rsid w:val="00C34DDE"/>
    <w:rsid w:val="00C34EE6"/>
    <w:rsid w:val="00C35682"/>
    <w:rsid w:val="00C35C7B"/>
    <w:rsid w:val="00C35F9B"/>
    <w:rsid w:val="00C360E2"/>
    <w:rsid w:val="00C363C6"/>
    <w:rsid w:val="00C36462"/>
    <w:rsid w:val="00C36469"/>
    <w:rsid w:val="00C3688E"/>
    <w:rsid w:val="00C36998"/>
    <w:rsid w:val="00C36E0B"/>
    <w:rsid w:val="00C3702E"/>
    <w:rsid w:val="00C37BE7"/>
    <w:rsid w:val="00C37E72"/>
    <w:rsid w:val="00C37E87"/>
    <w:rsid w:val="00C40204"/>
    <w:rsid w:val="00C4039A"/>
    <w:rsid w:val="00C40B1B"/>
    <w:rsid w:val="00C40C95"/>
    <w:rsid w:val="00C41188"/>
    <w:rsid w:val="00C412E5"/>
    <w:rsid w:val="00C418D4"/>
    <w:rsid w:val="00C41A7C"/>
    <w:rsid w:val="00C41DB4"/>
    <w:rsid w:val="00C42825"/>
    <w:rsid w:val="00C4297E"/>
    <w:rsid w:val="00C42D40"/>
    <w:rsid w:val="00C430DC"/>
    <w:rsid w:val="00C4341E"/>
    <w:rsid w:val="00C434EF"/>
    <w:rsid w:val="00C43801"/>
    <w:rsid w:val="00C43C1D"/>
    <w:rsid w:val="00C43CF7"/>
    <w:rsid w:val="00C43D15"/>
    <w:rsid w:val="00C43D56"/>
    <w:rsid w:val="00C4439C"/>
    <w:rsid w:val="00C44921"/>
    <w:rsid w:val="00C452C5"/>
    <w:rsid w:val="00C4589B"/>
    <w:rsid w:val="00C45B1A"/>
    <w:rsid w:val="00C45D64"/>
    <w:rsid w:val="00C45DF5"/>
    <w:rsid w:val="00C46832"/>
    <w:rsid w:val="00C46A9A"/>
    <w:rsid w:val="00C46CE2"/>
    <w:rsid w:val="00C4707F"/>
    <w:rsid w:val="00C47174"/>
    <w:rsid w:val="00C47286"/>
    <w:rsid w:val="00C4780E"/>
    <w:rsid w:val="00C47873"/>
    <w:rsid w:val="00C478DA"/>
    <w:rsid w:val="00C478E1"/>
    <w:rsid w:val="00C47978"/>
    <w:rsid w:val="00C47A3F"/>
    <w:rsid w:val="00C47AC5"/>
    <w:rsid w:val="00C47E66"/>
    <w:rsid w:val="00C501A4"/>
    <w:rsid w:val="00C50220"/>
    <w:rsid w:val="00C50388"/>
    <w:rsid w:val="00C503C3"/>
    <w:rsid w:val="00C50AEB"/>
    <w:rsid w:val="00C50D37"/>
    <w:rsid w:val="00C513FF"/>
    <w:rsid w:val="00C51989"/>
    <w:rsid w:val="00C520EB"/>
    <w:rsid w:val="00C52B59"/>
    <w:rsid w:val="00C52C26"/>
    <w:rsid w:val="00C52D0F"/>
    <w:rsid w:val="00C534F1"/>
    <w:rsid w:val="00C536A1"/>
    <w:rsid w:val="00C539D3"/>
    <w:rsid w:val="00C53BC6"/>
    <w:rsid w:val="00C53DB2"/>
    <w:rsid w:val="00C53F28"/>
    <w:rsid w:val="00C5403A"/>
    <w:rsid w:val="00C5409E"/>
    <w:rsid w:val="00C5431C"/>
    <w:rsid w:val="00C5499C"/>
    <w:rsid w:val="00C54B9F"/>
    <w:rsid w:val="00C55B0D"/>
    <w:rsid w:val="00C55BFC"/>
    <w:rsid w:val="00C55E6D"/>
    <w:rsid w:val="00C55EE6"/>
    <w:rsid w:val="00C563B2"/>
    <w:rsid w:val="00C56B6C"/>
    <w:rsid w:val="00C571CA"/>
    <w:rsid w:val="00C57388"/>
    <w:rsid w:val="00C57895"/>
    <w:rsid w:val="00C600A4"/>
    <w:rsid w:val="00C603E1"/>
    <w:rsid w:val="00C6040C"/>
    <w:rsid w:val="00C60AD3"/>
    <w:rsid w:val="00C60B9E"/>
    <w:rsid w:val="00C61506"/>
    <w:rsid w:val="00C61EEB"/>
    <w:rsid w:val="00C6247E"/>
    <w:rsid w:val="00C6293E"/>
    <w:rsid w:val="00C62CE7"/>
    <w:rsid w:val="00C62F3A"/>
    <w:rsid w:val="00C637EB"/>
    <w:rsid w:val="00C63F92"/>
    <w:rsid w:val="00C64123"/>
    <w:rsid w:val="00C64894"/>
    <w:rsid w:val="00C6511D"/>
    <w:rsid w:val="00C657DF"/>
    <w:rsid w:val="00C65CE2"/>
    <w:rsid w:val="00C65DA3"/>
    <w:rsid w:val="00C6690C"/>
    <w:rsid w:val="00C669F9"/>
    <w:rsid w:val="00C66EA1"/>
    <w:rsid w:val="00C67991"/>
    <w:rsid w:val="00C67AA3"/>
    <w:rsid w:val="00C67AE5"/>
    <w:rsid w:val="00C67C36"/>
    <w:rsid w:val="00C67D80"/>
    <w:rsid w:val="00C70024"/>
    <w:rsid w:val="00C70122"/>
    <w:rsid w:val="00C70193"/>
    <w:rsid w:val="00C7024B"/>
    <w:rsid w:val="00C702B7"/>
    <w:rsid w:val="00C706E6"/>
    <w:rsid w:val="00C70A3B"/>
    <w:rsid w:val="00C70AE4"/>
    <w:rsid w:val="00C70C15"/>
    <w:rsid w:val="00C70F8D"/>
    <w:rsid w:val="00C71252"/>
    <w:rsid w:val="00C715FF"/>
    <w:rsid w:val="00C718DD"/>
    <w:rsid w:val="00C719A5"/>
    <w:rsid w:val="00C71A02"/>
    <w:rsid w:val="00C71A79"/>
    <w:rsid w:val="00C71C31"/>
    <w:rsid w:val="00C72498"/>
    <w:rsid w:val="00C727B1"/>
    <w:rsid w:val="00C73212"/>
    <w:rsid w:val="00C7333C"/>
    <w:rsid w:val="00C7369C"/>
    <w:rsid w:val="00C736D0"/>
    <w:rsid w:val="00C7479A"/>
    <w:rsid w:val="00C74886"/>
    <w:rsid w:val="00C751FD"/>
    <w:rsid w:val="00C7538A"/>
    <w:rsid w:val="00C75883"/>
    <w:rsid w:val="00C75990"/>
    <w:rsid w:val="00C76107"/>
    <w:rsid w:val="00C762DF"/>
    <w:rsid w:val="00C763A6"/>
    <w:rsid w:val="00C764AF"/>
    <w:rsid w:val="00C7664E"/>
    <w:rsid w:val="00C76F93"/>
    <w:rsid w:val="00C770BC"/>
    <w:rsid w:val="00C77507"/>
    <w:rsid w:val="00C776F7"/>
    <w:rsid w:val="00C77803"/>
    <w:rsid w:val="00C77881"/>
    <w:rsid w:val="00C77C34"/>
    <w:rsid w:val="00C77CE4"/>
    <w:rsid w:val="00C77F17"/>
    <w:rsid w:val="00C77FDF"/>
    <w:rsid w:val="00C80301"/>
    <w:rsid w:val="00C80681"/>
    <w:rsid w:val="00C80757"/>
    <w:rsid w:val="00C80FAE"/>
    <w:rsid w:val="00C81413"/>
    <w:rsid w:val="00C81C02"/>
    <w:rsid w:val="00C81D17"/>
    <w:rsid w:val="00C81E20"/>
    <w:rsid w:val="00C81EDA"/>
    <w:rsid w:val="00C827EF"/>
    <w:rsid w:val="00C82D76"/>
    <w:rsid w:val="00C8313D"/>
    <w:rsid w:val="00C8358B"/>
    <w:rsid w:val="00C84812"/>
    <w:rsid w:val="00C84933"/>
    <w:rsid w:val="00C8504C"/>
    <w:rsid w:val="00C85499"/>
    <w:rsid w:val="00C856BB"/>
    <w:rsid w:val="00C86149"/>
    <w:rsid w:val="00C86182"/>
    <w:rsid w:val="00C86499"/>
    <w:rsid w:val="00C864BB"/>
    <w:rsid w:val="00C869CF"/>
    <w:rsid w:val="00C86A1C"/>
    <w:rsid w:val="00C873B8"/>
    <w:rsid w:val="00C874D1"/>
    <w:rsid w:val="00C87882"/>
    <w:rsid w:val="00C87B39"/>
    <w:rsid w:val="00C87D9E"/>
    <w:rsid w:val="00C9077B"/>
    <w:rsid w:val="00C9082D"/>
    <w:rsid w:val="00C9100E"/>
    <w:rsid w:val="00C912F2"/>
    <w:rsid w:val="00C9169B"/>
    <w:rsid w:val="00C91E10"/>
    <w:rsid w:val="00C92057"/>
    <w:rsid w:val="00C92066"/>
    <w:rsid w:val="00C923F5"/>
    <w:rsid w:val="00C92DFF"/>
    <w:rsid w:val="00C92E0F"/>
    <w:rsid w:val="00C93023"/>
    <w:rsid w:val="00C93379"/>
    <w:rsid w:val="00C933B1"/>
    <w:rsid w:val="00C93712"/>
    <w:rsid w:val="00C938AB"/>
    <w:rsid w:val="00C93931"/>
    <w:rsid w:val="00C93AC3"/>
    <w:rsid w:val="00C93BCF"/>
    <w:rsid w:val="00C93C57"/>
    <w:rsid w:val="00C93DFC"/>
    <w:rsid w:val="00C94237"/>
    <w:rsid w:val="00C94A6B"/>
    <w:rsid w:val="00C94AE6"/>
    <w:rsid w:val="00C94C5B"/>
    <w:rsid w:val="00C94CD1"/>
    <w:rsid w:val="00C95041"/>
    <w:rsid w:val="00C95492"/>
    <w:rsid w:val="00C9572F"/>
    <w:rsid w:val="00C9578C"/>
    <w:rsid w:val="00C95BA6"/>
    <w:rsid w:val="00C95E17"/>
    <w:rsid w:val="00C962AD"/>
    <w:rsid w:val="00C9661C"/>
    <w:rsid w:val="00C96628"/>
    <w:rsid w:val="00C96661"/>
    <w:rsid w:val="00C96886"/>
    <w:rsid w:val="00C96D19"/>
    <w:rsid w:val="00C96DD2"/>
    <w:rsid w:val="00C96EF7"/>
    <w:rsid w:val="00C97107"/>
    <w:rsid w:val="00C972E8"/>
    <w:rsid w:val="00C975A7"/>
    <w:rsid w:val="00C9776C"/>
    <w:rsid w:val="00C97ADA"/>
    <w:rsid w:val="00C97E73"/>
    <w:rsid w:val="00CA16CA"/>
    <w:rsid w:val="00CA18E9"/>
    <w:rsid w:val="00CA1F62"/>
    <w:rsid w:val="00CA235D"/>
    <w:rsid w:val="00CA2393"/>
    <w:rsid w:val="00CA26F8"/>
    <w:rsid w:val="00CA2C84"/>
    <w:rsid w:val="00CA2D76"/>
    <w:rsid w:val="00CA2EDE"/>
    <w:rsid w:val="00CA2F81"/>
    <w:rsid w:val="00CA3066"/>
    <w:rsid w:val="00CA3113"/>
    <w:rsid w:val="00CA32F3"/>
    <w:rsid w:val="00CA3448"/>
    <w:rsid w:val="00CA3616"/>
    <w:rsid w:val="00CA3A35"/>
    <w:rsid w:val="00CA3BC1"/>
    <w:rsid w:val="00CA3EA2"/>
    <w:rsid w:val="00CA4352"/>
    <w:rsid w:val="00CA470E"/>
    <w:rsid w:val="00CA481F"/>
    <w:rsid w:val="00CA4BCE"/>
    <w:rsid w:val="00CA4F10"/>
    <w:rsid w:val="00CA58D8"/>
    <w:rsid w:val="00CA6298"/>
    <w:rsid w:val="00CA62A6"/>
    <w:rsid w:val="00CA6349"/>
    <w:rsid w:val="00CA64CD"/>
    <w:rsid w:val="00CA6CF5"/>
    <w:rsid w:val="00CA6F07"/>
    <w:rsid w:val="00CA717C"/>
    <w:rsid w:val="00CA752C"/>
    <w:rsid w:val="00CA7975"/>
    <w:rsid w:val="00CA7AEA"/>
    <w:rsid w:val="00CA7FA7"/>
    <w:rsid w:val="00CB0AA9"/>
    <w:rsid w:val="00CB1267"/>
    <w:rsid w:val="00CB132A"/>
    <w:rsid w:val="00CB1C28"/>
    <w:rsid w:val="00CB2570"/>
    <w:rsid w:val="00CB2744"/>
    <w:rsid w:val="00CB2A5D"/>
    <w:rsid w:val="00CB2FAF"/>
    <w:rsid w:val="00CB30F3"/>
    <w:rsid w:val="00CB310C"/>
    <w:rsid w:val="00CB33AC"/>
    <w:rsid w:val="00CB33FC"/>
    <w:rsid w:val="00CB378B"/>
    <w:rsid w:val="00CB466E"/>
    <w:rsid w:val="00CB49EE"/>
    <w:rsid w:val="00CB50B3"/>
    <w:rsid w:val="00CB50E3"/>
    <w:rsid w:val="00CB5260"/>
    <w:rsid w:val="00CB53FD"/>
    <w:rsid w:val="00CB546E"/>
    <w:rsid w:val="00CB54EB"/>
    <w:rsid w:val="00CB5EB7"/>
    <w:rsid w:val="00CB62A9"/>
    <w:rsid w:val="00CB643B"/>
    <w:rsid w:val="00CB66CC"/>
    <w:rsid w:val="00CB6BEB"/>
    <w:rsid w:val="00CB6D7C"/>
    <w:rsid w:val="00CB6E07"/>
    <w:rsid w:val="00CB701A"/>
    <w:rsid w:val="00CB7C4E"/>
    <w:rsid w:val="00CC0102"/>
    <w:rsid w:val="00CC05B6"/>
    <w:rsid w:val="00CC081A"/>
    <w:rsid w:val="00CC0C1F"/>
    <w:rsid w:val="00CC0E6A"/>
    <w:rsid w:val="00CC0EC6"/>
    <w:rsid w:val="00CC0FE3"/>
    <w:rsid w:val="00CC1388"/>
    <w:rsid w:val="00CC22CE"/>
    <w:rsid w:val="00CC25B8"/>
    <w:rsid w:val="00CC27E2"/>
    <w:rsid w:val="00CC2821"/>
    <w:rsid w:val="00CC2AC7"/>
    <w:rsid w:val="00CC2CDD"/>
    <w:rsid w:val="00CC2D71"/>
    <w:rsid w:val="00CC2DB4"/>
    <w:rsid w:val="00CC3054"/>
    <w:rsid w:val="00CC3230"/>
    <w:rsid w:val="00CC3CD5"/>
    <w:rsid w:val="00CC3E9D"/>
    <w:rsid w:val="00CC3F05"/>
    <w:rsid w:val="00CC40B1"/>
    <w:rsid w:val="00CC4502"/>
    <w:rsid w:val="00CC4A15"/>
    <w:rsid w:val="00CC4B2F"/>
    <w:rsid w:val="00CC4C7D"/>
    <w:rsid w:val="00CC4FF2"/>
    <w:rsid w:val="00CC5131"/>
    <w:rsid w:val="00CC539D"/>
    <w:rsid w:val="00CC55ED"/>
    <w:rsid w:val="00CC571D"/>
    <w:rsid w:val="00CC5AEC"/>
    <w:rsid w:val="00CC5E67"/>
    <w:rsid w:val="00CC5FC5"/>
    <w:rsid w:val="00CC6009"/>
    <w:rsid w:val="00CC653E"/>
    <w:rsid w:val="00CC68FF"/>
    <w:rsid w:val="00CC6A06"/>
    <w:rsid w:val="00CC7326"/>
    <w:rsid w:val="00CC7410"/>
    <w:rsid w:val="00CC7419"/>
    <w:rsid w:val="00CC761A"/>
    <w:rsid w:val="00CC7651"/>
    <w:rsid w:val="00CC7BED"/>
    <w:rsid w:val="00CD020F"/>
    <w:rsid w:val="00CD0B5B"/>
    <w:rsid w:val="00CD0E5E"/>
    <w:rsid w:val="00CD1778"/>
    <w:rsid w:val="00CD1947"/>
    <w:rsid w:val="00CD1AE2"/>
    <w:rsid w:val="00CD2909"/>
    <w:rsid w:val="00CD2AD6"/>
    <w:rsid w:val="00CD3014"/>
    <w:rsid w:val="00CD32A2"/>
    <w:rsid w:val="00CD33C6"/>
    <w:rsid w:val="00CD3721"/>
    <w:rsid w:val="00CD3B78"/>
    <w:rsid w:val="00CD3C9A"/>
    <w:rsid w:val="00CD459C"/>
    <w:rsid w:val="00CD4B64"/>
    <w:rsid w:val="00CD4C76"/>
    <w:rsid w:val="00CD4F11"/>
    <w:rsid w:val="00CD536F"/>
    <w:rsid w:val="00CD5724"/>
    <w:rsid w:val="00CD58DA"/>
    <w:rsid w:val="00CD5998"/>
    <w:rsid w:val="00CD5A48"/>
    <w:rsid w:val="00CD613A"/>
    <w:rsid w:val="00CD62F2"/>
    <w:rsid w:val="00CD67B3"/>
    <w:rsid w:val="00CD6E85"/>
    <w:rsid w:val="00CD6EB9"/>
    <w:rsid w:val="00CD731F"/>
    <w:rsid w:val="00CD7D58"/>
    <w:rsid w:val="00CD7E5B"/>
    <w:rsid w:val="00CE0329"/>
    <w:rsid w:val="00CE09D2"/>
    <w:rsid w:val="00CE0BD1"/>
    <w:rsid w:val="00CE0BD4"/>
    <w:rsid w:val="00CE0BD6"/>
    <w:rsid w:val="00CE0C70"/>
    <w:rsid w:val="00CE0CDD"/>
    <w:rsid w:val="00CE0EB6"/>
    <w:rsid w:val="00CE1254"/>
    <w:rsid w:val="00CE1510"/>
    <w:rsid w:val="00CE1618"/>
    <w:rsid w:val="00CE18EE"/>
    <w:rsid w:val="00CE1B09"/>
    <w:rsid w:val="00CE1B0F"/>
    <w:rsid w:val="00CE1C85"/>
    <w:rsid w:val="00CE21C2"/>
    <w:rsid w:val="00CE21E3"/>
    <w:rsid w:val="00CE2763"/>
    <w:rsid w:val="00CE2E44"/>
    <w:rsid w:val="00CE38EB"/>
    <w:rsid w:val="00CE3A5C"/>
    <w:rsid w:val="00CE3E03"/>
    <w:rsid w:val="00CE4522"/>
    <w:rsid w:val="00CE45AE"/>
    <w:rsid w:val="00CE480A"/>
    <w:rsid w:val="00CE4C8C"/>
    <w:rsid w:val="00CE5257"/>
    <w:rsid w:val="00CE535E"/>
    <w:rsid w:val="00CE55CC"/>
    <w:rsid w:val="00CE55E7"/>
    <w:rsid w:val="00CE590E"/>
    <w:rsid w:val="00CE5982"/>
    <w:rsid w:val="00CE5A2F"/>
    <w:rsid w:val="00CE647E"/>
    <w:rsid w:val="00CE6622"/>
    <w:rsid w:val="00CE6900"/>
    <w:rsid w:val="00CE6AB5"/>
    <w:rsid w:val="00CE6BF2"/>
    <w:rsid w:val="00CE6DCE"/>
    <w:rsid w:val="00CE707C"/>
    <w:rsid w:val="00CE728B"/>
    <w:rsid w:val="00CE7664"/>
    <w:rsid w:val="00CE7CCE"/>
    <w:rsid w:val="00CE7E48"/>
    <w:rsid w:val="00CF0096"/>
    <w:rsid w:val="00CF04FE"/>
    <w:rsid w:val="00CF099A"/>
    <w:rsid w:val="00CF0D5E"/>
    <w:rsid w:val="00CF0D5F"/>
    <w:rsid w:val="00CF0E46"/>
    <w:rsid w:val="00CF0F6A"/>
    <w:rsid w:val="00CF0FC2"/>
    <w:rsid w:val="00CF1CEC"/>
    <w:rsid w:val="00CF1EE2"/>
    <w:rsid w:val="00CF1FF6"/>
    <w:rsid w:val="00CF2019"/>
    <w:rsid w:val="00CF213D"/>
    <w:rsid w:val="00CF24EC"/>
    <w:rsid w:val="00CF289C"/>
    <w:rsid w:val="00CF296B"/>
    <w:rsid w:val="00CF29FA"/>
    <w:rsid w:val="00CF2BD5"/>
    <w:rsid w:val="00CF3025"/>
    <w:rsid w:val="00CF31CE"/>
    <w:rsid w:val="00CF3422"/>
    <w:rsid w:val="00CF34B5"/>
    <w:rsid w:val="00CF358A"/>
    <w:rsid w:val="00CF37E8"/>
    <w:rsid w:val="00CF3819"/>
    <w:rsid w:val="00CF3993"/>
    <w:rsid w:val="00CF4008"/>
    <w:rsid w:val="00CF42DD"/>
    <w:rsid w:val="00CF458D"/>
    <w:rsid w:val="00CF46A2"/>
    <w:rsid w:val="00CF474C"/>
    <w:rsid w:val="00CF4B37"/>
    <w:rsid w:val="00CF51D3"/>
    <w:rsid w:val="00CF5A34"/>
    <w:rsid w:val="00CF5C9D"/>
    <w:rsid w:val="00CF5EAC"/>
    <w:rsid w:val="00CF615A"/>
    <w:rsid w:val="00CF68D0"/>
    <w:rsid w:val="00CF69D1"/>
    <w:rsid w:val="00CF7A25"/>
    <w:rsid w:val="00CF7B76"/>
    <w:rsid w:val="00CF7E86"/>
    <w:rsid w:val="00D003F1"/>
    <w:rsid w:val="00D0049C"/>
    <w:rsid w:val="00D004C5"/>
    <w:rsid w:val="00D00807"/>
    <w:rsid w:val="00D0083B"/>
    <w:rsid w:val="00D01308"/>
    <w:rsid w:val="00D0162A"/>
    <w:rsid w:val="00D016D7"/>
    <w:rsid w:val="00D01A30"/>
    <w:rsid w:val="00D01A94"/>
    <w:rsid w:val="00D01BBB"/>
    <w:rsid w:val="00D01E7A"/>
    <w:rsid w:val="00D02179"/>
    <w:rsid w:val="00D022E4"/>
    <w:rsid w:val="00D024EB"/>
    <w:rsid w:val="00D0257B"/>
    <w:rsid w:val="00D034A3"/>
    <w:rsid w:val="00D036EC"/>
    <w:rsid w:val="00D0394C"/>
    <w:rsid w:val="00D03B43"/>
    <w:rsid w:val="00D03D0D"/>
    <w:rsid w:val="00D03D32"/>
    <w:rsid w:val="00D0402F"/>
    <w:rsid w:val="00D04166"/>
    <w:rsid w:val="00D04663"/>
    <w:rsid w:val="00D048FD"/>
    <w:rsid w:val="00D04D87"/>
    <w:rsid w:val="00D0516F"/>
    <w:rsid w:val="00D05431"/>
    <w:rsid w:val="00D05526"/>
    <w:rsid w:val="00D058CD"/>
    <w:rsid w:val="00D0645F"/>
    <w:rsid w:val="00D06644"/>
    <w:rsid w:val="00D066AC"/>
    <w:rsid w:val="00D07356"/>
    <w:rsid w:val="00D077E2"/>
    <w:rsid w:val="00D07958"/>
    <w:rsid w:val="00D07FD0"/>
    <w:rsid w:val="00D101F1"/>
    <w:rsid w:val="00D1054D"/>
    <w:rsid w:val="00D10CA8"/>
    <w:rsid w:val="00D10DEA"/>
    <w:rsid w:val="00D11012"/>
    <w:rsid w:val="00D1149B"/>
    <w:rsid w:val="00D1151A"/>
    <w:rsid w:val="00D11921"/>
    <w:rsid w:val="00D11CB0"/>
    <w:rsid w:val="00D11F45"/>
    <w:rsid w:val="00D120DE"/>
    <w:rsid w:val="00D126BA"/>
    <w:rsid w:val="00D12C1E"/>
    <w:rsid w:val="00D12E87"/>
    <w:rsid w:val="00D1310E"/>
    <w:rsid w:val="00D13770"/>
    <w:rsid w:val="00D1378C"/>
    <w:rsid w:val="00D138F9"/>
    <w:rsid w:val="00D1390A"/>
    <w:rsid w:val="00D13991"/>
    <w:rsid w:val="00D13A06"/>
    <w:rsid w:val="00D1409A"/>
    <w:rsid w:val="00D142C1"/>
    <w:rsid w:val="00D146E1"/>
    <w:rsid w:val="00D147FD"/>
    <w:rsid w:val="00D14BCD"/>
    <w:rsid w:val="00D1506B"/>
    <w:rsid w:val="00D156FA"/>
    <w:rsid w:val="00D15C58"/>
    <w:rsid w:val="00D16241"/>
    <w:rsid w:val="00D1689C"/>
    <w:rsid w:val="00D169BB"/>
    <w:rsid w:val="00D16B17"/>
    <w:rsid w:val="00D16CAF"/>
    <w:rsid w:val="00D16D31"/>
    <w:rsid w:val="00D16FDF"/>
    <w:rsid w:val="00D17079"/>
    <w:rsid w:val="00D17372"/>
    <w:rsid w:val="00D17D58"/>
    <w:rsid w:val="00D17E08"/>
    <w:rsid w:val="00D202F4"/>
    <w:rsid w:val="00D20415"/>
    <w:rsid w:val="00D205C1"/>
    <w:rsid w:val="00D20F35"/>
    <w:rsid w:val="00D210A5"/>
    <w:rsid w:val="00D213FD"/>
    <w:rsid w:val="00D21745"/>
    <w:rsid w:val="00D21E91"/>
    <w:rsid w:val="00D2211C"/>
    <w:rsid w:val="00D22713"/>
    <w:rsid w:val="00D227B5"/>
    <w:rsid w:val="00D227FE"/>
    <w:rsid w:val="00D22E0C"/>
    <w:rsid w:val="00D22FED"/>
    <w:rsid w:val="00D23142"/>
    <w:rsid w:val="00D23650"/>
    <w:rsid w:val="00D23C36"/>
    <w:rsid w:val="00D23DE1"/>
    <w:rsid w:val="00D2495D"/>
    <w:rsid w:val="00D24C60"/>
    <w:rsid w:val="00D24CB1"/>
    <w:rsid w:val="00D25958"/>
    <w:rsid w:val="00D26095"/>
    <w:rsid w:val="00D26614"/>
    <w:rsid w:val="00D266A3"/>
    <w:rsid w:val="00D26940"/>
    <w:rsid w:val="00D26AAC"/>
    <w:rsid w:val="00D26AE1"/>
    <w:rsid w:val="00D26EB1"/>
    <w:rsid w:val="00D27580"/>
    <w:rsid w:val="00D2785D"/>
    <w:rsid w:val="00D278FD"/>
    <w:rsid w:val="00D27F3C"/>
    <w:rsid w:val="00D30269"/>
    <w:rsid w:val="00D307AA"/>
    <w:rsid w:val="00D308FA"/>
    <w:rsid w:val="00D30C37"/>
    <w:rsid w:val="00D31210"/>
    <w:rsid w:val="00D31754"/>
    <w:rsid w:val="00D319EA"/>
    <w:rsid w:val="00D31BE1"/>
    <w:rsid w:val="00D320C9"/>
    <w:rsid w:val="00D32C79"/>
    <w:rsid w:val="00D32CB5"/>
    <w:rsid w:val="00D32FA7"/>
    <w:rsid w:val="00D33548"/>
    <w:rsid w:val="00D33A0F"/>
    <w:rsid w:val="00D34390"/>
    <w:rsid w:val="00D3442E"/>
    <w:rsid w:val="00D3462D"/>
    <w:rsid w:val="00D347E8"/>
    <w:rsid w:val="00D349B6"/>
    <w:rsid w:val="00D35143"/>
    <w:rsid w:val="00D35295"/>
    <w:rsid w:val="00D355E5"/>
    <w:rsid w:val="00D35CD8"/>
    <w:rsid w:val="00D35DAD"/>
    <w:rsid w:val="00D35F3A"/>
    <w:rsid w:val="00D362F3"/>
    <w:rsid w:val="00D36537"/>
    <w:rsid w:val="00D3675E"/>
    <w:rsid w:val="00D36D73"/>
    <w:rsid w:val="00D37058"/>
    <w:rsid w:val="00D37167"/>
    <w:rsid w:val="00D371A8"/>
    <w:rsid w:val="00D37529"/>
    <w:rsid w:val="00D378BF"/>
    <w:rsid w:val="00D37957"/>
    <w:rsid w:val="00D409A0"/>
    <w:rsid w:val="00D40BA8"/>
    <w:rsid w:val="00D410FA"/>
    <w:rsid w:val="00D412AB"/>
    <w:rsid w:val="00D4139D"/>
    <w:rsid w:val="00D414D1"/>
    <w:rsid w:val="00D415AF"/>
    <w:rsid w:val="00D41BD2"/>
    <w:rsid w:val="00D41D37"/>
    <w:rsid w:val="00D420C1"/>
    <w:rsid w:val="00D42678"/>
    <w:rsid w:val="00D42A8A"/>
    <w:rsid w:val="00D42E69"/>
    <w:rsid w:val="00D42F7E"/>
    <w:rsid w:val="00D42F80"/>
    <w:rsid w:val="00D42FF4"/>
    <w:rsid w:val="00D430E5"/>
    <w:rsid w:val="00D43503"/>
    <w:rsid w:val="00D4370F"/>
    <w:rsid w:val="00D43AAC"/>
    <w:rsid w:val="00D43B24"/>
    <w:rsid w:val="00D43CDC"/>
    <w:rsid w:val="00D442D9"/>
    <w:rsid w:val="00D4485D"/>
    <w:rsid w:val="00D4494E"/>
    <w:rsid w:val="00D44B0E"/>
    <w:rsid w:val="00D44E50"/>
    <w:rsid w:val="00D453FD"/>
    <w:rsid w:val="00D458AC"/>
    <w:rsid w:val="00D45DCE"/>
    <w:rsid w:val="00D46AC3"/>
    <w:rsid w:val="00D4706B"/>
    <w:rsid w:val="00D4725B"/>
    <w:rsid w:val="00D47706"/>
    <w:rsid w:val="00D4793A"/>
    <w:rsid w:val="00D47DEE"/>
    <w:rsid w:val="00D47E4D"/>
    <w:rsid w:val="00D509F1"/>
    <w:rsid w:val="00D5121D"/>
    <w:rsid w:val="00D515D6"/>
    <w:rsid w:val="00D5161C"/>
    <w:rsid w:val="00D516C5"/>
    <w:rsid w:val="00D5292E"/>
    <w:rsid w:val="00D52990"/>
    <w:rsid w:val="00D52D7D"/>
    <w:rsid w:val="00D5334A"/>
    <w:rsid w:val="00D5353A"/>
    <w:rsid w:val="00D53C89"/>
    <w:rsid w:val="00D53CB9"/>
    <w:rsid w:val="00D53F4F"/>
    <w:rsid w:val="00D5426E"/>
    <w:rsid w:val="00D543BA"/>
    <w:rsid w:val="00D54533"/>
    <w:rsid w:val="00D54BF3"/>
    <w:rsid w:val="00D54C54"/>
    <w:rsid w:val="00D54C94"/>
    <w:rsid w:val="00D55856"/>
    <w:rsid w:val="00D55C31"/>
    <w:rsid w:val="00D55CD5"/>
    <w:rsid w:val="00D5601C"/>
    <w:rsid w:val="00D56505"/>
    <w:rsid w:val="00D5673D"/>
    <w:rsid w:val="00D5674E"/>
    <w:rsid w:val="00D56D77"/>
    <w:rsid w:val="00D56F96"/>
    <w:rsid w:val="00D57051"/>
    <w:rsid w:val="00D572CB"/>
    <w:rsid w:val="00D57422"/>
    <w:rsid w:val="00D57815"/>
    <w:rsid w:val="00D57EB4"/>
    <w:rsid w:val="00D60469"/>
    <w:rsid w:val="00D608AF"/>
    <w:rsid w:val="00D60CF1"/>
    <w:rsid w:val="00D60FAD"/>
    <w:rsid w:val="00D61078"/>
    <w:rsid w:val="00D61489"/>
    <w:rsid w:val="00D614B0"/>
    <w:rsid w:val="00D615F2"/>
    <w:rsid w:val="00D61B5B"/>
    <w:rsid w:val="00D61D7E"/>
    <w:rsid w:val="00D61E35"/>
    <w:rsid w:val="00D62490"/>
    <w:rsid w:val="00D6270D"/>
    <w:rsid w:val="00D62FD2"/>
    <w:rsid w:val="00D6309B"/>
    <w:rsid w:val="00D63288"/>
    <w:rsid w:val="00D633B9"/>
    <w:rsid w:val="00D633C5"/>
    <w:rsid w:val="00D635C9"/>
    <w:rsid w:val="00D64416"/>
    <w:rsid w:val="00D64482"/>
    <w:rsid w:val="00D648E7"/>
    <w:rsid w:val="00D64914"/>
    <w:rsid w:val="00D64A78"/>
    <w:rsid w:val="00D6558B"/>
    <w:rsid w:val="00D65641"/>
    <w:rsid w:val="00D6588A"/>
    <w:rsid w:val="00D65894"/>
    <w:rsid w:val="00D65A9E"/>
    <w:rsid w:val="00D6607B"/>
    <w:rsid w:val="00D66726"/>
    <w:rsid w:val="00D66815"/>
    <w:rsid w:val="00D66A8F"/>
    <w:rsid w:val="00D66AD5"/>
    <w:rsid w:val="00D672A3"/>
    <w:rsid w:val="00D67913"/>
    <w:rsid w:val="00D67D55"/>
    <w:rsid w:val="00D70691"/>
    <w:rsid w:val="00D7073F"/>
    <w:rsid w:val="00D70959"/>
    <w:rsid w:val="00D70B0C"/>
    <w:rsid w:val="00D70B3E"/>
    <w:rsid w:val="00D71320"/>
    <w:rsid w:val="00D7151A"/>
    <w:rsid w:val="00D717FA"/>
    <w:rsid w:val="00D71A2C"/>
    <w:rsid w:val="00D71D90"/>
    <w:rsid w:val="00D7202F"/>
    <w:rsid w:val="00D722D6"/>
    <w:rsid w:val="00D725B9"/>
    <w:rsid w:val="00D725CF"/>
    <w:rsid w:val="00D72891"/>
    <w:rsid w:val="00D72956"/>
    <w:rsid w:val="00D72977"/>
    <w:rsid w:val="00D72C23"/>
    <w:rsid w:val="00D72CBD"/>
    <w:rsid w:val="00D72E75"/>
    <w:rsid w:val="00D72E7A"/>
    <w:rsid w:val="00D731DE"/>
    <w:rsid w:val="00D732ED"/>
    <w:rsid w:val="00D73813"/>
    <w:rsid w:val="00D73B7F"/>
    <w:rsid w:val="00D73D21"/>
    <w:rsid w:val="00D73EBE"/>
    <w:rsid w:val="00D73F93"/>
    <w:rsid w:val="00D743A3"/>
    <w:rsid w:val="00D7445B"/>
    <w:rsid w:val="00D74812"/>
    <w:rsid w:val="00D74A20"/>
    <w:rsid w:val="00D75010"/>
    <w:rsid w:val="00D75058"/>
    <w:rsid w:val="00D75223"/>
    <w:rsid w:val="00D75E63"/>
    <w:rsid w:val="00D761C7"/>
    <w:rsid w:val="00D763D7"/>
    <w:rsid w:val="00D76881"/>
    <w:rsid w:val="00D769E8"/>
    <w:rsid w:val="00D76B1B"/>
    <w:rsid w:val="00D76DC8"/>
    <w:rsid w:val="00D77003"/>
    <w:rsid w:val="00D77081"/>
    <w:rsid w:val="00D77C96"/>
    <w:rsid w:val="00D80EF6"/>
    <w:rsid w:val="00D8126A"/>
    <w:rsid w:val="00D81F1A"/>
    <w:rsid w:val="00D824F2"/>
    <w:rsid w:val="00D831CC"/>
    <w:rsid w:val="00D83AD7"/>
    <w:rsid w:val="00D84519"/>
    <w:rsid w:val="00D8474A"/>
    <w:rsid w:val="00D8485C"/>
    <w:rsid w:val="00D84B0B"/>
    <w:rsid w:val="00D84BFA"/>
    <w:rsid w:val="00D851C3"/>
    <w:rsid w:val="00D859EE"/>
    <w:rsid w:val="00D85C86"/>
    <w:rsid w:val="00D85F3C"/>
    <w:rsid w:val="00D8616C"/>
    <w:rsid w:val="00D862EA"/>
    <w:rsid w:val="00D86609"/>
    <w:rsid w:val="00D86767"/>
    <w:rsid w:val="00D86C7D"/>
    <w:rsid w:val="00D86DBA"/>
    <w:rsid w:val="00D879F7"/>
    <w:rsid w:val="00D902B5"/>
    <w:rsid w:val="00D90B87"/>
    <w:rsid w:val="00D91330"/>
    <w:rsid w:val="00D91760"/>
    <w:rsid w:val="00D91B6D"/>
    <w:rsid w:val="00D91CD8"/>
    <w:rsid w:val="00D91D0F"/>
    <w:rsid w:val="00D9209D"/>
    <w:rsid w:val="00D92116"/>
    <w:rsid w:val="00D929ED"/>
    <w:rsid w:val="00D92CD8"/>
    <w:rsid w:val="00D92DCF"/>
    <w:rsid w:val="00D92E21"/>
    <w:rsid w:val="00D93172"/>
    <w:rsid w:val="00D93200"/>
    <w:rsid w:val="00D935A8"/>
    <w:rsid w:val="00D93B9A"/>
    <w:rsid w:val="00D93C3C"/>
    <w:rsid w:val="00D93F08"/>
    <w:rsid w:val="00D94033"/>
    <w:rsid w:val="00D941CA"/>
    <w:rsid w:val="00D94AAA"/>
    <w:rsid w:val="00D94D68"/>
    <w:rsid w:val="00D95363"/>
    <w:rsid w:val="00D954F2"/>
    <w:rsid w:val="00D9576D"/>
    <w:rsid w:val="00D95897"/>
    <w:rsid w:val="00D95A0C"/>
    <w:rsid w:val="00D95BA8"/>
    <w:rsid w:val="00D96072"/>
    <w:rsid w:val="00D960E0"/>
    <w:rsid w:val="00D961FF"/>
    <w:rsid w:val="00D9648F"/>
    <w:rsid w:val="00D96515"/>
    <w:rsid w:val="00D96598"/>
    <w:rsid w:val="00D96802"/>
    <w:rsid w:val="00D968D3"/>
    <w:rsid w:val="00D969DF"/>
    <w:rsid w:val="00D96C2A"/>
    <w:rsid w:val="00D972FE"/>
    <w:rsid w:val="00D97866"/>
    <w:rsid w:val="00D97929"/>
    <w:rsid w:val="00D97E06"/>
    <w:rsid w:val="00DA0AFB"/>
    <w:rsid w:val="00DA0B9A"/>
    <w:rsid w:val="00DA0BF2"/>
    <w:rsid w:val="00DA1244"/>
    <w:rsid w:val="00DA13A7"/>
    <w:rsid w:val="00DA1574"/>
    <w:rsid w:val="00DA1BF1"/>
    <w:rsid w:val="00DA1D20"/>
    <w:rsid w:val="00DA1D88"/>
    <w:rsid w:val="00DA1E0A"/>
    <w:rsid w:val="00DA1ED5"/>
    <w:rsid w:val="00DA2160"/>
    <w:rsid w:val="00DA249B"/>
    <w:rsid w:val="00DA25FC"/>
    <w:rsid w:val="00DA27C1"/>
    <w:rsid w:val="00DA27DB"/>
    <w:rsid w:val="00DA3792"/>
    <w:rsid w:val="00DA383C"/>
    <w:rsid w:val="00DA3AA8"/>
    <w:rsid w:val="00DA3DED"/>
    <w:rsid w:val="00DA3EC7"/>
    <w:rsid w:val="00DA3F25"/>
    <w:rsid w:val="00DA3F80"/>
    <w:rsid w:val="00DA490F"/>
    <w:rsid w:val="00DA4932"/>
    <w:rsid w:val="00DA49D7"/>
    <w:rsid w:val="00DA4A35"/>
    <w:rsid w:val="00DA4BBF"/>
    <w:rsid w:val="00DA4DB1"/>
    <w:rsid w:val="00DA5A12"/>
    <w:rsid w:val="00DA5A3B"/>
    <w:rsid w:val="00DA5CEC"/>
    <w:rsid w:val="00DA5ECE"/>
    <w:rsid w:val="00DA5F37"/>
    <w:rsid w:val="00DA63EF"/>
    <w:rsid w:val="00DA6591"/>
    <w:rsid w:val="00DA6A95"/>
    <w:rsid w:val="00DA6C52"/>
    <w:rsid w:val="00DA6F1D"/>
    <w:rsid w:val="00DA730B"/>
    <w:rsid w:val="00DA777C"/>
    <w:rsid w:val="00DA7A1B"/>
    <w:rsid w:val="00DA7EE3"/>
    <w:rsid w:val="00DB006F"/>
    <w:rsid w:val="00DB00F2"/>
    <w:rsid w:val="00DB01ED"/>
    <w:rsid w:val="00DB0BD1"/>
    <w:rsid w:val="00DB0BE8"/>
    <w:rsid w:val="00DB0C75"/>
    <w:rsid w:val="00DB0DBB"/>
    <w:rsid w:val="00DB18CB"/>
    <w:rsid w:val="00DB19C2"/>
    <w:rsid w:val="00DB1B77"/>
    <w:rsid w:val="00DB1EA4"/>
    <w:rsid w:val="00DB225E"/>
    <w:rsid w:val="00DB24C3"/>
    <w:rsid w:val="00DB2637"/>
    <w:rsid w:val="00DB289C"/>
    <w:rsid w:val="00DB2C1D"/>
    <w:rsid w:val="00DB3C04"/>
    <w:rsid w:val="00DB3D6F"/>
    <w:rsid w:val="00DB3EB4"/>
    <w:rsid w:val="00DB423A"/>
    <w:rsid w:val="00DB44E8"/>
    <w:rsid w:val="00DB44F7"/>
    <w:rsid w:val="00DB4670"/>
    <w:rsid w:val="00DB4947"/>
    <w:rsid w:val="00DB4B89"/>
    <w:rsid w:val="00DB4F84"/>
    <w:rsid w:val="00DB514B"/>
    <w:rsid w:val="00DB52BD"/>
    <w:rsid w:val="00DB53B2"/>
    <w:rsid w:val="00DB5FA3"/>
    <w:rsid w:val="00DB5FDD"/>
    <w:rsid w:val="00DB5FF6"/>
    <w:rsid w:val="00DB665C"/>
    <w:rsid w:val="00DB6C10"/>
    <w:rsid w:val="00DB6CAE"/>
    <w:rsid w:val="00DB6DF2"/>
    <w:rsid w:val="00DB7101"/>
    <w:rsid w:val="00DB71BF"/>
    <w:rsid w:val="00DB7582"/>
    <w:rsid w:val="00DB75B3"/>
    <w:rsid w:val="00DB7A6B"/>
    <w:rsid w:val="00DB7B34"/>
    <w:rsid w:val="00DC00CE"/>
    <w:rsid w:val="00DC02DF"/>
    <w:rsid w:val="00DC0AE1"/>
    <w:rsid w:val="00DC0BD3"/>
    <w:rsid w:val="00DC12C7"/>
    <w:rsid w:val="00DC13B1"/>
    <w:rsid w:val="00DC1B15"/>
    <w:rsid w:val="00DC1C74"/>
    <w:rsid w:val="00DC1CC8"/>
    <w:rsid w:val="00DC1CEE"/>
    <w:rsid w:val="00DC256B"/>
    <w:rsid w:val="00DC2AA5"/>
    <w:rsid w:val="00DC2D1E"/>
    <w:rsid w:val="00DC305D"/>
    <w:rsid w:val="00DC325B"/>
    <w:rsid w:val="00DC3442"/>
    <w:rsid w:val="00DC35D1"/>
    <w:rsid w:val="00DC37F3"/>
    <w:rsid w:val="00DC3A4D"/>
    <w:rsid w:val="00DC3D0E"/>
    <w:rsid w:val="00DC406D"/>
    <w:rsid w:val="00DC4205"/>
    <w:rsid w:val="00DC42B1"/>
    <w:rsid w:val="00DC439E"/>
    <w:rsid w:val="00DC4412"/>
    <w:rsid w:val="00DC4754"/>
    <w:rsid w:val="00DC4765"/>
    <w:rsid w:val="00DC49D0"/>
    <w:rsid w:val="00DC4F4B"/>
    <w:rsid w:val="00DC50F9"/>
    <w:rsid w:val="00DC5171"/>
    <w:rsid w:val="00DC5220"/>
    <w:rsid w:val="00DC530A"/>
    <w:rsid w:val="00DC58E7"/>
    <w:rsid w:val="00DC5CEF"/>
    <w:rsid w:val="00DC5CF4"/>
    <w:rsid w:val="00DC5D8C"/>
    <w:rsid w:val="00DC5E3B"/>
    <w:rsid w:val="00DC5E98"/>
    <w:rsid w:val="00DC6572"/>
    <w:rsid w:val="00DC6726"/>
    <w:rsid w:val="00DC6731"/>
    <w:rsid w:val="00DC69D5"/>
    <w:rsid w:val="00DC700C"/>
    <w:rsid w:val="00DC74A6"/>
    <w:rsid w:val="00DC76B6"/>
    <w:rsid w:val="00DC773D"/>
    <w:rsid w:val="00DC78CE"/>
    <w:rsid w:val="00DD0362"/>
    <w:rsid w:val="00DD0603"/>
    <w:rsid w:val="00DD062C"/>
    <w:rsid w:val="00DD0838"/>
    <w:rsid w:val="00DD0C91"/>
    <w:rsid w:val="00DD0F7E"/>
    <w:rsid w:val="00DD17CA"/>
    <w:rsid w:val="00DD1905"/>
    <w:rsid w:val="00DD201C"/>
    <w:rsid w:val="00DD22BB"/>
    <w:rsid w:val="00DD25AC"/>
    <w:rsid w:val="00DD26C8"/>
    <w:rsid w:val="00DD28B2"/>
    <w:rsid w:val="00DD2A01"/>
    <w:rsid w:val="00DD2F92"/>
    <w:rsid w:val="00DD2FC1"/>
    <w:rsid w:val="00DD33D3"/>
    <w:rsid w:val="00DD34D7"/>
    <w:rsid w:val="00DD362F"/>
    <w:rsid w:val="00DD3F9E"/>
    <w:rsid w:val="00DD4424"/>
    <w:rsid w:val="00DD487D"/>
    <w:rsid w:val="00DD488C"/>
    <w:rsid w:val="00DD498E"/>
    <w:rsid w:val="00DD4A10"/>
    <w:rsid w:val="00DD542F"/>
    <w:rsid w:val="00DD5488"/>
    <w:rsid w:val="00DD5536"/>
    <w:rsid w:val="00DD5552"/>
    <w:rsid w:val="00DD5813"/>
    <w:rsid w:val="00DD59DA"/>
    <w:rsid w:val="00DD5CDB"/>
    <w:rsid w:val="00DD605C"/>
    <w:rsid w:val="00DD62B7"/>
    <w:rsid w:val="00DD6555"/>
    <w:rsid w:val="00DD6841"/>
    <w:rsid w:val="00DD6E49"/>
    <w:rsid w:val="00DD72B2"/>
    <w:rsid w:val="00DD751E"/>
    <w:rsid w:val="00DD7983"/>
    <w:rsid w:val="00DD79FF"/>
    <w:rsid w:val="00DE00D3"/>
    <w:rsid w:val="00DE015D"/>
    <w:rsid w:val="00DE0415"/>
    <w:rsid w:val="00DE051C"/>
    <w:rsid w:val="00DE0640"/>
    <w:rsid w:val="00DE06E7"/>
    <w:rsid w:val="00DE0A73"/>
    <w:rsid w:val="00DE0C73"/>
    <w:rsid w:val="00DE1185"/>
    <w:rsid w:val="00DE1531"/>
    <w:rsid w:val="00DE16B5"/>
    <w:rsid w:val="00DE195D"/>
    <w:rsid w:val="00DE1A7D"/>
    <w:rsid w:val="00DE1C3A"/>
    <w:rsid w:val="00DE1CCA"/>
    <w:rsid w:val="00DE1F97"/>
    <w:rsid w:val="00DE1FA7"/>
    <w:rsid w:val="00DE1FF5"/>
    <w:rsid w:val="00DE202A"/>
    <w:rsid w:val="00DE2730"/>
    <w:rsid w:val="00DE278E"/>
    <w:rsid w:val="00DE2C15"/>
    <w:rsid w:val="00DE324C"/>
    <w:rsid w:val="00DE3602"/>
    <w:rsid w:val="00DE3645"/>
    <w:rsid w:val="00DE368F"/>
    <w:rsid w:val="00DE3B6E"/>
    <w:rsid w:val="00DE418B"/>
    <w:rsid w:val="00DE42BB"/>
    <w:rsid w:val="00DE42F5"/>
    <w:rsid w:val="00DE4475"/>
    <w:rsid w:val="00DE468E"/>
    <w:rsid w:val="00DE4896"/>
    <w:rsid w:val="00DE4A28"/>
    <w:rsid w:val="00DE4C0C"/>
    <w:rsid w:val="00DE4F0A"/>
    <w:rsid w:val="00DE55BA"/>
    <w:rsid w:val="00DE582F"/>
    <w:rsid w:val="00DE5B82"/>
    <w:rsid w:val="00DE6480"/>
    <w:rsid w:val="00DE6A3D"/>
    <w:rsid w:val="00DE6FDB"/>
    <w:rsid w:val="00DE7004"/>
    <w:rsid w:val="00DE72D9"/>
    <w:rsid w:val="00DE7449"/>
    <w:rsid w:val="00DE750A"/>
    <w:rsid w:val="00DE7702"/>
    <w:rsid w:val="00DE78A1"/>
    <w:rsid w:val="00DE7B5C"/>
    <w:rsid w:val="00DE7EC5"/>
    <w:rsid w:val="00DF006F"/>
    <w:rsid w:val="00DF0163"/>
    <w:rsid w:val="00DF0585"/>
    <w:rsid w:val="00DF070E"/>
    <w:rsid w:val="00DF0909"/>
    <w:rsid w:val="00DF0992"/>
    <w:rsid w:val="00DF0DA1"/>
    <w:rsid w:val="00DF0FD9"/>
    <w:rsid w:val="00DF114C"/>
    <w:rsid w:val="00DF136D"/>
    <w:rsid w:val="00DF173C"/>
    <w:rsid w:val="00DF1994"/>
    <w:rsid w:val="00DF1A67"/>
    <w:rsid w:val="00DF1CCA"/>
    <w:rsid w:val="00DF20AC"/>
    <w:rsid w:val="00DF2168"/>
    <w:rsid w:val="00DF217D"/>
    <w:rsid w:val="00DF224C"/>
    <w:rsid w:val="00DF25DE"/>
    <w:rsid w:val="00DF2810"/>
    <w:rsid w:val="00DF28CB"/>
    <w:rsid w:val="00DF2927"/>
    <w:rsid w:val="00DF3465"/>
    <w:rsid w:val="00DF3855"/>
    <w:rsid w:val="00DF3CC2"/>
    <w:rsid w:val="00DF3F89"/>
    <w:rsid w:val="00DF4066"/>
    <w:rsid w:val="00DF439B"/>
    <w:rsid w:val="00DF46DC"/>
    <w:rsid w:val="00DF475A"/>
    <w:rsid w:val="00DF48ED"/>
    <w:rsid w:val="00DF4AC9"/>
    <w:rsid w:val="00DF4F56"/>
    <w:rsid w:val="00DF4FE6"/>
    <w:rsid w:val="00DF5188"/>
    <w:rsid w:val="00DF53DF"/>
    <w:rsid w:val="00DF5577"/>
    <w:rsid w:val="00DF5746"/>
    <w:rsid w:val="00DF5873"/>
    <w:rsid w:val="00DF5B6B"/>
    <w:rsid w:val="00DF5BC1"/>
    <w:rsid w:val="00DF630C"/>
    <w:rsid w:val="00DF6439"/>
    <w:rsid w:val="00DF6770"/>
    <w:rsid w:val="00DF6D59"/>
    <w:rsid w:val="00DF6E02"/>
    <w:rsid w:val="00DF6E1B"/>
    <w:rsid w:val="00DF6FDC"/>
    <w:rsid w:val="00DF70C1"/>
    <w:rsid w:val="00DF7293"/>
    <w:rsid w:val="00DF7D57"/>
    <w:rsid w:val="00DF7EE0"/>
    <w:rsid w:val="00E0006D"/>
    <w:rsid w:val="00E000C9"/>
    <w:rsid w:val="00E006CC"/>
    <w:rsid w:val="00E00B85"/>
    <w:rsid w:val="00E00DBA"/>
    <w:rsid w:val="00E0166A"/>
    <w:rsid w:val="00E018F8"/>
    <w:rsid w:val="00E01A9D"/>
    <w:rsid w:val="00E020DC"/>
    <w:rsid w:val="00E02183"/>
    <w:rsid w:val="00E02239"/>
    <w:rsid w:val="00E025DF"/>
    <w:rsid w:val="00E026B5"/>
    <w:rsid w:val="00E02E61"/>
    <w:rsid w:val="00E031E5"/>
    <w:rsid w:val="00E03474"/>
    <w:rsid w:val="00E03750"/>
    <w:rsid w:val="00E04101"/>
    <w:rsid w:val="00E04188"/>
    <w:rsid w:val="00E04425"/>
    <w:rsid w:val="00E046D3"/>
    <w:rsid w:val="00E04971"/>
    <w:rsid w:val="00E049A3"/>
    <w:rsid w:val="00E049B9"/>
    <w:rsid w:val="00E05066"/>
    <w:rsid w:val="00E0559A"/>
    <w:rsid w:val="00E05A84"/>
    <w:rsid w:val="00E05D30"/>
    <w:rsid w:val="00E0607F"/>
    <w:rsid w:val="00E06527"/>
    <w:rsid w:val="00E0674A"/>
    <w:rsid w:val="00E06B62"/>
    <w:rsid w:val="00E06BED"/>
    <w:rsid w:val="00E06C68"/>
    <w:rsid w:val="00E06D64"/>
    <w:rsid w:val="00E06DF2"/>
    <w:rsid w:val="00E0752A"/>
    <w:rsid w:val="00E077DB"/>
    <w:rsid w:val="00E07A30"/>
    <w:rsid w:val="00E10226"/>
    <w:rsid w:val="00E103D6"/>
    <w:rsid w:val="00E104AD"/>
    <w:rsid w:val="00E10B6E"/>
    <w:rsid w:val="00E11420"/>
    <w:rsid w:val="00E11520"/>
    <w:rsid w:val="00E11873"/>
    <w:rsid w:val="00E11DE9"/>
    <w:rsid w:val="00E1261B"/>
    <w:rsid w:val="00E12AC7"/>
    <w:rsid w:val="00E12B97"/>
    <w:rsid w:val="00E12CCD"/>
    <w:rsid w:val="00E13124"/>
    <w:rsid w:val="00E13348"/>
    <w:rsid w:val="00E14068"/>
    <w:rsid w:val="00E145E5"/>
    <w:rsid w:val="00E14CB3"/>
    <w:rsid w:val="00E14E04"/>
    <w:rsid w:val="00E154F7"/>
    <w:rsid w:val="00E15545"/>
    <w:rsid w:val="00E15683"/>
    <w:rsid w:val="00E1618A"/>
    <w:rsid w:val="00E16B5B"/>
    <w:rsid w:val="00E17198"/>
    <w:rsid w:val="00E172E4"/>
    <w:rsid w:val="00E17353"/>
    <w:rsid w:val="00E173AE"/>
    <w:rsid w:val="00E173B1"/>
    <w:rsid w:val="00E1799F"/>
    <w:rsid w:val="00E20161"/>
    <w:rsid w:val="00E2054F"/>
    <w:rsid w:val="00E205A1"/>
    <w:rsid w:val="00E2070D"/>
    <w:rsid w:val="00E209E0"/>
    <w:rsid w:val="00E20F89"/>
    <w:rsid w:val="00E2112C"/>
    <w:rsid w:val="00E21215"/>
    <w:rsid w:val="00E2142D"/>
    <w:rsid w:val="00E21D19"/>
    <w:rsid w:val="00E2229E"/>
    <w:rsid w:val="00E228A3"/>
    <w:rsid w:val="00E22C4A"/>
    <w:rsid w:val="00E22CB9"/>
    <w:rsid w:val="00E22D12"/>
    <w:rsid w:val="00E22D7D"/>
    <w:rsid w:val="00E2307F"/>
    <w:rsid w:val="00E230C9"/>
    <w:rsid w:val="00E23195"/>
    <w:rsid w:val="00E23286"/>
    <w:rsid w:val="00E232C4"/>
    <w:rsid w:val="00E23658"/>
    <w:rsid w:val="00E236E9"/>
    <w:rsid w:val="00E2374F"/>
    <w:rsid w:val="00E237A8"/>
    <w:rsid w:val="00E23BFA"/>
    <w:rsid w:val="00E24475"/>
    <w:rsid w:val="00E2490A"/>
    <w:rsid w:val="00E24A9D"/>
    <w:rsid w:val="00E24D04"/>
    <w:rsid w:val="00E24E89"/>
    <w:rsid w:val="00E2568F"/>
    <w:rsid w:val="00E25EAF"/>
    <w:rsid w:val="00E25EBE"/>
    <w:rsid w:val="00E25FE4"/>
    <w:rsid w:val="00E260BA"/>
    <w:rsid w:val="00E26619"/>
    <w:rsid w:val="00E267D1"/>
    <w:rsid w:val="00E26AA6"/>
    <w:rsid w:val="00E26CCF"/>
    <w:rsid w:val="00E26FD5"/>
    <w:rsid w:val="00E271C1"/>
    <w:rsid w:val="00E27449"/>
    <w:rsid w:val="00E27B7A"/>
    <w:rsid w:val="00E27D55"/>
    <w:rsid w:val="00E3029E"/>
    <w:rsid w:val="00E303C2"/>
    <w:rsid w:val="00E3089F"/>
    <w:rsid w:val="00E30BD4"/>
    <w:rsid w:val="00E30C77"/>
    <w:rsid w:val="00E30CC7"/>
    <w:rsid w:val="00E316F7"/>
    <w:rsid w:val="00E31820"/>
    <w:rsid w:val="00E319C9"/>
    <w:rsid w:val="00E31DDC"/>
    <w:rsid w:val="00E32449"/>
    <w:rsid w:val="00E32766"/>
    <w:rsid w:val="00E3292B"/>
    <w:rsid w:val="00E32D44"/>
    <w:rsid w:val="00E33268"/>
    <w:rsid w:val="00E3376C"/>
    <w:rsid w:val="00E3402E"/>
    <w:rsid w:val="00E34048"/>
    <w:rsid w:val="00E342C6"/>
    <w:rsid w:val="00E34AC3"/>
    <w:rsid w:val="00E34CE8"/>
    <w:rsid w:val="00E34E0E"/>
    <w:rsid w:val="00E34ED5"/>
    <w:rsid w:val="00E35688"/>
    <w:rsid w:val="00E356C2"/>
    <w:rsid w:val="00E35726"/>
    <w:rsid w:val="00E35917"/>
    <w:rsid w:val="00E35A4B"/>
    <w:rsid w:val="00E35FA8"/>
    <w:rsid w:val="00E362E9"/>
    <w:rsid w:val="00E36646"/>
    <w:rsid w:val="00E36D18"/>
    <w:rsid w:val="00E371ED"/>
    <w:rsid w:val="00E375C3"/>
    <w:rsid w:val="00E37838"/>
    <w:rsid w:val="00E3798C"/>
    <w:rsid w:val="00E37C95"/>
    <w:rsid w:val="00E37D9D"/>
    <w:rsid w:val="00E40303"/>
    <w:rsid w:val="00E4059D"/>
    <w:rsid w:val="00E40A41"/>
    <w:rsid w:val="00E40B47"/>
    <w:rsid w:val="00E40D8C"/>
    <w:rsid w:val="00E40E0C"/>
    <w:rsid w:val="00E40EF8"/>
    <w:rsid w:val="00E415D3"/>
    <w:rsid w:val="00E41679"/>
    <w:rsid w:val="00E4171F"/>
    <w:rsid w:val="00E41A61"/>
    <w:rsid w:val="00E41D3E"/>
    <w:rsid w:val="00E428BC"/>
    <w:rsid w:val="00E428EC"/>
    <w:rsid w:val="00E42DC5"/>
    <w:rsid w:val="00E42EC8"/>
    <w:rsid w:val="00E436ED"/>
    <w:rsid w:val="00E43928"/>
    <w:rsid w:val="00E43BD2"/>
    <w:rsid w:val="00E4419A"/>
    <w:rsid w:val="00E442C7"/>
    <w:rsid w:val="00E44353"/>
    <w:rsid w:val="00E44885"/>
    <w:rsid w:val="00E4496D"/>
    <w:rsid w:val="00E449E1"/>
    <w:rsid w:val="00E44C9E"/>
    <w:rsid w:val="00E44CA9"/>
    <w:rsid w:val="00E4581F"/>
    <w:rsid w:val="00E45D95"/>
    <w:rsid w:val="00E46184"/>
    <w:rsid w:val="00E463DD"/>
    <w:rsid w:val="00E46E72"/>
    <w:rsid w:val="00E474D0"/>
    <w:rsid w:val="00E4754B"/>
    <w:rsid w:val="00E47626"/>
    <w:rsid w:val="00E47917"/>
    <w:rsid w:val="00E47A0E"/>
    <w:rsid w:val="00E47C94"/>
    <w:rsid w:val="00E47CD6"/>
    <w:rsid w:val="00E47D48"/>
    <w:rsid w:val="00E50051"/>
    <w:rsid w:val="00E5010D"/>
    <w:rsid w:val="00E50B69"/>
    <w:rsid w:val="00E50D87"/>
    <w:rsid w:val="00E50FB2"/>
    <w:rsid w:val="00E515AA"/>
    <w:rsid w:val="00E51A64"/>
    <w:rsid w:val="00E51A65"/>
    <w:rsid w:val="00E51E0C"/>
    <w:rsid w:val="00E51E34"/>
    <w:rsid w:val="00E51EDD"/>
    <w:rsid w:val="00E51EF4"/>
    <w:rsid w:val="00E51FE4"/>
    <w:rsid w:val="00E52666"/>
    <w:rsid w:val="00E52860"/>
    <w:rsid w:val="00E52928"/>
    <w:rsid w:val="00E52AA0"/>
    <w:rsid w:val="00E52E72"/>
    <w:rsid w:val="00E52FB5"/>
    <w:rsid w:val="00E53133"/>
    <w:rsid w:val="00E538E0"/>
    <w:rsid w:val="00E53B70"/>
    <w:rsid w:val="00E540B8"/>
    <w:rsid w:val="00E54783"/>
    <w:rsid w:val="00E549AE"/>
    <w:rsid w:val="00E54B5E"/>
    <w:rsid w:val="00E55088"/>
    <w:rsid w:val="00E551D1"/>
    <w:rsid w:val="00E5567E"/>
    <w:rsid w:val="00E55804"/>
    <w:rsid w:val="00E55E0E"/>
    <w:rsid w:val="00E56107"/>
    <w:rsid w:val="00E5615B"/>
    <w:rsid w:val="00E561F3"/>
    <w:rsid w:val="00E564C1"/>
    <w:rsid w:val="00E56816"/>
    <w:rsid w:val="00E569B3"/>
    <w:rsid w:val="00E56E62"/>
    <w:rsid w:val="00E56FC8"/>
    <w:rsid w:val="00E57262"/>
    <w:rsid w:val="00E5771F"/>
    <w:rsid w:val="00E600C2"/>
    <w:rsid w:val="00E60198"/>
    <w:rsid w:val="00E6021C"/>
    <w:rsid w:val="00E61589"/>
    <w:rsid w:val="00E616F1"/>
    <w:rsid w:val="00E61984"/>
    <w:rsid w:val="00E61D0E"/>
    <w:rsid w:val="00E6244B"/>
    <w:rsid w:val="00E6259D"/>
    <w:rsid w:val="00E62677"/>
    <w:rsid w:val="00E62BF8"/>
    <w:rsid w:val="00E62CE0"/>
    <w:rsid w:val="00E62DB2"/>
    <w:rsid w:val="00E62EB7"/>
    <w:rsid w:val="00E6304E"/>
    <w:rsid w:val="00E63897"/>
    <w:rsid w:val="00E63AEE"/>
    <w:rsid w:val="00E64058"/>
    <w:rsid w:val="00E64085"/>
    <w:rsid w:val="00E64755"/>
    <w:rsid w:val="00E64F56"/>
    <w:rsid w:val="00E64F9A"/>
    <w:rsid w:val="00E64FCF"/>
    <w:rsid w:val="00E6531C"/>
    <w:rsid w:val="00E654E1"/>
    <w:rsid w:val="00E65DB9"/>
    <w:rsid w:val="00E661B2"/>
    <w:rsid w:val="00E6639B"/>
    <w:rsid w:val="00E6641B"/>
    <w:rsid w:val="00E66484"/>
    <w:rsid w:val="00E666F9"/>
    <w:rsid w:val="00E66926"/>
    <w:rsid w:val="00E669C2"/>
    <w:rsid w:val="00E66A6F"/>
    <w:rsid w:val="00E66EC6"/>
    <w:rsid w:val="00E67507"/>
    <w:rsid w:val="00E678F6"/>
    <w:rsid w:val="00E67961"/>
    <w:rsid w:val="00E6798C"/>
    <w:rsid w:val="00E67DE8"/>
    <w:rsid w:val="00E700B3"/>
    <w:rsid w:val="00E70264"/>
    <w:rsid w:val="00E703A4"/>
    <w:rsid w:val="00E704A4"/>
    <w:rsid w:val="00E70880"/>
    <w:rsid w:val="00E70BA5"/>
    <w:rsid w:val="00E70DA7"/>
    <w:rsid w:val="00E71342"/>
    <w:rsid w:val="00E713E7"/>
    <w:rsid w:val="00E71470"/>
    <w:rsid w:val="00E717FE"/>
    <w:rsid w:val="00E71EEC"/>
    <w:rsid w:val="00E7239A"/>
    <w:rsid w:val="00E725CA"/>
    <w:rsid w:val="00E72682"/>
    <w:rsid w:val="00E72B1E"/>
    <w:rsid w:val="00E7317B"/>
    <w:rsid w:val="00E73267"/>
    <w:rsid w:val="00E735A7"/>
    <w:rsid w:val="00E73748"/>
    <w:rsid w:val="00E73967"/>
    <w:rsid w:val="00E73D17"/>
    <w:rsid w:val="00E73F99"/>
    <w:rsid w:val="00E73FF6"/>
    <w:rsid w:val="00E74197"/>
    <w:rsid w:val="00E742A2"/>
    <w:rsid w:val="00E74367"/>
    <w:rsid w:val="00E74608"/>
    <w:rsid w:val="00E74C15"/>
    <w:rsid w:val="00E74E6B"/>
    <w:rsid w:val="00E751CA"/>
    <w:rsid w:val="00E75E45"/>
    <w:rsid w:val="00E75E4D"/>
    <w:rsid w:val="00E75ED6"/>
    <w:rsid w:val="00E76481"/>
    <w:rsid w:val="00E76496"/>
    <w:rsid w:val="00E76764"/>
    <w:rsid w:val="00E769BC"/>
    <w:rsid w:val="00E769FB"/>
    <w:rsid w:val="00E776C4"/>
    <w:rsid w:val="00E77811"/>
    <w:rsid w:val="00E77842"/>
    <w:rsid w:val="00E77FF2"/>
    <w:rsid w:val="00E80244"/>
    <w:rsid w:val="00E803A7"/>
    <w:rsid w:val="00E8097D"/>
    <w:rsid w:val="00E809E4"/>
    <w:rsid w:val="00E80F89"/>
    <w:rsid w:val="00E8100A"/>
    <w:rsid w:val="00E81358"/>
    <w:rsid w:val="00E81780"/>
    <w:rsid w:val="00E81BDE"/>
    <w:rsid w:val="00E82B18"/>
    <w:rsid w:val="00E83077"/>
    <w:rsid w:val="00E8316F"/>
    <w:rsid w:val="00E83299"/>
    <w:rsid w:val="00E83772"/>
    <w:rsid w:val="00E84021"/>
    <w:rsid w:val="00E841FF"/>
    <w:rsid w:val="00E843F8"/>
    <w:rsid w:val="00E844BA"/>
    <w:rsid w:val="00E84547"/>
    <w:rsid w:val="00E84557"/>
    <w:rsid w:val="00E846A5"/>
    <w:rsid w:val="00E846B3"/>
    <w:rsid w:val="00E84C3B"/>
    <w:rsid w:val="00E84E0A"/>
    <w:rsid w:val="00E84E10"/>
    <w:rsid w:val="00E84F09"/>
    <w:rsid w:val="00E84F63"/>
    <w:rsid w:val="00E8518F"/>
    <w:rsid w:val="00E85219"/>
    <w:rsid w:val="00E8548B"/>
    <w:rsid w:val="00E86485"/>
    <w:rsid w:val="00E864F3"/>
    <w:rsid w:val="00E86532"/>
    <w:rsid w:val="00E868AF"/>
    <w:rsid w:val="00E868C9"/>
    <w:rsid w:val="00E869C3"/>
    <w:rsid w:val="00E86AC0"/>
    <w:rsid w:val="00E87565"/>
    <w:rsid w:val="00E8774B"/>
    <w:rsid w:val="00E87887"/>
    <w:rsid w:val="00E87ABF"/>
    <w:rsid w:val="00E87E0C"/>
    <w:rsid w:val="00E90950"/>
    <w:rsid w:val="00E90D8C"/>
    <w:rsid w:val="00E9165E"/>
    <w:rsid w:val="00E918CE"/>
    <w:rsid w:val="00E91AD6"/>
    <w:rsid w:val="00E927E6"/>
    <w:rsid w:val="00E92DA8"/>
    <w:rsid w:val="00E92E9F"/>
    <w:rsid w:val="00E933E8"/>
    <w:rsid w:val="00E9354A"/>
    <w:rsid w:val="00E93862"/>
    <w:rsid w:val="00E93B72"/>
    <w:rsid w:val="00E93CB4"/>
    <w:rsid w:val="00E946DC"/>
    <w:rsid w:val="00E94C3D"/>
    <w:rsid w:val="00E94D13"/>
    <w:rsid w:val="00E94E7F"/>
    <w:rsid w:val="00E9502E"/>
    <w:rsid w:val="00E9505A"/>
    <w:rsid w:val="00E9513F"/>
    <w:rsid w:val="00E95225"/>
    <w:rsid w:val="00E95278"/>
    <w:rsid w:val="00E95486"/>
    <w:rsid w:val="00E95C94"/>
    <w:rsid w:val="00E96315"/>
    <w:rsid w:val="00E96804"/>
    <w:rsid w:val="00E96A44"/>
    <w:rsid w:val="00E96EEE"/>
    <w:rsid w:val="00E975B9"/>
    <w:rsid w:val="00E9796E"/>
    <w:rsid w:val="00E97C4E"/>
    <w:rsid w:val="00EA07B0"/>
    <w:rsid w:val="00EA17A2"/>
    <w:rsid w:val="00EA19F4"/>
    <w:rsid w:val="00EA1C2A"/>
    <w:rsid w:val="00EA1D66"/>
    <w:rsid w:val="00EA2007"/>
    <w:rsid w:val="00EA21C8"/>
    <w:rsid w:val="00EA297C"/>
    <w:rsid w:val="00EA2B60"/>
    <w:rsid w:val="00EA30EC"/>
    <w:rsid w:val="00EA33D6"/>
    <w:rsid w:val="00EA39AD"/>
    <w:rsid w:val="00EA3B71"/>
    <w:rsid w:val="00EA40D9"/>
    <w:rsid w:val="00EA42B6"/>
    <w:rsid w:val="00EA4680"/>
    <w:rsid w:val="00EA482E"/>
    <w:rsid w:val="00EA536A"/>
    <w:rsid w:val="00EA5658"/>
    <w:rsid w:val="00EA57A5"/>
    <w:rsid w:val="00EA5975"/>
    <w:rsid w:val="00EA5B8E"/>
    <w:rsid w:val="00EA5D07"/>
    <w:rsid w:val="00EA5FE1"/>
    <w:rsid w:val="00EA63FB"/>
    <w:rsid w:val="00EA6523"/>
    <w:rsid w:val="00EA6842"/>
    <w:rsid w:val="00EA6A9F"/>
    <w:rsid w:val="00EA6B40"/>
    <w:rsid w:val="00EA6F90"/>
    <w:rsid w:val="00EA738F"/>
    <w:rsid w:val="00EA78C8"/>
    <w:rsid w:val="00EA7E4A"/>
    <w:rsid w:val="00EB0B41"/>
    <w:rsid w:val="00EB0EA3"/>
    <w:rsid w:val="00EB147E"/>
    <w:rsid w:val="00EB1BBD"/>
    <w:rsid w:val="00EB1E9C"/>
    <w:rsid w:val="00EB210E"/>
    <w:rsid w:val="00EB2477"/>
    <w:rsid w:val="00EB2721"/>
    <w:rsid w:val="00EB2730"/>
    <w:rsid w:val="00EB28F9"/>
    <w:rsid w:val="00EB2BC3"/>
    <w:rsid w:val="00EB2D72"/>
    <w:rsid w:val="00EB309B"/>
    <w:rsid w:val="00EB32BB"/>
    <w:rsid w:val="00EB3324"/>
    <w:rsid w:val="00EB344F"/>
    <w:rsid w:val="00EB39BE"/>
    <w:rsid w:val="00EB39E0"/>
    <w:rsid w:val="00EB4148"/>
    <w:rsid w:val="00EB414D"/>
    <w:rsid w:val="00EB4397"/>
    <w:rsid w:val="00EB44A1"/>
    <w:rsid w:val="00EB44CD"/>
    <w:rsid w:val="00EB4636"/>
    <w:rsid w:val="00EB4813"/>
    <w:rsid w:val="00EB48DA"/>
    <w:rsid w:val="00EB4C45"/>
    <w:rsid w:val="00EB54C4"/>
    <w:rsid w:val="00EB5958"/>
    <w:rsid w:val="00EB5BC6"/>
    <w:rsid w:val="00EB620F"/>
    <w:rsid w:val="00EB6573"/>
    <w:rsid w:val="00EB67AB"/>
    <w:rsid w:val="00EB68F6"/>
    <w:rsid w:val="00EB6BC7"/>
    <w:rsid w:val="00EB6BE5"/>
    <w:rsid w:val="00EB6E8C"/>
    <w:rsid w:val="00EB7090"/>
    <w:rsid w:val="00EB72AC"/>
    <w:rsid w:val="00EB7D0F"/>
    <w:rsid w:val="00EC0152"/>
    <w:rsid w:val="00EC01C7"/>
    <w:rsid w:val="00EC0DB3"/>
    <w:rsid w:val="00EC113A"/>
    <w:rsid w:val="00EC12F9"/>
    <w:rsid w:val="00EC144E"/>
    <w:rsid w:val="00EC1598"/>
    <w:rsid w:val="00EC176C"/>
    <w:rsid w:val="00EC17C7"/>
    <w:rsid w:val="00EC181D"/>
    <w:rsid w:val="00EC1DFB"/>
    <w:rsid w:val="00EC2A43"/>
    <w:rsid w:val="00EC2FDC"/>
    <w:rsid w:val="00EC3A0C"/>
    <w:rsid w:val="00EC4019"/>
    <w:rsid w:val="00EC423C"/>
    <w:rsid w:val="00EC4254"/>
    <w:rsid w:val="00EC43F2"/>
    <w:rsid w:val="00EC440C"/>
    <w:rsid w:val="00EC4658"/>
    <w:rsid w:val="00EC46FA"/>
    <w:rsid w:val="00EC4784"/>
    <w:rsid w:val="00EC59E8"/>
    <w:rsid w:val="00EC5ABD"/>
    <w:rsid w:val="00EC5C3B"/>
    <w:rsid w:val="00EC5C96"/>
    <w:rsid w:val="00EC6032"/>
    <w:rsid w:val="00EC6084"/>
    <w:rsid w:val="00EC65CB"/>
    <w:rsid w:val="00EC6988"/>
    <w:rsid w:val="00EC6A2A"/>
    <w:rsid w:val="00EC6AA8"/>
    <w:rsid w:val="00EC6B0F"/>
    <w:rsid w:val="00EC6C0D"/>
    <w:rsid w:val="00EC7BD5"/>
    <w:rsid w:val="00ED012E"/>
    <w:rsid w:val="00ED0185"/>
    <w:rsid w:val="00ED01F6"/>
    <w:rsid w:val="00ED0A51"/>
    <w:rsid w:val="00ED0A57"/>
    <w:rsid w:val="00ED1239"/>
    <w:rsid w:val="00ED1A79"/>
    <w:rsid w:val="00ED2173"/>
    <w:rsid w:val="00ED23E2"/>
    <w:rsid w:val="00ED2607"/>
    <w:rsid w:val="00ED2AF5"/>
    <w:rsid w:val="00ED2EC1"/>
    <w:rsid w:val="00ED3359"/>
    <w:rsid w:val="00ED3418"/>
    <w:rsid w:val="00ED3E31"/>
    <w:rsid w:val="00ED3E8B"/>
    <w:rsid w:val="00ED409E"/>
    <w:rsid w:val="00ED459B"/>
    <w:rsid w:val="00ED4C6F"/>
    <w:rsid w:val="00ED4D14"/>
    <w:rsid w:val="00ED4D1A"/>
    <w:rsid w:val="00ED4EE5"/>
    <w:rsid w:val="00ED54D2"/>
    <w:rsid w:val="00ED60EE"/>
    <w:rsid w:val="00ED67BD"/>
    <w:rsid w:val="00ED6883"/>
    <w:rsid w:val="00ED69B8"/>
    <w:rsid w:val="00ED6C10"/>
    <w:rsid w:val="00ED769C"/>
    <w:rsid w:val="00ED7861"/>
    <w:rsid w:val="00ED7D0D"/>
    <w:rsid w:val="00EE0169"/>
    <w:rsid w:val="00EE0776"/>
    <w:rsid w:val="00EE0918"/>
    <w:rsid w:val="00EE0CC8"/>
    <w:rsid w:val="00EE19A9"/>
    <w:rsid w:val="00EE1B43"/>
    <w:rsid w:val="00EE1D70"/>
    <w:rsid w:val="00EE257E"/>
    <w:rsid w:val="00EE276F"/>
    <w:rsid w:val="00EE294F"/>
    <w:rsid w:val="00EE2D46"/>
    <w:rsid w:val="00EE2D82"/>
    <w:rsid w:val="00EE2ED4"/>
    <w:rsid w:val="00EE2EF7"/>
    <w:rsid w:val="00EE2F76"/>
    <w:rsid w:val="00EE319A"/>
    <w:rsid w:val="00EE34D2"/>
    <w:rsid w:val="00EE38A3"/>
    <w:rsid w:val="00EE3A37"/>
    <w:rsid w:val="00EE3CB7"/>
    <w:rsid w:val="00EE3E9C"/>
    <w:rsid w:val="00EE40A6"/>
    <w:rsid w:val="00EE44C7"/>
    <w:rsid w:val="00EE45D2"/>
    <w:rsid w:val="00EE4EA2"/>
    <w:rsid w:val="00EE50B8"/>
    <w:rsid w:val="00EE5AB4"/>
    <w:rsid w:val="00EE5C85"/>
    <w:rsid w:val="00EE6178"/>
    <w:rsid w:val="00EE6D4D"/>
    <w:rsid w:val="00EE7483"/>
    <w:rsid w:val="00EE758C"/>
    <w:rsid w:val="00EE764F"/>
    <w:rsid w:val="00EE7CB5"/>
    <w:rsid w:val="00EE7EDB"/>
    <w:rsid w:val="00EF064E"/>
    <w:rsid w:val="00EF0AB3"/>
    <w:rsid w:val="00EF0DEA"/>
    <w:rsid w:val="00EF0EFE"/>
    <w:rsid w:val="00EF0F2C"/>
    <w:rsid w:val="00EF0F3B"/>
    <w:rsid w:val="00EF0FD0"/>
    <w:rsid w:val="00EF11A3"/>
    <w:rsid w:val="00EF1A53"/>
    <w:rsid w:val="00EF1A87"/>
    <w:rsid w:val="00EF2752"/>
    <w:rsid w:val="00EF2886"/>
    <w:rsid w:val="00EF2F08"/>
    <w:rsid w:val="00EF2F0F"/>
    <w:rsid w:val="00EF3118"/>
    <w:rsid w:val="00EF33B2"/>
    <w:rsid w:val="00EF3621"/>
    <w:rsid w:val="00EF3B2F"/>
    <w:rsid w:val="00EF3F3A"/>
    <w:rsid w:val="00EF42E8"/>
    <w:rsid w:val="00EF46EE"/>
    <w:rsid w:val="00EF4A18"/>
    <w:rsid w:val="00EF4A52"/>
    <w:rsid w:val="00EF543B"/>
    <w:rsid w:val="00EF56A2"/>
    <w:rsid w:val="00EF587C"/>
    <w:rsid w:val="00EF590C"/>
    <w:rsid w:val="00EF5B0F"/>
    <w:rsid w:val="00EF5BC9"/>
    <w:rsid w:val="00EF5EF4"/>
    <w:rsid w:val="00EF63B2"/>
    <w:rsid w:val="00EF65C1"/>
    <w:rsid w:val="00EF66CA"/>
    <w:rsid w:val="00EF6AEC"/>
    <w:rsid w:val="00EF6BB7"/>
    <w:rsid w:val="00EF6CE6"/>
    <w:rsid w:val="00EF6F53"/>
    <w:rsid w:val="00EF7030"/>
    <w:rsid w:val="00EF7083"/>
    <w:rsid w:val="00EF723C"/>
    <w:rsid w:val="00EF742D"/>
    <w:rsid w:val="00EF75FF"/>
    <w:rsid w:val="00EF7671"/>
    <w:rsid w:val="00EF76CB"/>
    <w:rsid w:val="00F001E9"/>
    <w:rsid w:val="00F00398"/>
    <w:rsid w:val="00F00CBA"/>
    <w:rsid w:val="00F01119"/>
    <w:rsid w:val="00F012AB"/>
    <w:rsid w:val="00F01783"/>
    <w:rsid w:val="00F01971"/>
    <w:rsid w:val="00F0215D"/>
    <w:rsid w:val="00F026CB"/>
    <w:rsid w:val="00F027A5"/>
    <w:rsid w:val="00F027E6"/>
    <w:rsid w:val="00F02AA1"/>
    <w:rsid w:val="00F02B3B"/>
    <w:rsid w:val="00F02C46"/>
    <w:rsid w:val="00F02D94"/>
    <w:rsid w:val="00F02F9E"/>
    <w:rsid w:val="00F03695"/>
    <w:rsid w:val="00F037E0"/>
    <w:rsid w:val="00F0394E"/>
    <w:rsid w:val="00F03AC9"/>
    <w:rsid w:val="00F03C07"/>
    <w:rsid w:val="00F03C8B"/>
    <w:rsid w:val="00F03CA0"/>
    <w:rsid w:val="00F03CDB"/>
    <w:rsid w:val="00F04912"/>
    <w:rsid w:val="00F04AE5"/>
    <w:rsid w:val="00F04DAA"/>
    <w:rsid w:val="00F0509B"/>
    <w:rsid w:val="00F05199"/>
    <w:rsid w:val="00F051E8"/>
    <w:rsid w:val="00F0522E"/>
    <w:rsid w:val="00F05D7E"/>
    <w:rsid w:val="00F06309"/>
    <w:rsid w:val="00F0638E"/>
    <w:rsid w:val="00F063A6"/>
    <w:rsid w:val="00F0651A"/>
    <w:rsid w:val="00F067CB"/>
    <w:rsid w:val="00F06A3D"/>
    <w:rsid w:val="00F06A88"/>
    <w:rsid w:val="00F07108"/>
    <w:rsid w:val="00F0737D"/>
    <w:rsid w:val="00F07423"/>
    <w:rsid w:val="00F07B5B"/>
    <w:rsid w:val="00F1018C"/>
    <w:rsid w:val="00F10375"/>
    <w:rsid w:val="00F10512"/>
    <w:rsid w:val="00F105AF"/>
    <w:rsid w:val="00F10F32"/>
    <w:rsid w:val="00F11247"/>
    <w:rsid w:val="00F112DB"/>
    <w:rsid w:val="00F113EF"/>
    <w:rsid w:val="00F1186F"/>
    <w:rsid w:val="00F11D2C"/>
    <w:rsid w:val="00F11D60"/>
    <w:rsid w:val="00F123BA"/>
    <w:rsid w:val="00F12638"/>
    <w:rsid w:val="00F128AF"/>
    <w:rsid w:val="00F1297E"/>
    <w:rsid w:val="00F12D4E"/>
    <w:rsid w:val="00F12DB6"/>
    <w:rsid w:val="00F13311"/>
    <w:rsid w:val="00F133D4"/>
    <w:rsid w:val="00F13486"/>
    <w:rsid w:val="00F134B1"/>
    <w:rsid w:val="00F1395D"/>
    <w:rsid w:val="00F13D87"/>
    <w:rsid w:val="00F1416B"/>
    <w:rsid w:val="00F144EB"/>
    <w:rsid w:val="00F145BF"/>
    <w:rsid w:val="00F146E0"/>
    <w:rsid w:val="00F14705"/>
    <w:rsid w:val="00F14741"/>
    <w:rsid w:val="00F14AC3"/>
    <w:rsid w:val="00F1518E"/>
    <w:rsid w:val="00F163E8"/>
    <w:rsid w:val="00F165D0"/>
    <w:rsid w:val="00F168AC"/>
    <w:rsid w:val="00F1698F"/>
    <w:rsid w:val="00F16B3C"/>
    <w:rsid w:val="00F1723E"/>
    <w:rsid w:val="00F17498"/>
    <w:rsid w:val="00F17702"/>
    <w:rsid w:val="00F17834"/>
    <w:rsid w:val="00F17CAD"/>
    <w:rsid w:val="00F17CF8"/>
    <w:rsid w:val="00F17EB4"/>
    <w:rsid w:val="00F204D7"/>
    <w:rsid w:val="00F205F0"/>
    <w:rsid w:val="00F2080F"/>
    <w:rsid w:val="00F20CF9"/>
    <w:rsid w:val="00F20D5D"/>
    <w:rsid w:val="00F21AC9"/>
    <w:rsid w:val="00F2258F"/>
    <w:rsid w:val="00F22777"/>
    <w:rsid w:val="00F2297E"/>
    <w:rsid w:val="00F22B37"/>
    <w:rsid w:val="00F2351B"/>
    <w:rsid w:val="00F236F5"/>
    <w:rsid w:val="00F236F7"/>
    <w:rsid w:val="00F237D0"/>
    <w:rsid w:val="00F23922"/>
    <w:rsid w:val="00F23AC6"/>
    <w:rsid w:val="00F23C80"/>
    <w:rsid w:val="00F24469"/>
    <w:rsid w:val="00F25009"/>
    <w:rsid w:val="00F25121"/>
    <w:rsid w:val="00F262D1"/>
    <w:rsid w:val="00F263CD"/>
    <w:rsid w:val="00F265F5"/>
    <w:rsid w:val="00F26BBD"/>
    <w:rsid w:val="00F26C21"/>
    <w:rsid w:val="00F26FAA"/>
    <w:rsid w:val="00F2772A"/>
    <w:rsid w:val="00F278DE"/>
    <w:rsid w:val="00F27E88"/>
    <w:rsid w:val="00F27F26"/>
    <w:rsid w:val="00F30292"/>
    <w:rsid w:val="00F3044B"/>
    <w:rsid w:val="00F305AE"/>
    <w:rsid w:val="00F30643"/>
    <w:rsid w:val="00F30A7D"/>
    <w:rsid w:val="00F31382"/>
    <w:rsid w:val="00F314FF"/>
    <w:rsid w:val="00F315BE"/>
    <w:rsid w:val="00F31A13"/>
    <w:rsid w:val="00F31A25"/>
    <w:rsid w:val="00F327F6"/>
    <w:rsid w:val="00F3292D"/>
    <w:rsid w:val="00F32A71"/>
    <w:rsid w:val="00F32BCF"/>
    <w:rsid w:val="00F32D29"/>
    <w:rsid w:val="00F337E6"/>
    <w:rsid w:val="00F33E0C"/>
    <w:rsid w:val="00F341DC"/>
    <w:rsid w:val="00F34E8E"/>
    <w:rsid w:val="00F350A8"/>
    <w:rsid w:val="00F35634"/>
    <w:rsid w:val="00F361B4"/>
    <w:rsid w:val="00F36206"/>
    <w:rsid w:val="00F3647D"/>
    <w:rsid w:val="00F365D6"/>
    <w:rsid w:val="00F36604"/>
    <w:rsid w:val="00F36AE5"/>
    <w:rsid w:val="00F36E0B"/>
    <w:rsid w:val="00F370CE"/>
    <w:rsid w:val="00F3792E"/>
    <w:rsid w:val="00F379E9"/>
    <w:rsid w:val="00F37F0D"/>
    <w:rsid w:val="00F4021E"/>
    <w:rsid w:val="00F406BC"/>
    <w:rsid w:val="00F409AB"/>
    <w:rsid w:val="00F40B54"/>
    <w:rsid w:val="00F40C45"/>
    <w:rsid w:val="00F40C48"/>
    <w:rsid w:val="00F40F41"/>
    <w:rsid w:val="00F40FD4"/>
    <w:rsid w:val="00F41136"/>
    <w:rsid w:val="00F4114E"/>
    <w:rsid w:val="00F41649"/>
    <w:rsid w:val="00F42172"/>
    <w:rsid w:val="00F423BB"/>
    <w:rsid w:val="00F42A22"/>
    <w:rsid w:val="00F42A95"/>
    <w:rsid w:val="00F42CAF"/>
    <w:rsid w:val="00F432FB"/>
    <w:rsid w:val="00F4358D"/>
    <w:rsid w:val="00F43824"/>
    <w:rsid w:val="00F43928"/>
    <w:rsid w:val="00F43A58"/>
    <w:rsid w:val="00F43BC6"/>
    <w:rsid w:val="00F4439D"/>
    <w:rsid w:val="00F44A77"/>
    <w:rsid w:val="00F44D27"/>
    <w:rsid w:val="00F44E91"/>
    <w:rsid w:val="00F44F65"/>
    <w:rsid w:val="00F44F87"/>
    <w:rsid w:val="00F45175"/>
    <w:rsid w:val="00F452BA"/>
    <w:rsid w:val="00F45459"/>
    <w:rsid w:val="00F4564E"/>
    <w:rsid w:val="00F45656"/>
    <w:rsid w:val="00F4591F"/>
    <w:rsid w:val="00F45B2D"/>
    <w:rsid w:val="00F45CF2"/>
    <w:rsid w:val="00F45DAB"/>
    <w:rsid w:val="00F4615F"/>
    <w:rsid w:val="00F46201"/>
    <w:rsid w:val="00F462D6"/>
    <w:rsid w:val="00F4662A"/>
    <w:rsid w:val="00F46688"/>
    <w:rsid w:val="00F47E96"/>
    <w:rsid w:val="00F50256"/>
    <w:rsid w:val="00F5099D"/>
    <w:rsid w:val="00F50A68"/>
    <w:rsid w:val="00F5170A"/>
    <w:rsid w:val="00F51918"/>
    <w:rsid w:val="00F51A53"/>
    <w:rsid w:val="00F51D28"/>
    <w:rsid w:val="00F51D5F"/>
    <w:rsid w:val="00F5205F"/>
    <w:rsid w:val="00F521FB"/>
    <w:rsid w:val="00F523D2"/>
    <w:rsid w:val="00F52557"/>
    <w:rsid w:val="00F527E0"/>
    <w:rsid w:val="00F52E53"/>
    <w:rsid w:val="00F530FA"/>
    <w:rsid w:val="00F532C4"/>
    <w:rsid w:val="00F539C2"/>
    <w:rsid w:val="00F5471E"/>
    <w:rsid w:val="00F548A0"/>
    <w:rsid w:val="00F551DB"/>
    <w:rsid w:val="00F553D3"/>
    <w:rsid w:val="00F55442"/>
    <w:rsid w:val="00F55F61"/>
    <w:rsid w:val="00F56C8A"/>
    <w:rsid w:val="00F56D10"/>
    <w:rsid w:val="00F578E2"/>
    <w:rsid w:val="00F57BA8"/>
    <w:rsid w:val="00F60C6C"/>
    <w:rsid w:val="00F60D94"/>
    <w:rsid w:val="00F60F89"/>
    <w:rsid w:val="00F61269"/>
    <w:rsid w:val="00F613DF"/>
    <w:rsid w:val="00F61976"/>
    <w:rsid w:val="00F619B1"/>
    <w:rsid w:val="00F61A9A"/>
    <w:rsid w:val="00F61EA6"/>
    <w:rsid w:val="00F6202D"/>
    <w:rsid w:val="00F6228A"/>
    <w:rsid w:val="00F62485"/>
    <w:rsid w:val="00F62632"/>
    <w:rsid w:val="00F62939"/>
    <w:rsid w:val="00F629C7"/>
    <w:rsid w:val="00F62A07"/>
    <w:rsid w:val="00F62D4C"/>
    <w:rsid w:val="00F62E75"/>
    <w:rsid w:val="00F6371E"/>
    <w:rsid w:val="00F63D04"/>
    <w:rsid w:val="00F64012"/>
    <w:rsid w:val="00F641E8"/>
    <w:rsid w:val="00F64280"/>
    <w:rsid w:val="00F64864"/>
    <w:rsid w:val="00F6491B"/>
    <w:rsid w:val="00F64ED8"/>
    <w:rsid w:val="00F65243"/>
    <w:rsid w:val="00F654B6"/>
    <w:rsid w:val="00F6563C"/>
    <w:rsid w:val="00F658E3"/>
    <w:rsid w:val="00F659EC"/>
    <w:rsid w:val="00F65D6C"/>
    <w:rsid w:val="00F66102"/>
    <w:rsid w:val="00F66155"/>
    <w:rsid w:val="00F66720"/>
    <w:rsid w:val="00F667BD"/>
    <w:rsid w:val="00F66CDA"/>
    <w:rsid w:val="00F66E04"/>
    <w:rsid w:val="00F67281"/>
    <w:rsid w:val="00F67D91"/>
    <w:rsid w:val="00F67FBC"/>
    <w:rsid w:val="00F700C5"/>
    <w:rsid w:val="00F705E5"/>
    <w:rsid w:val="00F707CA"/>
    <w:rsid w:val="00F70819"/>
    <w:rsid w:val="00F70B55"/>
    <w:rsid w:val="00F70BF7"/>
    <w:rsid w:val="00F70F1A"/>
    <w:rsid w:val="00F712B2"/>
    <w:rsid w:val="00F71308"/>
    <w:rsid w:val="00F713FB"/>
    <w:rsid w:val="00F71441"/>
    <w:rsid w:val="00F7164B"/>
    <w:rsid w:val="00F719AB"/>
    <w:rsid w:val="00F71B1B"/>
    <w:rsid w:val="00F71B7B"/>
    <w:rsid w:val="00F71D08"/>
    <w:rsid w:val="00F7204B"/>
    <w:rsid w:val="00F72308"/>
    <w:rsid w:val="00F7305D"/>
    <w:rsid w:val="00F7314E"/>
    <w:rsid w:val="00F73516"/>
    <w:rsid w:val="00F735AA"/>
    <w:rsid w:val="00F73A21"/>
    <w:rsid w:val="00F73B5A"/>
    <w:rsid w:val="00F73F18"/>
    <w:rsid w:val="00F73F53"/>
    <w:rsid w:val="00F7402C"/>
    <w:rsid w:val="00F74374"/>
    <w:rsid w:val="00F74541"/>
    <w:rsid w:val="00F7469F"/>
    <w:rsid w:val="00F74AA1"/>
    <w:rsid w:val="00F75078"/>
    <w:rsid w:val="00F750C3"/>
    <w:rsid w:val="00F756C1"/>
    <w:rsid w:val="00F756FB"/>
    <w:rsid w:val="00F757E8"/>
    <w:rsid w:val="00F758CA"/>
    <w:rsid w:val="00F758D7"/>
    <w:rsid w:val="00F75AC7"/>
    <w:rsid w:val="00F76165"/>
    <w:rsid w:val="00F76358"/>
    <w:rsid w:val="00F76417"/>
    <w:rsid w:val="00F7669F"/>
    <w:rsid w:val="00F766E2"/>
    <w:rsid w:val="00F76F3B"/>
    <w:rsid w:val="00F76FDC"/>
    <w:rsid w:val="00F7785D"/>
    <w:rsid w:val="00F778AD"/>
    <w:rsid w:val="00F77E4B"/>
    <w:rsid w:val="00F800FF"/>
    <w:rsid w:val="00F80616"/>
    <w:rsid w:val="00F809A0"/>
    <w:rsid w:val="00F80A15"/>
    <w:rsid w:val="00F81022"/>
    <w:rsid w:val="00F81556"/>
    <w:rsid w:val="00F81FA0"/>
    <w:rsid w:val="00F821DA"/>
    <w:rsid w:val="00F827E3"/>
    <w:rsid w:val="00F82A06"/>
    <w:rsid w:val="00F82D51"/>
    <w:rsid w:val="00F830B2"/>
    <w:rsid w:val="00F83292"/>
    <w:rsid w:val="00F833E3"/>
    <w:rsid w:val="00F836A3"/>
    <w:rsid w:val="00F840BA"/>
    <w:rsid w:val="00F844BD"/>
    <w:rsid w:val="00F84598"/>
    <w:rsid w:val="00F84ADF"/>
    <w:rsid w:val="00F84EF0"/>
    <w:rsid w:val="00F85448"/>
    <w:rsid w:val="00F85BD4"/>
    <w:rsid w:val="00F86338"/>
    <w:rsid w:val="00F86349"/>
    <w:rsid w:val="00F8642F"/>
    <w:rsid w:val="00F8659C"/>
    <w:rsid w:val="00F86ADA"/>
    <w:rsid w:val="00F86BC8"/>
    <w:rsid w:val="00F86CB4"/>
    <w:rsid w:val="00F86D46"/>
    <w:rsid w:val="00F87170"/>
    <w:rsid w:val="00F876AC"/>
    <w:rsid w:val="00F87B0D"/>
    <w:rsid w:val="00F87CCF"/>
    <w:rsid w:val="00F87EFC"/>
    <w:rsid w:val="00F90082"/>
    <w:rsid w:val="00F900D3"/>
    <w:rsid w:val="00F90616"/>
    <w:rsid w:val="00F906DE"/>
    <w:rsid w:val="00F908A9"/>
    <w:rsid w:val="00F90D89"/>
    <w:rsid w:val="00F90DC4"/>
    <w:rsid w:val="00F91964"/>
    <w:rsid w:val="00F91C6E"/>
    <w:rsid w:val="00F922BB"/>
    <w:rsid w:val="00F9235C"/>
    <w:rsid w:val="00F92DF5"/>
    <w:rsid w:val="00F92F1D"/>
    <w:rsid w:val="00F93401"/>
    <w:rsid w:val="00F93AE7"/>
    <w:rsid w:val="00F93B37"/>
    <w:rsid w:val="00F93C32"/>
    <w:rsid w:val="00F9410E"/>
    <w:rsid w:val="00F94393"/>
    <w:rsid w:val="00F94B30"/>
    <w:rsid w:val="00F94D41"/>
    <w:rsid w:val="00F94F03"/>
    <w:rsid w:val="00F95140"/>
    <w:rsid w:val="00F9518A"/>
    <w:rsid w:val="00F95BCF"/>
    <w:rsid w:val="00F95E17"/>
    <w:rsid w:val="00F96662"/>
    <w:rsid w:val="00F966BB"/>
    <w:rsid w:val="00F96813"/>
    <w:rsid w:val="00F9699C"/>
    <w:rsid w:val="00F96E9E"/>
    <w:rsid w:val="00F96EB8"/>
    <w:rsid w:val="00F96FA7"/>
    <w:rsid w:val="00F97555"/>
    <w:rsid w:val="00F97C4C"/>
    <w:rsid w:val="00FA0089"/>
    <w:rsid w:val="00FA008D"/>
    <w:rsid w:val="00FA0181"/>
    <w:rsid w:val="00FA0767"/>
    <w:rsid w:val="00FA0BA8"/>
    <w:rsid w:val="00FA0C12"/>
    <w:rsid w:val="00FA0D82"/>
    <w:rsid w:val="00FA0FDA"/>
    <w:rsid w:val="00FA1181"/>
    <w:rsid w:val="00FA141D"/>
    <w:rsid w:val="00FA14FA"/>
    <w:rsid w:val="00FA1727"/>
    <w:rsid w:val="00FA17A7"/>
    <w:rsid w:val="00FA1A98"/>
    <w:rsid w:val="00FA1D77"/>
    <w:rsid w:val="00FA2532"/>
    <w:rsid w:val="00FA27E9"/>
    <w:rsid w:val="00FA2FF0"/>
    <w:rsid w:val="00FA3237"/>
    <w:rsid w:val="00FA346F"/>
    <w:rsid w:val="00FA34C9"/>
    <w:rsid w:val="00FA36B6"/>
    <w:rsid w:val="00FA395D"/>
    <w:rsid w:val="00FA4CEC"/>
    <w:rsid w:val="00FA5669"/>
    <w:rsid w:val="00FA56A0"/>
    <w:rsid w:val="00FA5A89"/>
    <w:rsid w:val="00FA5A97"/>
    <w:rsid w:val="00FA5CBD"/>
    <w:rsid w:val="00FA5D24"/>
    <w:rsid w:val="00FA5E7B"/>
    <w:rsid w:val="00FA64F7"/>
    <w:rsid w:val="00FA6661"/>
    <w:rsid w:val="00FA715C"/>
    <w:rsid w:val="00FA7284"/>
    <w:rsid w:val="00FA73F9"/>
    <w:rsid w:val="00FA7401"/>
    <w:rsid w:val="00FA766D"/>
    <w:rsid w:val="00FA7822"/>
    <w:rsid w:val="00FA7A0F"/>
    <w:rsid w:val="00FA7C4C"/>
    <w:rsid w:val="00FB052C"/>
    <w:rsid w:val="00FB0544"/>
    <w:rsid w:val="00FB06BC"/>
    <w:rsid w:val="00FB0FA7"/>
    <w:rsid w:val="00FB1640"/>
    <w:rsid w:val="00FB1672"/>
    <w:rsid w:val="00FB18A6"/>
    <w:rsid w:val="00FB2467"/>
    <w:rsid w:val="00FB24D7"/>
    <w:rsid w:val="00FB2554"/>
    <w:rsid w:val="00FB28D3"/>
    <w:rsid w:val="00FB2C36"/>
    <w:rsid w:val="00FB2F4E"/>
    <w:rsid w:val="00FB3500"/>
    <w:rsid w:val="00FB3B1A"/>
    <w:rsid w:val="00FB4276"/>
    <w:rsid w:val="00FB465D"/>
    <w:rsid w:val="00FB4675"/>
    <w:rsid w:val="00FB482B"/>
    <w:rsid w:val="00FB48E3"/>
    <w:rsid w:val="00FB4FDC"/>
    <w:rsid w:val="00FB5602"/>
    <w:rsid w:val="00FB61C0"/>
    <w:rsid w:val="00FB683B"/>
    <w:rsid w:val="00FB6945"/>
    <w:rsid w:val="00FB6B24"/>
    <w:rsid w:val="00FB6E87"/>
    <w:rsid w:val="00FB6F5C"/>
    <w:rsid w:val="00FB784E"/>
    <w:rsid w:val="00FB7934"/>
    <w:rsid w:val="00FB7AB6"/>
    <w:rsid w:val="00FB7CE6"/>
    <w:rsid w:val="00FB7E84"/>
    <w:rsid w:val="00FC05A3"/>
    <w:rsid w:val="00FC08B3"/>
    <w:rsid w:val="00FC10E5"/>
    <w:rsid w:val="00FC13ED"/>
    <w:rsid w:val="00FC1610"/>
    <w:rsid w:val="00FC1A14"/>
    <w:rsid w:val="00FC1E28"/>
    <w:rsid w:val="00FC2CD9"/>
    <w:rsid w:val="00FC2D8F"/>
    <w:rsid w:val="00FC31FF"/>
    <w:rsid w:val="00FC3225"/>
    <w:rsid w:val="00FC3788"/>
    <w:rsid w:val="00FC3CEA"/>
    <w:rsid w:val="00FC40AE"/>
    <w:rsid w:val="00FC4A62"/>
    <w:rsid w:val="00FC4EBE"/>
    <w:rsid w:val="00FC5436"/>
    <w:rsid w:val="00FC58FE"/>
    <w:rsid w:val="00FC5BBC"/>
    <w:rsid w:val="00FC5EEC"/>
    <w:rsid w:val="00FC60E1"/>
    <w:rsid w:val="00FC651C"/>
    <w:rsid w:val="00FC662A"/>
    <w:rsid w:val="00FC6899"/>
    <w:rsid w:val="00FC6A33"/>
    <w:rsid w:val="00FC71E7"/>
    <w:rsid w:val="00FC7DDB"/>
    <w:rsid w:val="00FD0002"/>
    <w:rsid w:val="00FD06AB"/>
    <w:rsid w:val="00FD0828"/>
    <w:rsid w:val="00FD0983"/>
    <w:rsid w:val="00FD125C"/>
    <w:rsid w:val="00FD13C5"/>
    <w:rsid w:val="00FD16FB"/>
    <w:rsid w:val="00FD198C"/>
    <w:rsid w:val="00FD23DE"/>
    <w:rsid w:val="00FD24F5"/>
    <w:rsid w:val="00FD29A1"/>
    <w:rsid w:val="00FD2B67"/>
    <w:rsid w:val="00FD2C3C"/>
    <w:rsid w:val="00FD2DBF"/>
    <w:rsid w:val="00FD3012"/>
    <w:rsid w:val="00FD3358"/>
    <w:rsid w:val="00FD335A"/>
    <w:rsid w:val="00FD3775"/>
    <w:rsid w:val="00FD38AF"/>
    <w:rsid w:val="00FD4130"/>
    <w:rsid w:val="00FD414D"/>
    <w:rsid w:val="00FD43BA"/>
    <w:rsid w:val="00FD44FF"/>
    <w:rsid w:val="00FD47A9"/>
    <w:rsid w:val="00FD47D9"/>
    <w:rsid w:val="00FD521D"/>
    <w:rsid w:val="00FD5450"/>
    <w:rsid w:val="00FD5DFD"/>
    <w:rsid w:val="00FD6384"/>
    <w:rsid w:val="00FD63B5"/>
    <w:rsid w:val="00FD6848"/>
    <w:rsid w:val="00FD71D1"/>
    <w:rsid w:val="00FD7543"/>
    <w:rsid w:val="00FD755D"/>
    <w:rsid w:val="00FD7C07"/>
    <w:rsid w:val="00FD7C30"/>
    <w:rsid w:val="00FD7D8A"/>
    <w:rsid w:val="00FE0513"/>
    <w:rsid w:val="00FE0970"/>
    <w:rsid w:val="00FE0AC5"/>
    <w:rsid w:val="00FE0F8B"/>
    <w:rsid w:val="00FE11E6"/>
    <w:rsid w:val="00FE144F"/>
    <w:rsid w:val="00FE15C5"/>
    <w:rsid w:val="00FE19E6"/>
    <w:rsid w:val="00FE1AEA"/>
    <w:rsid w:val="00FE21EC"/>
    <w:rsid w:val="00FE226D"/>
    <w:rsid w:val="00FE23B9"/>
    <w:rsid w:val="00FE23E3"/>
    <w:rsid w:val="00FE24DF"/>
    <w:rsid w:val="00FE31E6"/>
    <w:rsid w:val="00FE32E6"/>
    <w:rsid w:val="00FE3440"/>
    <w:rsid w:val="00FE35BF"/>
    <w:rsid w:val="00FE3975"/>
    <w:rsid w:val="00FE3A2C"/>
    <w:rsid w:val="00FE3B01"/>
    <w:rsid w:val="00FE3D48"/>
    <w:rsid w:val="00FE3E8F"/>
    <w:rsid w:val="00FE3ECB"/>
    <w:rsid w:val="00FE4752"/>
    <w:rsid w:val="00FE4BE2"/>
    <w:rsid w:val="00FE52C7"/>
    <w:rsid w:val="00FE54F8"/>
    <w:rsid w:val="00FE5660"/>
    <w:rsid w:val="00FE59BD"/>
    <w:rsid w:val="00FE5BEF"/>
    <w:rsid w:val="00FE5D37"/>
    <w:rsid w:val="00FE635B"/>
    <w:rsid w:val="00FE6408"/>
    <w:rsid w:val="00FE6E58"/>
    <w:rsid w:val="00FE7128"/>
    <w:rsid w:val="00FE7273"/>
    <w:rsid w:val="00FE758D"/>
    <w:rsid w:val="00FE7B4E"/>
    <w:rsid w:val="00FE7B8B"/>
    <w:rsid w:val="00FE7DBD"/>
    <w:rsid w:val="00FF03E6"/>
    <w:rsid w:val="00FF094F"/>
    <w:rsid w:val="00FF0B25"/>
    <w:rsid w:val="00FF0C12"/>
    <w:rsid w:val="00FF109A"/>
    <w:rsid w:val="00FF1413"/>
    <w:rsid w:val="00FF16C0"/>
    <w:rsid w:val="00FF1B70"/>
    <w:rsid w:val="00FF1BA0"/>
    <w:rsid w:val="00FF1D98"/>
    <w:rsid w:val="00FF2070"/>
    <w:rsid w:val="00FF23E6"/>
    <w:rsid w:val="00FF2BD9"/>
    <w:rsid w:val="00FF2EF9"/>
    <w:rsid w:val="00FF2EFF"/>
    <w:rsid w:val="00FF31CA"/>
    <w:rsid w:val="00FF3579"/>
    <w:rsid w:val="00FF3626"/>
    <w:rsid w:val="00FF47B9"/>
    <w:rsid w:val="00FF4A41"/>
    <w:rsid w:val="00FF53C1"/>
    <w:rsid w:val="00FF54AE"/>
    <w:rsid w:val="00FF57E4"/>
    <w:rsid w:val="00FF5856"/>
    <w:rsid w:val="00FF62DA"/>
    <w:rsid w:val="00FF647B"/>
    <w:rsid w:val="00FF66D1"/>
    <w:rsid w:val="00FF67AF"/>
    <w:rsid w:val="00FF73A6"/>
    <w:rsid w:val="00FF74B6"/>
    <w:rsid w:val="00FF763D"/>
    <w:rsid w:val="00FF77C7"/>
    <w:rsid w:val="00FF7974"/>
    <w:rsid w:val="00FF7B13"/>
    <w:rsid w:val="00FF7E50"/>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090" fill="f" fillcolor="#669" strokecolor="#036">
      <v:fill color="#669" rotate="t" on="f"/>
      <v:stroke color="#036" weight="1pt"/>
      <o:colormru v:ext="edit" colors="#ddd,#eaeaea,#ccecff,#f8f8f8,#ff6,#c60,#f60,#36f"/>
    </o:shapedefaults>
    <o:shapelayout v:ext="edit">
      <o:idmap v:ext="edit" data="1,3"/>
      <o:rules v:ext="edit">
        <o:r id="V:Rule7" type="connector" idref="#_x0000_s3074"/>
        <o:r id="V:Rule8" type="connector" idref="#_x0000_s3186"/>
        <o:r id="V:Rule9" type="connector" idref="#_x0000_s3170"/>
        <o:r id="V:Rule10" type="connector" idref="#_x0000_s3089"/>
        <o:r id="V:Rule11" type="connector" idref="#_x0000_s3228"/>
        <o:r id="V:Rule12" type="connector" idref="#_x0000_s3080"/>
      </o:rules>
      <o:regrouptable v:ext="edit">
        <o:entry new="1" old="0"/>
        <o:entry new="2" old="0"/>
        <o:entry new="3" old="0"/>
        <o:entry new="4" old="3"/>
        <o:entry new="5" old="0"/>
        <o:entry new="6" old="0"/>
        <o:entry new="7" old="0"/>
        <o:entry new="8" old="0"/>
        <o:entry new="9" old="0"/>
        <o:entry new="10" old="0"/>
        <o:entry new="11" old="0"/>
        <o:entry new="12" old="0"/>
        <o:entry new="13" old="12"/>
        <o:entry new="14" old="0"/>
        <o:entry new="15" old="0"/>
        <o:entry new="16" old="0"/>
        <o:entry new="17" old="0"/>
        <o:entry new="18" old="0"/>
        <o:entry new="19" old="0"/>
        <o:entry new="20" old="19"/>
        <o:entry new="21" old="0"/>
        <o:entry new="22" old="0"/>
        <o:entry new="23" old="0"/>
        <o:entry new="24" old="0"/>
        <o:entry new="25"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PT" w:eastAsia="pt-PT"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E24DF"/>
    <w:rPr>
      <w:sz w:val="24"/>
      <w:szCs w:val="24"/>
      <w:lang w:eastAsia="en-US"/>
    </w:rPr>
  </w:style>
  <w:style w:type="paragraph" w:styleId="Ttulo1">
    <w:name w:val="heading 1"/>
    <w:basedOn w:val="Normal"/>
    <w:next w:val="Normal"/>
    <w:qFormat/>
    <w:rsid w:val="00480E89"/>
    <w:pPr>
      <w:keepNext/>
      <w:spacing w:line="360" w:lineRule="auto"/>
      <w:jc w:val="center"/>
      <w:outlineLvl w:val="0"/>
    </w:pPr>
    <w:rPr>
      <w:rFonts w:ascii="Century Gothic" w:hAnsi="Century Gothic"/>
      <w:b/>
      <w:bCs/>
      <w:sz w:val="20"/>
      <w:szCs w:val="20"/>
      <w:lang w:val="pt-BR"/>
    </w:rPr>
  </w:style>
  <w:style w:type="paragraph" w:styleId="Ttulo2">
    <w:name w:val="heading 2"/>
    <w:basedOn w:val="Normal"/>
    <w:next w:val="Normal"/>
    <w:link w:val="Ttulo2Carcter"/>
    <w:uiPriority w:val="9"/>
    <w:qFormat/>
    <w:rsid w:val="00423AAD"/>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480E89"/>
    <w:pPr>
      <w:keepNext/>
      <w:spacing w:before="240" w:after="60"/>
      <w:outlineLvl w:val="2"/>
    </w:pPr>
    <w:rPr>
      <w:rFonts w:ascii="Arial" w:hAnsi="Arial" w:cs="Arial"/>
      <w:b/>
      <w:bCs/>
      <w:sz w:val="26"/>
      <w:szCs w:val="26"/>
      <w:lang w:eastAsia="pt-BR"/>
    </w:rPr>
  </w:style>
  <w:style w:type="paragraph" w:styleId="Ttulo4">
    <w:name w:val="heading 4"/>
    <w:basedOn w:val="Normal"/>
    <w:next w:val="Normal"/>
    <w:qFormat/>
    <w:rsid w:val="00DC3D0E"/>
    <w:pPr>
      <w:keepNext/>
      <w:spacing w:before="240" w:after="60"/>
      <w:outlineLvl w:val="3"/>
    </w:pPr>
    <w:rPr>
      <w:b/>
      <w:bCs/>
      <w:sz w:val="28"/>
      <w:szCs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arcter"/>
    <w:rsid w:val="00480E89"/>
    <w:pPr>
      <w:jc w:val="both"/>
    </w:pPr>
    <w:rPr>
      <w:lang w:eastAsia="pt-PT"/>
    </w:rPr>
  </w:style>
  <w:style w:type="paragraph" w:styleId="NormalWeb">
    <w:name w:val="Normal (Web)"/>
    <w:basedOn w:val="Normal"/>
    <w:uiPriority w:val="99"/>
    <w:rsid w:val="00480E89"/>
    <w:pPr>
      <w:spacing w:before="100" w:beforeAutospacing="1" w:after="100" w:afterAutospacing="1"/>
    </w:pPr>
    <w:rPr>
      <w:lang w:val="pt-BR" w:eastAsia="pt-BR"/>
    </w:rPr>
  </w:style>
  <w:style w:type="character" w:styleId="Hiperligao">
    <w:name w:val="Hyperlink"/>
    <w:basedOn w:val="Tipodeletrapredefinidodopargrafo"/>
    <w:uiPriority w:val="99"/>
    <w:rsid w:val="00480E89"/>
    <w:rPr>
      <w:color w:val="0000FF"/>
      <w:u w:val="single"/>
    </w:rPr>
  </w:style>
  <w:style w:type="paragraph" w:styleId="Cabealho">
    <w:name w:val="header"/>
    <w:basedOn w:val="Normal"/>
    <w:rsid w:val="00480E89"/>
    <w:pPr>
      <w:tabs>
        <w:tab w:val="center" w:pos="4252"/>
        <w:tab w:val="right" w:pos="8504"/>
      </w:tabs>
    </w:pPr>
    <w:rPr>
      <w:rFonts w:ascii="Century" w:hAnsi="Century"/>
      <w:lang w:eastAsia="pt-BR"/>
    </w:rPr>
  </w:style>
  <w:style w:type="character" w:styleId="Nmerodepgina">
    <w:name w:val="page number"/>
    <w:basedOn w:val="Tipodeletrapredefinidodopargrafo"/>
    <w:rsid w:val="00480E89"/>
  </w:style>
  <w:style w:type="paragraph" w:styleId="Rodap">
    <w:name w:val="footer"/>
    <w:basedOn w:val="Normal"/>
    <w:rsid w:val="00480E89"/>
    <w:pPr>
      <w:tabs>
        <w:tab w:val="center" w:pos="4252"/>
        <w:tab w:val="right" w:pos="8504"/>
      </w:tabs>
    </w:pPr>
    <w:rPr>
      <w:rFonts w:ascii="Century" w:hAnsi="Century"/>
      <w:lang w:eastAsia="pt-BR"/>
    </w:rPr>
  </w:style>
  <w:style w:type="table" w:styleId="Tabelacomgrelha">
    <w:name w:val="Table Grid"/>
    <w:basedOn w:val="Tabelanormal"/>
    <w:uiPriority w:val="59"/>
    <w:rsid w:val="00CE1B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acontempornea">
    <w:name w:val="Table Contemporary"/>
    <w:basedOn w:val="Tabelanormal"/>
    <w:rsid w:val="00B02809"/>
    <w:pPr>
      <w:jc w:val="center"/>
    </w:pPr>
    <w:rPr>
      <w:rFonts w:ascii="Papyrus" w:hAnsi="Papyrus"/>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cPr>
      <w:shd w:val="clear" w:color="auto" w:fill="auto"/>
      <w:vAlign w:val="center"/>
    </w:tc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Textodenotaderodap">
    <w:name w:val="footnote text"/>
    <w:basedOn w:val="Normal"/>
    <w:link w:val="TextodenotaderodapCarcter"/>
    <w:semiHidden/>
    <w:rsid w:val="001C2C61"/>
    <w:rPr>
      <w:sz w:val="20"/>
      <w:szCs w:val="20"/>
    </w:rPr>
  </w:style>
  <w:style w:type="character" w:styleId="Refdenotaderodap">
    <w:name w:val="footnote reference"/>
    <w:basedOn w:val="Tipodeletrapredefinidodopargrafo"/>
    <w:uiPriority w:val="99"/>
    <w:semiHidden/>
    <w:rsid w:val="001C2C61"/>
    <w:rPr>
      <w:vertAlign w:val="superscript"/>
    </w:rPr>
  </w:style>
  <w:style w:type="paragraph" w:styleId="Corpodetexto3">
    <w:name w:val="Body Text 3"/>
    <w:basedOn w:val="Normal"/>
    <w:rsid w:val="00933272"/>
    <w:pPr>
      <w:spacing w:after="120"/>
    </w:pPr>
    <w:rPr>
      <w:sz w:val="16"/>
      <w:szCs w:val="16"/>
      <w:lang w:eastAsia="pt-PT"/>
    </w:rPr>
  </w:style>
  <w:style w:type="character" w:styleId="Hiperligaovisitada">
    <w:name w:val="FollowedHyperlink"/>
    <w:basedOn w:val="Tipodeletrapredefinidodopargrafo"/>
    <w:rsid w:val="00D66A8F"/>
    <w:rPr>
      <w:color w:val="FF00FF"/>
      <w:u w:val="single"/>
    </w:rPr>
  </w:style>
  <w:style w:type="paragraph" w:styleId="Avanodecorpodetexto">
    <w:name w:val="Body Text Indent"/>
    <w:basedOn w:val="Normal"/>
    <w:rsid w:val="00AD0F04"/>
    <w:pPr>
      <w:spacing w:after="120"/>
      <w:ind w:left="283"/>
    </w:pPr>
  </w:style>
  <w:style w:type="paragraph" w:styleId="Ttulo">
    <w:name w:val="Title"/>
    <w:basedOn w:val="Normal"/>
    <w:qFormat/>
    <w:rsid w:val="008A151B"/>
    <w:pPr>
      <w:jc w:val="center"/>
    </w:pPr>
    <w:rPr>
      <w:u w:val="single"/>
      <w:lang w:val="en-GB"/>
    </w:rPr>
  </w:style>
  <w:style w:type="paragraph" w:styleId="Textodebalo">
    <w:name w:val="Balloon Text"/>
    <w:basedOn w:val="Normal"/>
    <w:link w:val="TextodebaloCarcter"/>
    <w:uiPriority w:val="99"/>
    <w:semiHidden/>
    <w:rsid w:val="00D73B7F"/>
    <w:rPr>
      <w:rFonts w:ascii="Tahoma" w:hAnsi="Tahoma" w:cs="Tahoma"/>
      <w:sz w:val="16"/>
      <w:szCs w:val="16"/>
    </w:rPr>
  </w:style>
  <w:style w:type="character" w:styleId="Forte">
    <w:name w:val="Strong"/>
    <w:basedOn w:val="Tipodeletrapredefinidodopargrafo"/>
    <w:uiPriority w:val="22"/>
    <w:qFormat/>
    <w:rsid w:val="006E2333"/>
    <w:rPr>
      <w:b/>
      <w:bCs/>
    </w:rPr>
  </w:style>
  <w:style w:type="paragraph" w:customStyle="1" w:styleId="p">
    <w:name w:val="p"/>
    <w:basedOn w:val="Normal"/>
    <w:rsid w:val="00E540B8"/>
    <w:pPr>
      <w:spacing w:before="14" w:after="14"/>
    </w:pPr>
    <w:rPr>
      <w:lang w:eastAsia="pt-PT"/>
    </w:rPr>
  </w:style>
  <w:style w:type="paragraph" w:styleId="Textodenotadefim">
    <w:name w:val="endnote text"/>
    <w:basedOn w:val="Normal"/>
    <w:semiHidden/>
    <w:rsid w:val="00E70264"/>
    <w:rPr>
      <w:sz w:val="20"/>
      <w:szCs w:val="20"/>
      <w:lang w:eastAsia="pt-PT"/>
    </w:rPr>
  </w:style>
  <w:style w:type="character" w:customStyle="1" w:styleId="spelle">
    <w:name w:val="spelle"/>
    <w:basedOn w:val="Tipodeletrapredefinidodopargrafo"/>
    <w:rsid w:val="00444EEE"/>
  </w:style>
  <w:style w:type="character" w:styleId="nfase">
    <w:name w:val="Emphasis"/>
    <w:basedOn w:val="Tipodeletrapredefinidodopargrafo"/>
    <w:uiPriority w:val="20"/>
    <w:qFormat/>
    <w:rsid w:val="00423AAD"/>
    <w:rPr>
      <w:i/>
      <w:iCs/>
    </w:rPr>
  </w:style>
  <w:style w:type="paragraph" w:styleId="Avanodecorpodetexto2">
    <w:name w:val="Body Text Indent 2"/>
    <w:basedOn w:val="Normal"/>
    <w:rsid w:val="00D97929"/>
    <w:pPr>
      <w:spacing w:after="120" w:line="480" w:lineRule="auto"/>
      <w:ind w:left="283"/>
    </w:pPr>
    <w:rPr>
      <w:lang w:eastAsia="pt-PT"/>
    </w:rPr>
  </w:style>
  <w:style w:type="character" w:styleId="Refdecomentrio">
    <w:name w:val="annotation reference"/>
    <w:basedOn w:val="Tipodeletrapredefinidodopargrafo"/>
    <w:semiHidden/>
    <w:rsid w:val="003B7FD3"/>
    <w:rPr>
      <w:sz w:val="16"/>
      <w:szCs w:val="16"/>
    </w:rPr>
  </w:style>
  <w:style w:type="paragraph" w:styleId="Textodecomentrio">
    <w:name w:val="annotation text"/>
    <w:basedOn w:val="Normal"/>
    <w:semiHidden/>
    <w:rsid w:val="003B7FD3"/>
    <w:rPr>
      <w:sz w:val="20"/>
      <w:szCs w:val="20"/>
    </w:rPr>
  </w:style>
  <w:style w:type="paragraph" w:styleId="Assuntodecomentrio">
    <w:name w:val="annotation subject"/>
    <w:basedOn w:val="Textodecomentrio"/>
    <w:next w:val="Textodecomentrio"/>
    <w:semiHidden/>
    <w:rsid w:val="003B7FD3"/>
    <w:rPr>
      <w:b/>
      <w:bCs/>
    </w:rPr>
  </w:style>
  <w:style w:type="paragraph" w:styleId="Avanodecorpodetexto3">
    <w:name w:val="Body Text Indent 3"/>
    <w:basedOn w:val="Normal"/>
    <w:rsid w:val="00F32D29"/>
    <w:pPr>
      <w:spacing w:after="120"/>
      <w:ind w:left="283"/>
    </w:pPr>
    <w:rPr>
      <w:sz w:val="16"/>
      <w:szCs w:val="16"/>
      <w:lang w:eastAsia="pt-PT"/>
    </w:rPr>
  </w:style>
  <w:style w:type="paragraph" w:customStyle="1" w:styleId="ecmsonormal">
    <w:name w:val="ec_msonormal"/>
    <w:basedOn w:val="Normal"/>
    <w:rsid w:val="000E313F"/>
    <w:pPr>
      <w:spacing w:before="100" w:beforeAutospacing="1" w:after="100" w:afterAutospacing="1"/>
    </w:pPr>
    <w:rPr>
      <w:lang w:eastAsia="pt-PT"/>
    </w:rPr>
  </w:style>
  <w:style w:type="character" w:customStyle="1" w:styleId="normalreverse1">
    <w:name w:val="normalreverse1"/>
    <w:basedOn w:val="Tipodeletrapredefinidodopargrafo"/>
    <w:rsid w:val="001C1C17"/>
    <w:rPr>
      <w:rFonts w:ascii="Arial" w:hAnsi="Arial" w:cs="Arial" w:hint="default"/>
      <w:b/>
      <w:bCs/>
      <w:color w:val="FFFFFF"/>
      <w:sz w:val="9"/>
      <w:szCs w:val="9"/>
    </w:rPr>
  </w:style>
  <w:style w:type="character" w:styleId="TextodoMarcadordePosio">
    <w:name w:val="Placeholder Text"/>
    <w:basedOn w:val="Tipodeletrapredefinidodopargrafo"/>
    <w:uiPriority w:val="99"/>
    <w:semiHidden/>
    <w:rsid w:val="00A611B9"/>
    <w:rPr>
      <w:color w:val="808080"/>
    </w:rPr>
  </w:style>
  <w:style w:type="character" w:customStyle="1" w:styleId="highlightedsearchterm">
    <w:name w:val="highlightedsearchterm"/>
    <w:basedOn w:val="Tipodeletrapredefinidodopargrafo"/>
    <w:rsid w:val="009E208C"/>
  </w:style>
  <w:style w:type="character" w:customStyle="1" w:styleId="CorpodetextoCarcter">
    <w:name w:val="Corpo de texto Carácter"/>
    <w:basedOn w:val="Tipodeletrapredefinidodopargrafo"/>
    <w:link w:val="Corpodetexto"/>
    <w:rsid w:val="00130028"/>
    <w:rPr>
      <w:sz w:val="24"/>
      <w:szCs w:val="24"/>
    </w:rPr>
  </w:style>
  <w:style w:type="paragraph" w:styleId="PargrafodaLista">
    <w:name w:val="List Paragraph"/>
    <w:basedOn w:val="Normal"/>
    <w:uiPriority w:val="34"/>
    <w:qFormat/>
    <w:rsid w:val="006438ED"/>
    <w:pPr>
      <w:spacing w:after="200" w:line="276" w:lineRule="auto"/>
      <w:ind w:left="720"/>
      <w:contextualSpacing/>
    </w:pPr>
    <w:rPr>
      <w:rFonts w:asciiTheme="minorHAnsi" w:eastAsiaTheme="minorHAnsi" w:hAnsiTheme="minorHAnsi" w:cstheme="minorBidi"/>
      <w:sz w:val="22"/>
      <w:szCs w:val="22"/>
      <w:lang w:val="es-ES_tradnl"/>
    </w:rPr>
  </w:style>
  <w:style w:type="numbering" w:customStyle="1" w:styleId="Semlista1">
    <w:name w:val="Sem lista1"/>
    <w:next w:val="Semlista"/>
    <w:uiPriority w:val="99"/>
    <w:semiHidden/>
    <w:unhideWhenUsed/>
    <w:rsid w:val="00AF6EFC"/>
  </w:style>
  <w:style w:type="table" w:customStyle="1" w:styleId="Tabelacomgrelha1">
    <w:name w:val="Tabela com grelha1"/>
    <w:basedOn w:val="Tabelanormal"/>
    <w:next w:val="Tabelacomgrelha"/>
    <w:uiPriority w:val="59"/>
    <w:rsid w:val="00AF6EFC"/>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longtext1">
    <w:name w:val="long_text1"/>
    <w:basedOn w:val="Tipodeletrapredefinidodopargrafo"/>
    <w:rsid w:val="00AF6EFC"/>
    <w:rPr>
      <w:sz w:val="10"/>
      <w:szCs w:val="10"/>
    </w:rPr>
  </w:style>
  <w:style w:type="paragraph" w:customStyle="1" w:styleId="citation">
    <w:name w:val="citation"/>
    <w:basedOn w:val="Normal"/>
    <w:rsid w:val="00AF6EFC"/>
    <w:pPr>
      <w:spacing w:before="100" w:beforeAutospacing="1" w:after="100" w:afterAutospacing="1"/>
    </w:pPr>
    <w:rPr>
      <w:lang w:eastAsia="pt-PT"/>
    </w:rPr>
  </w:style>
  <w:style w:type="paragraph" w:customStyle="1" w:styleId="authlist">
    <w:name w:val="auth_list"/>
    <w:basedOn w:val="Normal"/>
    <w:rsid w:val="00AF6EFC"/>
    <w:pPr>
      <w:spacing w:before="100" w:beforeAutospacing="1" w:after="100" w:afterAutospacing="1"/>
    </w:pPr>
    <w:rPr>
      <w:lang w:eastAsia="pt-PT"/>
    </w:rPr>
  </w:style>
  <w:style w:type="character" w:customStyle="1" w:styleId="Ttulo2Carcter">
    <w:name w:val="Título 2 Carácter"/>
    <w:basedOn w:val="Tipodeletrapredefinidodopargrafo"/>
    <w:link w:val="Ttulo2"/>
    <w:uiPriority w:val="9"/>
    <w:rsid w:val="00AF6EFC"/>
    <w:rPr>
      <w:rFonts w:ascii="Arial" w:hAnsi="Arial" w:cs="Arial"/>
      <w:b/>
      <w:bCs/>
      <w:i/>
      <w:iCs/>
      <w:sz w:val="28"/>
      <w:szCs w:val="28"/>
      <w:lang w:eastAsia="en-US"/>
    </w:rPr>
  </w:style>
  <w:style w:type="character" w:customStyle="1" w:styleId="TextodebaloCarcter">
    <w:name w:val="Texto de balão Carácter"/>
    <w:basedOn w:val="Tipodeletrapredefinidodopargrafo"/>
    <w:link w:val="Textodebalo"/>
    <w:uiPriority w:val="99"/>
    <w:semiHidden/>
    <w:rsid w:val="00AF6EFC"/>
    <w:rPr>
      <w:rFonts w:ascii="Tahoma" w:hAnsi="Tahoma" w:cs="Tahoma"/>
      <w:sz w:val="16"/>
      <w:szCs w:val="16"/>
      <w:lang w:eastAsia="en-US"/>
    </w:rPr>
  </w:style>
  <w:style w:type="character" w:customStyle="1" w:styleId="longtext">
    <w:name w:val="long_text"/>
    <w:basedOn w:val="Tipodeletrapredefinidodopargrafo"/>
    <w:rsid w:val="00662D29"/>
  </w:style>
  <w:style w:type="character" w:customStyle="1" w:styleId="TextodenotaderodapCarcter">
    <w:name w:val="Texto de nota de rodapé Carácter"/>
    <w:basedOn w:val="Tipodeletrapredefinidodopargrafo"/>
    <w:link w:val="Textodenotaderodap"/>
    <w:semiHidden/>
    <w:rsid w:val="00727764"/>
    <w:rPr>
      <w:lang w:eastAsia="en-US"/>
    </w:rPr>
  </w:style>
  <w:style w:type="table" w:customStyle="1" w:styleId="Tabelacomgrelha2">
    <w:name w:val="Tabela com grelha2"/>
    <w:basedOn w:val="Tabelanormal"/>
    <w:next w:val="Tabelacomgrelha"/>
    <w:uiPriority w:val="59"/>
    <w:rsid w:val="00CA58D8"/>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elacomgrelha3">
    <w:name w:val="Tabela com grelha3"/>
    <w:basedOn w:val="Tabelanormal"/>
    <w:next w:val="Tabelacomgrelha"/>
    <w:uiPriority w:val="59"/>
    <w:rsid w:val="00CA62A6"/>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elacomgrelha4">
    <w:name w:val="Tabela com grelha4"/>
    <w:basedOn w:val="Tabelanormal"/>
    <w:next w:val="Tabelacomgrelha"/>
    <w:uiPriority w:val="59"/>
    <w:rsid w:val="005A4670"/>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ps">
    <w:name w:val="hps"/>
    <w:basedOn w:val="Tipodeletrapredefinidodopargrafo"/>
    <w:rsid w:val="00D004C5"/>
  </w:style>
  <w:style w:type="character" w:customStyle="1" w:styleId="atn">
    <w:name w:val="atn"/>
    <w:basedOn w:val="Tipodeletrapredefinidodopargrafo"/>
    <w:rsid w:val="0084727C"/>
  </w:style>
</w:styles>
</file>

<file path=word/webSettings.xml><?xml version="1.0" encoding="utf-8"?>
<w:webSettings xmlns:r="http://schemas.openxmlformats.org/officeDocument/2006/relationships" xmlns:w="http://schemas.openxmlformats.org/wordprocessingml/2006/main">
  <w:divs>
    <w:div w:id="110251760">
      <w:bodyDiv w:val="1"/>
      <w:marLeft w:val="0"/>
      <w:marRight w:val="0"/>
      <w:marTop w:val="0"/>
      <w:marBottom w:val="0"/>
      <w:divBdr>
        <w:top w:val="none" w:sz="0" w:space="0" w:color="auto"/>
        <w:left w:val="none" w:sz="0" w:space="0" w:color="auto"/>
        <w:bottom w:val="none" w:sz="0" w:space="0" w:color="auto"/>
        <w:right w:val="none" w:sz="0" w:space="0" w:color="auto"/>
      </w:divBdr>
    </w:div>
    <w:div w:id="130825292">
      <w:bodyDiv w:val="1"/>
      <w:marLeft w:val="0"/>
      <w:marRight w:val="0"/>
      <w:marTop w:val="0"/>
      <w:marBottom w:val="0"/>
      <w:divBdr>
        <w:top w:val="none" w:sz="0" w:space="0" w:color="auto"/>
        <w:left w:val="none" w:sz="0" w:space="0" w:color="auto"/>
        <w:bottom w:val="none" w:sz="0" w:space="0" w:color="auto"/>
        <w:right w:val="none" w:sz="0" w:space="0" w:color="auto"/>
      </w:divBdr>
      <w:divsChild>
        <w:div w:id="1309019290">
          <w:marLeft w:val="0"/>
          <w:marRight w:val="0"/>
          <w:marTop w:val="0"/>
          <w:marBottom w:val="0"/>
          <w:divBdr>
            <w:top w:val="none" w:sz="0" w:space="0" w:color="auto"/>
            <w:left w:val="none" w:sz="0" w:space="0" w:color="auto"/>
            <w:bottom w:val="none" w:sz="0" w:space="0" w:color="auto"/>
            <w:right w:val="none" w:sz="0" w:space="0" w:color="auto"/>
          </w:divBdr>
          <w:divsChild>
            <w:div w:id="1957980556">
              <w:marLeft w:val="0"/>
              <w:marRight w:val="0"/>
              <w:marTop w:val="0"/>
              <w:marBottom w:val="0"/>
              <w:divBdr>
                <w:top w:val="none" w:sz="0" w:space="0" w:color="auto"/>
                <w:left w:val="none" w:sz="0" w:space="0" w:color="auto"/>
                <w:bottom w:val="none" w:sz="0" w:space="0" w:color="auto"/>
                <w:right w:val="none" w:sz="0" w:space="0" w:color="auto"/>
              </w:divBdr>
              <w:divsChild>
                <w:div w:id="1463039520">
                  <w:marLeft w:val="0"/>
                  <w:marRight w:val="0"/>
                  <w:marTop w:val="0"/>
                  <w:marBottom w:val="0"/>
                  <w:divBdr>
                    <w:top w:val="none" w:sz="0" w:space="0" w:color="auto"/>
                    <w:left w:val="none" w:sz="0" w:space="0" w:color="auto"/>
                    <w:bottom w:val="none" w:sz="0" w:space="0" w:color="auto"/>
                    <w:right w:val="none" w:sz="0" w:space="0" w:color="auto"/>
                  </w:divBdr>
                  <w:divsChild>
                    <w:div w:id="1357467709">
                      <w:marLeft w:val="0"/>
                      <w:marRight w:val="0"/>
                      <w:marTop w:val="0"/>
                      <w:marBottom w:val="0"/>
                      <w:divBdr>
                        <w:top w:val="none" w:sz="0" w:space="0" w:color="auto"/>
                        <w:left w:val="none" w:sz="0" w:space="0" w:color="auto"/>
                        <w:bottom w:val="none" w:sz="0" w:space="0" w:color="auto"/>
                        <w:right w:val="none" w:sz="0" w:space="0" w:color="auto"/>
                      </w:divBdr>
                      <w:divsChild>
                        <w:div w:id="1831410909">
                          <w:marLeft w:val="0"/>
                          <w:marRight w:val="0"/>
                          <w:marTop w:val="0"/>
                          <w:marBottom w:val="0"/>
                          <w:divBdr>
                            <w:top w:val="none" w:sz="0" w:space="0" w:color="auto"/>
                            <w:left w:val="none" w:sz="0" w:space="0" w:color="auto"/>
                            <w:bottom w:val="none" w:sz="0" w:space="0" w:color="auto"/>
                            <w:right w:val="none" w:sz="0" w:space="0" w:color="auto"/>
                          </w:divBdr>
                          <w:divsChild>
                            <w:div w:id="991324864">
                              <w:marLeft w:val="0"/>
                              <w:marRight w:val="0"/>
                              <w:marTop w:val="0"/>
                              <w:marBottom w:val="0"/>
                              <w:divBdr>
                                <w:top w:val="none" w:sz="0" w:space="0" w:color="auto"/>
                                <w:left w:val="none" w:sz="0" w:space="0" w:color="auto"/>
                                <w:bottom w:val="none" w:sz="0" w:space="0" w:color="auto"/>
                                <w:right w:val="none" w:sz="0" w:space="0" w:color="auto"/>
                              </w:divBdr>
                              <w:divsChild>
                                <w:div w:id="1143548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328711">
      <w:bodyDiv w:val="1"/>
      <w:marLeft w:val="0"/>
      <w:marRight w:val="0"/>
      <w:marTop w:val="0"/>
      <w:marBottom w:val="0"/>
      <w:divBdr>
        <w:top w:val="none" w:sz="0" w:space="0" w:color="auto"/>
        <w:left w:val="none" w:sz="0" w:space="0" w:color="auto"/>
        <w:bottom w:val="none" w:sz="0" w:space="0" w:color="auto"/>
        <w:right w:val="none" w:sz="0" w:space="0" w:color="auto"/>
      </w:divBdr>
    </w:div>
    <w:div w:id="147094702">
      <w:bodyDiv w:val="1"/>
      <w:marLeft w:val="0"/>
      <w:marRight w:val="0"/>
      <w:marTop w:val="0"/>
      <w:marBottom w:val="0"/>
      <w:divBdr>
        <w:top w:val="none" w:sz="0" w:space="0" w:color="auto"/>
        <w:left w:val="none" w:sz="0" w:space="0" w:color="auto"/>
        <w:bottom w:val="none" w:sz="0" w:space="0" w:color="auto"/>
        <w:right w:val="none" w:sz="0" w:space="0" w:color="auto"/>
      </w:divBdr>
      <w:divsChild>
        <w:div w:id="1485585839">
          <w:marLeft w:val="0"/>
          <w:marRight w:val="0"/>
          <w:marTop w:val="0"/>
          <w:marBottom w:val="0"/>
          <w:divBdr>
            <w:top w:val="none" w:sz="0" w:space="0" w:color="auto"/>
            <w:left w:val="none" w:sz="0" w:space="0" w:color="auto"/>
            <w:bottom w:val="none" w:sz="0" w:space="0" w:color="auto"/>
            <w:right w:val="none" w:sz="0" w:space="0" w:color="auto"/>
          </w:divBdr>
        </w:div>
      </w:divsChild>
    </w:div>
    <w:div w:id="186874710">
      <w:bodyDiv w:val="1"/>
      <w:marLeft w:val="0"/>
      <w:marRight w:val="0"/>
      <w:marTop w:val="0"/>
      <w:marBottom w:val="0"/>
      <w:divBdr>
        <w:top w:val="none" w:sz="0" w:space="0" w:color="auto"/>
        <w:left w:val="none" w:sz="0" w:space="0" w:color="auto"/>
        <w:bottom w:val="none" w:sz="0" w:space="0" w:color="auto"/>
        <w:right w:val="none" w:sz="0" w:space="0" w:color="auto"/>
      </w:divBdr>
      <w:divsChild>
        <w:div w:id="1324700401">
          <w:marLeft w:val="0"/>
          <w:marRight w:val="0"/>
          <w:marTop w:val="0"/>
          <w:marBottom w:val="0"/>
          <w:divBdr>
            <w:top w:val="none" w:sz="0" w:space="0" w:color="auto"/>
            <w:left w:val="none" w:sz="0" w:space="0" w:color="auto"/>
            <w:bottom w:val="none" w:sz="0" w:space="0" w:color="auto"/>
            <w:right w:val="none" w:sz="0" w:space="0" w:color="auto"/>
          </w:divBdr>
        </w:div>
      </w:divsChild>
    </w:div>
    <w:div w:id="217788606">
      <w:bodyDiv w:val="1"/>
      <w:marLeft w:val="0"/>
      <w:marRight w:val="0"/>
      <w:marTop w:val="0"/>
      <w:marBottom w:val="0"/>
      <w:divBdr>
        <w:top w:val="none" w:sz="0" w:space="0" w:color="auto"/>
        <w:left w:val="none" w:sz="0" w:space="0" w:color="auto"/>
        <w:bottom w:val="none" w:sz="0" w:space="0" w:color="auto"/>
        <w:right w:val="none" w:sz="0" w:space="0" w:color="auto"/>
      </w:divBdr>
      <w:divsChild>
        <w:div w:id="1232079239">
          <w:marLeft w:val="0"/>
          <w:marRight w:val="0"/>
          <w:marTop w:val="0"/>
          <w:marBottom w:val="0"/>
          <w:divBdr>
            <w:top w:val="none" w:sz="0" w:space="0" w:color="auto"/>
            <w:left w:val="none" w:sz="0" w:space="0" w:color="auto"/>
            <w:bottom w:val="none" w:sz="0" w:space="0" w:color="auto"/>
            <w:right w:val="none" w:sz="0" w:space="0" w:color="auto"/>
          </w:divBdr>
          <w:divsChild>
            <w:div w:id="1395465790">
              <w:marLeft w:val="0"/>
              <w:marRight w:val="0"/>
              <w:marTop w:val="0"/>
              <w:marBottom w:val="0"/>
              <w:divBdr>
                <w:top w:val="none" w:sz="0" w:space="0" w:color="auto"/>
                <w:left w:val="none" w:sz="0" w:space="0" w:color="auto"/>
                <w:bottom w:val="none" w:sz="0" w:space="0" w:color="auto"/>
                <w:right w:val="none" w:sz="0" w:space="0" w:color="auto"/>
              </w:divBdr>
              <w:divsChild>
                <w:div w:id="386729466">
                  <w:marLeft w:val="0"/>
                  <w:marRight w:val="0"/>
                  <w:marTop w:val="0"/>
                  <w:marBottom w:val="0"/>
                  <w:divBdr>
                    <w:top w:val="none" w:sz="0" w:space="0" w:color="auto"/>
                    <w:left w:val="none" w:sz="0" w:space="0" w:color="auto"/>
                    <w:bottom w:val="none" w:sz="0" w:space="0" w:color="auto"/>
                    <w:right w:val="none" w:sz="0" w:space="0" w:color="auto"/>
                  </w:divBdr>
                  <w:divsChild>
                    <w:div w:id="1034571885">
                      <w:marLeft w:val="0"/>
                      <w:marRight w:val="0"/>
                      <w:marTop w:val="0"/>
                      <w:marBottom w:val="0"/>
                      <w:divBdr>
                        <w:top w:val="none" w:sz="0" w:space="0" w:color="auto"/>
                        <w:left w:val="none" w:sz="0" w:space="0" w:color="auto"/>
                        <w:bottom w:val="none" w:sz="0" w:space="0" w:color="auto"/>
                        <w:right w:val="none" w:sz="0" w:space="0" w:color="auto"/>
                      </w:divBdr>
                      <w:divsChild>
                        <w:div w:id="261570462">
                          <w:marLeft w:val="0"/>
                          <w:marRight w:val="0"/>
                          <w:marTop w:val="0"/>
                          <w:marBottom w:val="0"/>
                          <w:divBdr>
                            <w:top w:val="none" w:sz="0" w:space="0" w:color="auto"/>
                            <w:left w:val="none" w:sz="0" w:space="0" w:color="auto"/>
                            <w:bottom w:val="none" w:sz="0" w:space="0" w:color="auto"/>
                            <w:right w:val="none" w:sz="0" w:space="0" w:color="auto"/>
                          </w:divBdr>
                          <w:divsChild>
                            <w:div w:id="960573200">
                              <w:marLeft w:val="0"/>
                              <w:marRight w:val="0"/>
                              <w:marTop w:val="0"/>
                              <w:marBottom w:val="0"/>
                              <w:divBdr>
                                <w:top w:val="none" w:sz="0" w:space="0" w:color="auto"/>
                                <w:left w:val="none" w:sz="0" w:space="0" w:color="auto"/>
                                <w:bottom w:val="none" w:sz="0" w:space="0" w:color="auto"/>
                                <w:right w:val="none" w:sz="0" w:space="0" w:color="auto"/>
                              </w:divBdr>
                              <w:divsChild>
                                <w:div w:id="3250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9005435">
      <w:bodyDiv w:val="1"/>
      <w:marLeft w:val="0"/>
      <w:marRight w:val="0"/>
      <w:marTop w:val="0"/>
      <w:marBottom w:val="0"/>
      <w:divBdr>
        <w:top w:val="none" w:sz="0" w:space="0" w:color="auto"/>
        <w:left w:val="none" w:sz="0" w:space="0" w:color="auto"/>
        <w:bottom w:val="none" w:sz="0" w:space="0" w:color="auto"/>
        <w:right w:val="none" w:sz="0" w:space="0" w:color="auto"/>
      </w:divBdr>
    </w:div>
    <w:div w:id="230586211">
      <w:bodyDiv w:val="1"/>
      <w:marLeft w:val="0"/>
      <w:marRight w:val="0"/>
      <w:marTop w:val="0"/>
      <w:marBottom w:val="0"/>
      <w:divBdr>
        <w:top w:val="none" w:sz="0" w:space="0" w:color="auto"/>
        <w:left w:val="none" w:sz="0" w:space="0" w:color="auto"/>
        <w:bottom w:val="none" w:sz="0" w:space="0" w:color="auto"/>
        <w:right w:val="none" w:sz="0" w:space="0" w:color="auto"/>
      </w:divBdr>
      <w:divsChild>
        <w:div w:id="900752388">
          <w:marLeft w:val="0"/>
          <w:marRight w:val="0"/>
          <w:marTop w:val="0"/>
          <w:marBottom w:val="0"/>
          <w:divBdr>
            <w:top w:val="none" w:sz="0" w:space="0" w:color="auto"/>
            <w:left w:val="none" w:sz="0" w:space="0" w:color="auto"/>
            <w:bottom w:val="none" w:sz="0" w:space="0" w:color="auto"/>
            <w:right w:val="none" w:sz="0" w:space="0" w:color="auto"/>
          </w:divBdr>
          <w:divsChild>
            <w:div w:id="1248155545">
              <w:marLeft w:val="0"/>
              <w:marRight w:val="0"/>
              <w:marTop w:val="0"/>
              <w:marBottom w:val="0"/>
              <w:divBdr>
                <w:top w:val="none" w:sz="0" w:space="0" w:color="auto"/>
                <w:left w:val="none" w:sz="0" w:space="0" w:color="auto"/>
                <w:bottom w:val="none" w:sz="0" w:space="0" w:color="auto"/>
                <w:right w:val="none" w:sz="0" w:space="0" w:color="auto"/>
              </w:divBdr>
              <w:divsChild>
                <w:div w:id="370619384">
                  <w:marLeft w:val="0"/>
                  <w:marRight w:val="0"/>
                  <w:marTop w:val="0"/>
                  <w:marBottom w:val="0"/>
                  <w:divBdr>
                    <w:top w:val="none" w:sz="0" w:space="0" w:color="auto"/>
                    <w:left w:val="none" w:sz="0" w:space="0" w:color="auto"/>
                    <w:bottom w:val="none" w:sz="0" w:space="0" w:color="auto"/>
                    <w:right w:val="none" w:sz="0" w:space="0" w:color="auto"/>
                  </w:divBdr>
                  <w:divsChild>
                    <w:div w:id="1814592995">
                      <w:marLeft w:val="0"/>
                      <w:marRight w:val="0"/>
                      <w:marTop w:val="0"/>
                      <w:marBottom w:val="0"/>
                      <w:divBdr>
                        <w:top w:val="none" w:sz="0" w:space="0" w:color="auto"/>
                        <w:left w:val="none" w:sz="0" w:space="0" w:color="auto"/>
                        <w:bottom w:val="none" w:sz="0" w:space="0" w:color="auto"/>
                        <w:right w:val="none" w:sz="0" w:space="0" w:color="auto"/>
                      </w:divBdr>
                      <w:divsChild>
                        <w:div w:id="522212187">
                          <w:marLeft w:val="0"/>
                          <w:marRight w:val="0"/>
                          <w:marTop w:val="0"/>
                          <w:marBottom w:val="0"/>
                          <w:divBdr>
                            <w:top w:val="none" w:sz="0" w:space="0" w:color="auto"/>
                            <w:left w:val="none" w:sz="0" w:space="0" w:color="auto"/>
                            <w:bottom w:val="none" w:sz="0" w:space="0" w:color="auto"/>
                            <w:right w:val="none" w:sz="0" w:space="0" w:color="auto"/>
                          </w:divBdr>
                          <w:divsChild>
                            <w:div w:id="619996581">
                              <w:marLeft w:val="0"/>
                              <w:marRight w:val="0"/>
                              <w:marTop w:val="0"/>
                              <w:marBottom w:val="0"/>
                              <w:divBdr>
                                <w:top w:val="none" w:sz="0" w:space="0" w:color="auto"/>
                                <w:left w:val="none" w:sz="0" w:space="0" w:color="auto"/>
                                <w:bottom w:val="none" w:sz="0" w:space="0" w:color="auto"/>
                                <w:right w:val="none" w:sz="0" w:space="0" w:color="auto"/>
                              </w:divBdr>
                              <w:divsChild>
                                <w:div w:id="1470049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7465544">
      <w:bodyDiv w:val="1"/>
      <w:marLeft w:val="0"/>
      <w:marRight w:val="0"/>
      <w:marTop w:val="0"/>
      <w:marBottom w:val="0"/>
      <w:divBdr>
        <w:top w:val="none" w:sz="0" w:space="0" w:color="auto"/>
        <w:left w:val="none" w:sz="0" w:space="0" w:color="auto"/>
        <w:bottom w:val="none" w:sz="0" w:space="0" w:color="auto"/>
        <w:right w:val="none" w:sz="0" w:space="0" w:color="auto"/>
      </w:divBdr>
      <w:divsChild>
        <w:div w:id="355695982">
          <w:marLeft w:val="0"/>
          <w:marRight w:val="0"/>
          <w:marTop w:val="0"/>
          <w:marBottom w:val="0"/>
          <w:divBdr>
            <w:top w:val="none" w:sz="0" w:space="0" w:color="auto"/>
            <w:left w:val="none" w:sz="0" w:space="0" w:color="auto"/>
            <w:bottom w:val="none" w:sz="0" w:space="0" w:color="auto"/>
            <w:right w:val="none" w:sz="0" w:space="0" w:color="auto"/>
          </w:divBdr>
          <w:divsChild>
            <w:div w:id="220680939">
              <w:marLeft w:val="0"/>
              <w:marRight w:val="0"/>
              <w:marTop w:val="0"/>
              <w:marBottom w:val="0"/>
              <w:divBdr>
                <w:top w:val="none" w:sz="0" w:space="0" w:color="auto"/>
                <w:left w:val="none" w:sz="0" w:space="0" w:color="auto"/>
                <w:bottom w:val="none" w:sz="0" w:space="0" w:color="auto"/>
                <w:right w:val="none" w:sz="0" w:space="0" w:color="auto"/>
              </w:divBdr>
              <w:divsChild>
                <w:div w:id="1560633464">
                  <w:marLeft w:val="0"/>
                  <w:marRight w:val="0"/>
                  <w:marTop w:val="0"/>
                  <w:marBottom w:val="0"/>
                  <w:divBdr>
                    <w:top w:val="none" w:sz="0" w:space="0" w:color="auto"/>
                    <w:left w:val="none" w:sz="0" w:space="0" w:color="auto"/>
                    <w:bottom w:val="none" w:sz="0" w:space="0" w:color="auto"/>
                    <w:right w:val="none" w:sz="0" w:space="0" w:color="auto"/>
                  </w:divBdr>
                  <w:divsChild>
                    <w:div w:id="628126453">
                      <w:marLeft w:val="0"/>
                      <w:marRight w:val="0"/>
                      <w:marTop w:val="0"/>
                      <w:marBottom w:val="0"/>
                      <w:divBdr>
                        <w:top w:val="none" w:sz="0" w:space="0" w:color="auto"/>
                        <w:left w:val="none" w:sz="0" w:space="0" w:color="auto"/>
                        <w:bottom w:val="none" w:sz="0" w:space="0" w:color="auto"/>
                        <w:right w:val="none" w:sz="0" w:space="0" w:color="auto"/>
                      </w:divBdr>
                      <w:divsChild>
                        <w:div w:id="969166681">
                          <w:marLeft w:val="0"/>
                          <w:marRight w:val="0"/>
                          <w:marTop w:val="0"/>
                          <w:marBottom w:val="0"/>
                          <w:divBdr>
                            <w:top w:val="none" w:sz="0" w:space="0" w:color="auto"/>
                            <w:left w:val="none" w:sz="0" w:space="0" w:color="auto"/>
                            <w:bottom w:val="none" w:sz="0" w:space="0" w:color="auto"/>
                            <w:right w:val="none" w:sz="0" w:space="0" w:color="auto"/>
                          </w:divBdr>
                          <w:divsChild>
                            <w:div w:id="1568033281">
                              <w:marLeft w:val="0"/>
                              <w:marRight w:val="0"/>
                              <w:marTop w:val="0"/>
                              <w:marBottom w:val="0"/>
                              <w:divBdr>
                                <w:top w:val="none" w:sz="0" w:space="0" w:color="auto"/>
                                <w:left w:val="none" w:sz="0" w:space="0" w:color="auto"/>
                                <w:bottom w:val="none" w:sz="0" w:space="0" w:color="auto"/>
                                <w:right w:val="none" w:sz="0" w:space="0" w:color="auto"/>
                              </w:divBdr>
                              <w:divsChild>
                                <w:div w:id="1059592740">
                                  <w:marLeft w:val="0"/>
                                  <w:marRight w:val="0"/>
                                  <w:marTop w:val="0"/>
                                  <w:marBottom w:val="0"/>
                                  <w:divBdr>
                                    <w:top w:val="none" w:sz="0" w:space="0" w:color="auto"/>
                                    <w:left w:val="none" w:sz="0" w:space="0" w:color="auto"/>
                                    <w:bottom w:val="none" w:sz="0" w:space="0" w:color="auto"/>
                                    <w:right w:val="none" w:sz="0" w:space="0" w:color="auto"/>
                                  </w:divBdr>
                                </w:div>
                              </w:divsChild>
                            </w:div>
                            <w:div w:id="531070360">
                              <w:marLeft w:val="0"/>
                              <w:marRight w:val="0"/>
                              <w:marTop w:val="92"/>
                              <w:marBottom w:val="0"/>
                              <w:divBdr>
                                <w:top w:val="none" w:sz="0" w:space="0" w:color="auto"/>
                                <w:left w:val="none" w:sz="0" w:space="0" w:color="auto"/>
                                <w:bottom w:val="none" w:sz="0" w:space="0" w:color="auto"/>
                                <w:right w:val="none" w:sz="0" w:space="0" w:color="auto"/>
                              </w:divBdr>
                              <w:divsChild>
                                <w:div w:id="916327758">
                                  <w:marLeft w:val="0"/>
                                  <w:marRight w:val="240"/>
                                  <w:marTop w:val="0"/>
                                  <w:marBottom w:val="0"/>
                                  <w:divBdr>
                                    <w:top w:val="none" w:sz="0" w:space="0" w:color="auto"/>
                                    <w:left w:val="none" w:sz="0" w:space="0" w:color="auto"/>
                                    <w:bottom w:val="none" w:sz="0" w:space="0" w:color="auto"/>
                                    <w:right w:val="none" w:sz="0" w:space="0" w:color="auto"/>
                                  </w:divBdr>
                                </w:div>
                                <w:div w:id="2058045843">
                                  <w:marLeft w:val="0"/>
                                  <w:marRight w:val="240"/>
                                  <w:marTop w:val="0"/>
                                  <w:marBottom w:val="0"/>
                                  <w:divBdr>
                                    <w:top w:val="none" w:sz="0" w:space="0" w:color="auto"/>
                                    <w:left w:val="none" w:sz="0" w:space="0" w:color="auto"/>
                                    <w:bottom w:val="none" w:sz="0" w:space="0" w:color="auto"/>
                                    <w:right w:val="none" w:sz="0" w:space="0" w:color="auto"/>
                                  </w:divBdr>
                                </w:div>
                              </w:divsChild>
                            </w:div>
                            <w:div w:id="1620798122">
                              <w:marLeft w:val="0"/>
                              <w:marRight w:val="0"/>
                              <w:marTop w:val="0"/>
                              <w:marBottom w:val="0"/>
                              <w:divBdr>
                                <w:top w:val="none" w:sz="0" w:space="0" w:color="auto"/>
                                <w:left w:val="none" w:sz="0" w:space="0" w:color="auto"/>
                                <w:bottom w:val="none" w:sz="0" w:space="0" w:color="auto"/>
                                <w:right w:val="none" w:sz="0" w:space="0" w:color="auto"/>
                              </w:divBdr>
                            </w:div>
                            <w:div w:id="915820634">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7676394">
      <w:bodyDiv w:val="1"/>
      <w:marLeft w:val="0"/>
      <w:marRight w:val="0"/>
      <w:marTop w:val="0"/>
      <w:marBottom w:val="0"/>
      <w:divBdr>
        <w:top w:val="none" w:sz="0" w:space="0" w:color="auto"/>
        <w:left w:val="none" w:sz="0" w:space="0" w:color="auto"/>
        <w:bottom w:val="none" w:sz="0" w:space="0" w:color="auto"/>
        <w:right w:val="none" w:sz="0" w:space="0" w:color="auto"/>
      </w:divBdr>
    </w:div>
    <w:div w:id="446125626">
      <w:bodyDiv w:val="1"/>
      <w:marLeft w:val="0"/>
      <w:marRight w:val="0"/>
      <w:marTop w:val="0"/>
      <w:marBottom w:val="0"/>
      <w:divBdr>
        <w:top w:val="none" w:sz="0" w:space="0" w:color="auto"/>
        <w:left w:val="none" w:sz="0" w:space="0" w:color="auto"/>
        <w:bottom w:val="none" w:sz="0" w:space="0" w:color="auto"/>
        <w:right w:val="none" w:sz="0" w:space="0" w:color="auto"/>
      </w:divBdr>
      <w:divsChild>
        <w:div w:id="1087652292">
          <w:marLeft w:val="0"/>
          <w:marRight w:val="0"/>
          <w:marTop w:val="0"/>
          <w:marBottom w:val="0"/>
          <w:divBdr>
            <w:top w:val="none" w:sz="0" w:space="0" w:color="auto"/>
            <w:left w:val="none" w:sz="0" w:space="0" w:color="auto"/>
            <w:bottom w:val="none" w:sz="0" w:space="0" w:color="auto"/>
            <w:right w:val="none" w:sz="0" w:space="0" w:color="auto"/>
          </w:divBdr>
          <w:divsChild>
            <w:div w:id="579144560">
              <w:marLeft w:val="0"/>
              <w:marRight w:val="0"/>
              <w:marTop w:val="0"/>
              <w:marBottom w:val="0"/>
              <w:divBdr>
                <w:top w:val="none" w:sz="0" w:space="0" w:color="auto"/>
                <w:left w:val="none" w:sz="0" w:space="0" w:color="auto"/>
                <w:bottom w:val="none" w:sz="0" w:space="0" w:color="auto"/>
                <w:right w:val="none" w:sz="0" w:space="0" w:color="auto"/>
              </w:divBdr>
              <w:divsChild>
                <w:div w:id="829717543">
                  <w:marLeft w:val="0"/>
                  <w:marRight w:val="0"/>
                  <w:marTop w:val="0"/>
                  <w:marBottom w:val="0"/>
                  <w:divBdr>
                    <w:top w:val="none" w:sz="0" w:space="0" w:color="auto"/>
                    <w:left w:val="none" w:sz="0" w:space="0" w:color="auto"/>
                    <w:bottom w:val="none" w:sz="0" w:space="0" w:color="auto"/>
                    <w:right w:val="none" w:sz="0" w:space="0" w:color="auto"/>
                  </w:divBdr>
                  <w:divsChild>
                    <w:div w:id="307250792">
                      <w:marLeft w:val="0"/>
                      <w:marRight w:val="0"/>
                      <w:marTop w:val="0"/>
                      <w:marBottom w:val="0"/>
                      <w:divBdr>
                        <w:top w:val="none" w:sz="0" w:space="0" w:color="auto"/>
                        <w:left w:val="none" w:sz="0" w:space="0" w:color="auto"/>
                        <w:bottom w:val="none" w:sz="0" w:space="0" w:color="auto"/>
                        <w:right w:val="none" w:sz="0" w:space="0" w:color="auto"/>
                      </w:divBdr>
                      <w:divsChild>
                        <w:div w:id="794373247">
                          <w:marLeft w:val="0"/>
                          <w:marRight w:val="0"/>
                          <w:marTop w:val="0"/>
                          <w:marBottom w:val="0"/>
                          <w:divBdr>
                            <w:top w:val="none" w:sz="0" w:space="0" w:color="auto"/>
                            <w:left w:val="none" w:sz="0" w:space="0" w:color="auto"/>
                            <w:bottom w:val="none" w:sz="0" w:space="0" w:color="auto"/>
                            <w:right w:val="none" w:sz="0" w:space="0" w:color="auto"/>
                          </w:divBdr>
                          <w:divsChild>
                            <w:div w:id="1375350158">
                              <w:marLeft w:val="0"/>
                              <w:marRight w:val="0"/>
                              <w:marTop w:val="0"/>
                              <w:marBottom w:val="0"/>
                              <w:divBdr>
                                <w:top w:val="none" w:sz="0" w:space="0" w:color="auto"/>
                                <w:left w:val="none" w:sz="0" w:space="0" w:color="auto"/>
                                <w:bottom w:val="none" w:sz="0" w:space="0" w:color="auto"/>
                                <w:right w:val="none" w:sz="0" w:space="0" w:color="auto"/>
                              </w:divBdr>
                              <w:divsChild>
                                <w:div w:id="1374967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9780863">
      <w:bodyDiv w:val="1"/>
      <w:marLeft w:val="0"/>
      <w:marRight w:val="0"/>
      <w:marTop w:val="0"/>
      <w:marBottom w:val="0"/>
      <w:divBdr>
        <w:top w:val="none" w:sz="0" w:space="0" w:color="auto"/>
        <w:left w:val="none" w:sz="0" w:space="0" w:color="auto"/>
        <w:bottom w:val="none" w:sz="0" w:space="0" w:color="auto"/>
        <w:right w:val="none" w:sz="0" w:space="0" w:color="auto"/>
      </w:divBdr>
      <w:divsChild>
        <w:div w:id="1932615717">
          <w:marLeft w:val="0"/>
          <w:marRight w:val="0"/>
          <w:marTop w:val="0"/>
          <w:marBottom w:val="0"/>
          <w:divBdr>
            <w:top w:val="none" w:sz="0" w:space="0" w:color="auto"/>
            <w:left w:val="none" w:sz="0" w:space="0" w:color="auto"/>
            <w:bottom w:val="none" w:sz="0" w:space="0" w:color="auto"/>
            <w:right w:val="none" w:sz="0" w:space="0" w:color="auto"/>
          </w:divBdr>
        </w:div>
      </w:divsChild>
    </w:div>
    <w:div w:id="461966706">
      <w:bodyDiv w:val="1"/>
      <w:marLeft w:val="0"/>
      <w:marRight w:val="0"/>
      <w:marTop w:val="0"/>
      <w:marBottom w:val="0"/>
      <w:divBdr>
        <w:top w:val="none" w:sz="0" w:space="0" w:color="auto"/>
        <w:left w:val="none" w:sz="0" w:space="0" w:color="auto"/>
        <w:bottom w:val="none" w:sz="0" w:space="0" w:color="auto"/>
        <w:right w:val="none" w:sz="0" w:space="0" w:color="auto"/>
      </w:divBdr>
      <w:divsChild>
        <w:div w:id="515727247">
          <w:marLeft w:val="0"/>
          <w:marRight w:val="0"/>
          <w:marTop w:val="0"/>
          <w:marBottom w:val="0"/>
          <w:divBdr>
            <w:top w:val="none" w:sz="0" w:space="0" w:color="auto"/>
            <w:left w:val="none" w:sz="0" w:space="0" w:color="auto"/>
            <w:bottom w:val="none" w:sz="0" w:space="0" w:color="auto"/>
            <w:right w:val="none" w:sz="0" w:space="0" w:color="auto"/>
          </w:divBdr>
          <w:divsChild>
            <w:div w:id="630941167">
              <w:marLeft w:val="0"/>
              <w:marRight w:val="0"/>
              <w:marTop w:val="0"/>
              <w:marBottom w:val="0"/>
              <w:divBdr>
                <w:top w:val="none" w:sz="0" w:space="0" w:color="auto"/>
                <w:left w:val="none" w:sz="0" w:space="0" w:color="auto"/>
                <w:bottom w:val="none" w:sz="0" w:space="0" w:color="auto"/>
                <w:right w:val="none" w:sz="0" w:space="0" w:color="auto"/>
              </w:divBdr>
              <w:divsChild>
                <w:div w:id="977345809">
                  <w:marLeft w:val="0"/>
                  <w:marRight w:val="0"/>
                  <w:marTop w:val="0"/>
                  <w:marBottom w:val="0"/>
                  <w:divBdr>
                    <w:top w:val="none" w:sz="0" w:space="0" w:color="auto"/>
                    <w:left w:val="none" w:sz="0" w:space="0" w:color="auto"/>
                    <w:bottom w:val="none" w:sz="0" w:space="0" w:color="auto"/>
                    <w:right w:val="none" w:sz="0" w:space="0" w:color="auto"/>
                  </w:divBdr>
                  <w:divsChild>
                    <w:div w:id="685983580">
                      <w:marLeft w:val="0"/>
                      <w:marRight w:val="0"/>
                      <w:marTop w:val="0"/>
                      <w:marBottom w:val="0"/>
                      <w:divBdr>
                        <w:top w:val="none" w:sz="0" w:space="0" w:color="auto"/>
                        <w:left w:val="none" w:sz="0" w:space="0" w:color="auto"/>
                        <w:bottom w:val="none" w:sz="0" w:space="0" w:color="auto"/>
                        <w:right w:val="none" w:sz="0" w:space="0" w:color="auto"/>
                      </w:divBdr>
                      <w:divsChild>
                        <w:div w:id="1737127835">
                          <w:marLeft w:val="0"/>
                          <w:marRight w:val="0"/>
                          <w:marTop w:val="0"/>
                          <w:marBottom w:val="0"/>
                          <w:divBdr>
                            <w:top w:val="none" w:sz="0" w:space="0" w:color="auto"/>
                            <w:left w:val="none" w:sz="0" w:space="0" w:color="auto"/>
                            <w:bottom w:val="none" w:sz="0" w:space="0" w:color="auto"/>
                            <w:right w:val="none" w:sz="0" w:space="0" w:color="auto"/>
                          </w:divBdr>
                          <w:divsChild>
                            <w:div w:id="1520702241">
                              <w:marLeft w:val="0"/>
                              <w:marRight w:val="0"/>
                              <w:marTop w:val="0"/>
                              <w:marBottom w:val="0"/>
                              <w:divBdr>
                                <w:top w:val="none" w:sz="0" w:space="0" w:color="auto"/>
                                <w:left w:val="none" w:sz="0" w:space="0" w:color="auto"/>
                                <w:bottom w:val="none" w:sz="0" w:space="0" w:color="auto"/>
                                <w:right w:val="none" w:sz="0" w:space="0" w:color="auto"/>
                              </w:divBdr>
                              <w:divsChild>
                                <w:div w:id="98469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0217701">
      <w:bodyDiv w:val="1"/>
      <w:marLeft w:val="0"/>
      <w:marRight w:val="0"/>
      <w:marTop w:val="0"/>
      <w:marBottom w:val="0"/>
      <w:divBdr>
        <w:top w:val="none" w:sz="0" w:space="0" w:color="auto"/>
        <w:left w:val="none" w:sz="0" w:space="0" w:color="auto"/>
        <w:bottom w:val="none" w:sz="0" w:space="0" w:color="auto"/>
        <w:right w:val="none" w:sz="0" w:space="0" w:color="auto"/>
      </w:divBdr>
      <w:divsChild>
        <w:div w:id="1743719792">
          <w:marLeft w:val="0"/>
          <w:marRight w:val="0"/>
          <w:marTop w:val="0"/>
          <w:marBottom w:val="0"/>
          <w:divBdr>
            <w:top w:val="none" w:sz="0" w:space="0" w:color="auto"/>
            <w:left w:val="none" w:sz="0" w:space="0" w:color="auto"/>
            <w:bottom w:val="none" w:sz="0" w:space="0" w:color="auto"/>
            <w:right w:val="none" w:sz="0" w:space="0" w:color="auto"/>
          </w:divBdr>
          <w:divsChild>
            <w:div w:id="1616402731">
              <w:marLeft w:val="0"/>
              <w:marRight w:val="0"/>
              <w:marTop w:val="0"/>
              <w:marBottom w:val="0"/>
              <w:divBdr>
                <w:top w:val="none" w:sz="0" w:space="0" w:color="auto"/>
                <w:left w:val="none" w:sz="0" w:space="0" w:color="auto"/>
                <w:bottom w:val="none" w:sz="0" w:space="0" w:color="auto"/>
                <w:right w:val="none" w:sz="0" w:space="0" w:color="auto"/>
              </w:divBdr>
              <w:divsChild>
                <w:div w:id="796334698">
                  <w:marLeft w:val="0"/>
                  <w:marRight w:val="0"/>
                  <w:marTop w:val="0"/>
                  <w:marBottom w:val="0"/>
                  <w:divBdr>
                    <w:top w:val="none" w:sz="0" w:space="0" w:color="auto"/>
                    <w:left w:val="none" w:sz="0" w:space="0" w:color="auto"/>
                    <w:bottom w:val="none" w:sz="0" w:space="0" w:color="auto"/>
                    <w:right w:val="none" w:sz="0" w:space="0" w:color="auto"/>
                  </w:divBdr>
                  <w:divsChild>
                    <w:div w:id="1620450454">
                      <w:marLeft w:val="0"/>
                      <w:marRight w:val="0"/>
                      <w:marTop w:val="0"/>
                      <w:marBottom w:val="0"/>
                      <w:divBdr>
                        <w:top w:val="none" w:sz="0" w:space="0" w:color="auto"/>
                        <w:left w:val="none" w:sz="0" w:space="0" w:color="auto"/>
                        <w:bottom w:val="none" w:sz="0" w:space="0" w:color="auto"/>
                        <w:right w:val="none" w:sz="0" w:space="0" w:color="auto"/>
                      </w:divBdr>
                      <w:divsChild>
                        <w:div w:id="1964998447">
                          <w:marLeft w:val="0"/>
                          <w:marRight w:val="0"/>
                          <w:marTop w:val="0"/>
                          <w:marBottom w:val="0"/>
                          <w:divBdr>
                            <w:top w:val="none" w:sz="0" w:space="0" w:color="auto"/>
                            <w:left w:val="none" w:sz="0" w:space="0" w:color="auto"/>
                            <w:bottom w:val="none" w:sz="0" w:space="0" w:color="auto"/>
                            <w:right w:val="none" w:sz="0" w:space="0" w:color="auto"/>
                          </w:divBdr>
                          <w:divsChild>
                            <w:div w:id="1647121069">
                              <w:marLeft w:val="0"/>
                              <w:marRight w:val="0"/>
                              <w:marTop w:val="0"/>
                              <w:marBottom w:val="0"/>
                              <w:divBdr>
                                <w:top w:val="none" w:sz="0" w:space="0" w:color="auto"/>
                                <w:left w:val="none" w:sz="0" w:space="0" w:color="auto"/>
                                <w:bottom w:val="none" w:sz="0" w:space="0" w:color="auto"/>
                                <w:right w:val="none" w:sz="0" w:space="0" w:color="auto"/>
                              </w:divBdr>
                              <w:divsChild>
                                <w:div w:id="89531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95270348">
      <w:bodyDiv w:val="1"/>
      <w:marLeft w:val="0"/>
      <w:marRight w:val="0"/>
      <w:marTop w:val="0"/>
      <w:marBottom w:val="0"/>
      <w:divBdr>
        <w:top w:val="none" w:sz="0" w:space="0" w:color="auto"/>
        <w:left w:val="none" w:sz="0" w:space="0" w:color="auto"/>
        <w:bottom w:val="none" w:sz="0" w:space="0" w:color="auto"/>
        <w:right w:val="none" w:sz="0" w:space="0" w:color="auto"/>
      </w:divBdr>
      <w:divsChild>
        <w:div w:id="522860528">
          <w:marLeft w:val="0"/>
          <w:marRight w:val="0"/>
          <w:marTop w:val="0"/>
          <w:marBottom w:val="0"/>
          <w:divBdr>
            <w:top w:val="none" w:sz="0" w:space="0" w:color="auto"/>
            <w:left w:val="none" w:sz="0" w:space="0" w:color="auto"/>
            <w:bottom w:val="none" w:sz="0" w:space="0" w:color="auto"/>
            <w:right w:val="none" w:sz="0" w:space="0" w:color="auto"/>
          </w:divBdr>
          <w:divsChild>
            <w:div w:id="91556488">
              <w:marLeft w:val="0"/>
              <w:marRight w:val="0"/>
              <w:marTop w:val="0"/>
              <w:marBottom w:val="0"/>
              <w:divBdr>
                <w:top w:val="none" w:sz="0" w:space="0" w:color="auto"/>
                <w:left w:val="none" w:sz="0" w:space="0" w:color="auto"/>
                <w:bottom w:val="none" w:sz="0" w:space="0" w:color="auto"/>
                <w:right w:val="none" w:sz="0" w:space="0" w:color="auto"/>
              </w:divBdr>
              <w:divsChild>
                <w:div w:id="1476798664">
                  <w:marLeft w:val="0"/>
                  <w:marRight w:val="0"/>
                  <w:marTop w:val="0"/>
                  <w:marBottom w:val="0"/>
                  <w:divBdr>
                    <w:top w:val="none" w:sz="0" w:space="0" w:color="auto"/>
                    <w:left w:val="none" w:sz="0" w:space="0" w:color="auto"/>
                    <w:bottom w:val="none" w:sz="0" w:space="0" w:color="auto"/>
                    <w:right w:val="none" w:sz="0" w:space="0" w:color="auto"/>
                  </w:divBdr>
                  <w:divsChild>
                    <w:div w:id="1648897106">
                      <w:marLeft w:val="0"/>
                      <w:marRight w:val="0"/>
                      <w:marTop w:val="0"/>
                      <w:marBottom w:val="0"/>
                      <w:divBdr>
                        <w:top w:val="none" w:sz="0" w:space="0" w:color="auto"/>
                        <w:left w:val="none" w:sz="0" w:space="0" w:color="auto"/>
                        <w:bottom w:val="none" w:sz="0" w:space="0" w:color="auto"/>
                        <w:right w:val="none" w:sz="0" w:space="0" w:color="auto"/>
                      </w:divBdr>
                      <w:divsChild>
                        <w:div w:id="1720203571">
                          <w:marLeft w:val="0"/>
                          <w:marRight w:val="0"/>
                          <w:marTop w:val="0"/>
                          <w:marBottom w:val="0"/>
                          <w:divBdr>
                            <w:top w:val="none" w:sz="0" w:space="0" w:color="auto"/>
                            <w:left w:val="none" w:sz="0" w:space="0" w:color="auto"/>
                            <w:bottom w:val="none" w:sz="0" w:space="0" w:color="auto"/>
                            <w:right w:val="none" w:sz="0" w:space="0" w:color="auto"/>
                          </w:divBdr>
                          <w:divsChild>
                            <w:div w:id="1379235564">
                              <w:marLeft w:val="0"/>
                              <w:marRight w:val="0"/>
                              <w:marTop w:val="0"/>
                              <w:marBottom w:val="0"/>
                              <w:divBdr>
                                <w:top w:val="none" w:sz="0" w:space="0" w:color="auto"/>
                                <w:left w:val="none" w:sz="0" w:space="0" w:color="auto"/>
                                <w:bottom w:val="none" w:sz="0" w:space="0" w:color="auto"/>
                                <w:right w:val="none" w:sz="0" w:space="0" w:color="auto"/>
                              </w:divBdr>
                              <w:divsChild>
                                <w:div w:id="200030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5482028">
      <w:bodyDiv w:val="1"/>
      <w:marLeft w:val="0"/>
      <w:marRight w:val="0"/>
      <w:marTop w:val="0"/>
      <w:marBottom w:val="0"/>
      <w:divBdr>
        <w:top w:val="none" w:sz="0" w:space="0" w:color="auto"/>
        <w:left w:val="none" w:sz="0" w:space="0" w:color="auto"/>
        <w:bottom w:val="none" w:sz="0" w:space="0" w:color="auto"/>
        <w:right w:val="none" w:sz="0" w:space="0" w:color="auto"/>
      </w:divBdr>
    </w:div>
    <w:div w:id="517542808">
      <w:bodyDiv w:val="1"/>
      <w:marLeft w:val="0"/>
      <w:marRight w:val="0"/>
      <w:marTop w:val="0"/>
      <w:marBottom w:val="0"/>
      <w:divBdr>
        <w:top w:val="none" w:sz="0" w:space="0" w:color="auto"/>
        <w:left w:val="none" w:sz="0" w:space="0" w:color="auto"/>
        <w:bottom w:val="none" w:sz="0" w:space="0" w:color="auto"/>
        <w:right w:val="none" w:sz="0" w:space="0" w:color="auto"/>
      </w:divBdr>
      <w:divsChild>
        <w:div w:id="546573994">
          <w:marLeft w:val="0"/>
          <w:marRight w:val="0"/>
          <w:marTop w:val="0"/>
          <w:marBottom w:val="0"/>
          <w:divBdr>
            <w:top w:val="none" w:sz="0" w:space="0" w:color="auto"/>
            <w:left w:val="none" w:sz="0" w:space="0" w:color="auto"/>
            <w:bottom w:val="none" w:sz="0" w:space="0" w:color="auto"/>
            <w:right w:val="none" w:sz="0" w:space="0" w:color="auto"/>
          </w:divBdr>
          <w:divsChild>
            <w:div w:id="541013764">
              <w:marLeft w:val="0"/>
              <w:marRight w:val="0"/>
              <w:marTop w:val="0"/>
              <w:marBottom w:val="0"/>
              <w:divBdr>
                <w:top w:val="none" w:sz="0" w:space="0" w:color="auto"/>
                <w:left w:val="none" w:sz="0" w:space="0" w:color="auto"/>
                <w:bottom w:val="none" w:sz="0" w:space="0" w:color="auto"/>
                <w:right w:val="none" w:sz="0" w:space="0" w:color="auto"/>
              </w:divBdr>
              <w:divsChild>
                <w:div w:id="2137284879">
                  <w:marLeft w:val="0"/>
                  <w:marRight w:val="0"/>
                  <w:marTop w:val="0"/>
                  <w:marBottom w:val="0"/>
                  <w:divBdr>
                    <w:top w:val="none" w:sz="0" w:space="0" w:color="auto"/>
                    <w:left w:val="none" w:sz="0" w:space="0" w:color="auto"/>
                    <w:bottom w:val="none" w:sz="0" w:space="0" w:color="auto"/>
                    <w:right w:val="none" w:sz="0" w:space="0" w:color="auto"/>
                  </w:divBdr>
                  <w:divsChild>
                    <w:div w:id="363213073">
                      <w:marLeft w:val="0"/>
                      <w:marRight w:val="0"/>
                      <w:marTop w:val="0"/>
                      <w:marBottom w:val="0"/>
                      <w:divBdr>
                        <w:top w:val="none" w:sz="0" w:space="0" w:color="auto"/>
                        <w:left w:val="none" w:sz="0" w:space="0" w:color="auto"/>
                        <w:bottom w:val="none" w:sz="0" w:space="0" w:color="auto"/>
                        <w:right w:val="none" w:sz="0" w:space="0" w:color="auto"/>
                      </w:divBdr>
                      <w:divsChild>
                        <w:div w:id="2071347485">
                          <w:marLeft w:val="0"/>
                          <w:marRight w:val="0"/>
                          <w:marTop w:val="0"/>
                          <w:marBottom w:val="0"/>
                          <w:divBdr>
                            <w:top w:val="none" w:sz="0" w:space="0" w:color="auto"/>
                            <w:left w:val="none" w:sz="0" w:space="0" w:color="auto"/>
                            <w:bottom w:val="none" w:sz="0" w:space="0" w:color="auto"/>
                            <w:right w:val="none" w:sz="0" w:space="0" w:color="auto"/>
                          </w:divBdr>
                          <w:divsChild>
                            <w:div w:id="519973661">
                              <w:marLeft w:val="0"/>
                              <w:marRight w:val="0"/>
                              <w:marTop w:val="0"/>
                              <w:marBottom w:val="0"/>
                              <w:divBdr>
                                <w:top w:val="none" w:sz="0" w:space="0" w:color="auto"/>
                                <w:left w:val="none" w:sz="0" w:space="0" w:color="auto"/>
                                <w:bottom w:val="none" w:sz="0" w:space="0" w:color="auto"/>
                                <w:right w:val="none" w:sz="0" w:space="0" w:color="auto"/>
                              </w:divBdr>
                              <w:divsChild>
                                <w:div w:id="1395354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31193897">
      <w:bodyDiv w:val="1"/>
      <w:marLeft w:val="0"/>
      <w:marRight w:val="0"/>
      <w:marTop w:val="0"/>
      <w:marBottom w:val="0"/>
      <w:divBdr>
        <w:top w:val="none" w:sz="0" w:space="0" w:color="auto"/>
        <w:left w:val="none" w:sz="0" w:space="0" w:color="auto"/>
        <w:bottom w:val="none" w:sz="0" w:space="0" w:color="auto"/>
        <w:right w:val="none" w:sz="0" w:space="0" w:color="auto"/>
      </w:divBdr>
      <w:divsChild>
        <w:div w:id="344866788">
          <w:marLeft w:val="0"/>
          <w:marRight w:val="0"/>
          <w:marTop w:val="0"/>
          <w:marBottom w:val="0"/>
          <w:divBdr>
            <w:top w:val="none" w:sz="0" w:space="0" w:color="auto"/>
            <w:left w:val="none" w:sz="0" w:space="0" w:color="auto"/>
            <w:bottom w:val="none" w:sz="0" w:space="0" w:color="auto"/>
            <w:right w:val="none" w:sz="0" w:space="0" w:color="auto"/>
          </w:divBdr>
          <w:divsChild>
            <w:div w:id="917791391">
              <w:marLeft w:val="0"/>
              <w:marRight w:val="0"/>
              <w:marTop w:val="0"/>
              <w:marBottom w:val="0"/>
              <w:divBdr>
                <w:top w:val="none" w:sz="0" w:space="0" w:color="auto"/>
                <w:left w:val="none" w:sz="0" w:space="0" w:color="auto"/>
                <w:bottom w:val="none" w:sz="0" w:space="0" w:color="auto"/>
                <w:right w:val="none" w:sz="0" w:space="0" w:color="auto"/>
              </w:divBdr>
              <w:divsChild>
                <w:div w:id="1110079358">
                  <w:marLeft w:val="0"/>
                  <w:marRight w:val="0"/>
                  <w:marTop w:val="0"/>
                  <w:marBottom w:val="0"/>
                  <w:divBdr>
                    <w:top w:val="none" w:sz="0" w:space="0" w:color="auto"/>
                    <w:left w:val="none" w:sz="0" w:space="0" w:color="auto"/>
                    <w:bottom w:val="none" w:sz="0" w:space="0" w:color="auto"/>
                    <w:right w:val="none" w:sz="0" w:space="0" w:color="auto"/>
                  </w:divBdr>
                  <w:divsChild>
                    <w:div w:id="1134254154">
                      <w:marLeft w:val="0"/>
                      <w:marRight w:val="0"/>
                      <w:marTop w:val="0"/>
                      <w:marBottom w:val="0"/>
                      <w:divBdr>
                        <w:top w:val="none" w:sz="0" w:space="0" w:color="auto"/>
                        <w:left w:val="none" w:sz="0" w:space="0" w:color="auto"/>
                        <w:bottom w:val="none" w:sz="0" w:space="0" w:color="auto"/>
                        <w:right w:val="none" w:sz="0" w:space="0" w:color="auto"/>
                      </w:divBdr>
                      <w:divsChild>
                        <w:div w:id="1774937437">
                          <w:marLeft w:val="0"/>
                          <w:marRight w:val="0"/>
                          <w:marTop w:val="0"/>
                          <w:marBottom w:val="0"/>
                          <w:divBdr>
                            <w:top w:val="none" w:sz="0" w:space="0" w:color="auto"/>
                            <w:left w:val="none" w:sz="0" w:space="0" w:color="auto"/>
                            <w:bottom w:val="none" w:sz="0" w:space="0" w:color="auto"/>
                            <w:right w:val="none" w:sz="0" w:space="0" w:color="auto"/>
                          </w:divBdr>
                          <w:divsChild>
                            <w:div w:id="1837257793">
                              <w:marLeft w:val="0"/>
                              <w:marRight w:val="0"/>
                              <w:marTop w:val="0"/>
                              <w:marBottom w:val="0"/>
                              <w:divBdr>
                                <w:top w:val="none" w:sz="0" w:space="0" w:color="auto"/>
                                <w:left w:val="none" w:sz="0" w:space="0" w:color="auto"/>
                                <w:bottom w:val="none" w:sz="0" w:space="0" w:color="auto"/>
                                <w:right w:val="none" w:sz="0" w:space="0" w:color="auto"/>
                              </w:divBdr>
                              <w:divsChild>
                                <w:div w:id="59555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2182596">
      <w:bodyDiv w:val="1"/>
      <w:marLeft w:val="0"/>
      <w:marRight w:val="0"/>
      <w:marTop w:val="0"/>
      <w:marBottom w:val="0"/>
      <w:divBdr>
        <w:top w:val="none" w:sz="0" w:space="0" w:color="auto"/>
        <w:left w:val="none" w:sz="0" w:space="0" w:color="auto"/>
        <w:bottom w:val="none" w:sz="0" w:space="0" w:color="auto"/>
        <w:right w:val="none" w:sz="0" w:space="0" w:color="auto"/>
      </w:divBdr>
    </w:div>
    <w:div w:id="557982467">
      <w:bodyDiv w:val="1"/>
      <w:marLeft w:val="0"/>
      <w:marRight w:val="0"/>
      <w:marTop w:val="0"/>
      <w:marBottom w:val="0"/>
      <w:divBdr>
        <w:top w:val="none" w:sz="0" w:space="0" w:color="auto"/>
        <w:left w:val="none" w:sz="0" w:space="0" w:color="auto"/>
        <w:bottom w:val="none" w:sz="0" w:space="0" w:color="auto"/>
        <w:right w:val="none" w:sz="0" w:space="0" w:color="auto"/>
      </w:divBdr>
      <w:divsChild>
        <w:div w:id="81219303">
          <w:marLeft w:val="0"/>
          <w:marRight w:val="0"/>
          <w:marTop w:val="0"/>
          <w:marBottom w:val="0"/>
          <w:divBdr>
            <w:top w:val="none" w:sz="0" w:space="0" w:color="auto"/>
            <w:left w:val="none" w:sz="0" w:space="0" w:color="auto"/>
            <w:bottom w:val="none" w:sz="0" w:space="0" w:color="auto"/>
            <w:right w:val="none" w:sz="0" w:space="0" w:color="auto"/>
          </w:divBdr>
          <w:divsChild>
            <w:div w:id="689990133">
              <w:marLeft w:val="0"/>
              <w:marRight w:val="0"/>
              <w:marTop w:val="0"/>
              <w:marBottom w:val="0"/>
              <w:divBdr>
                <w:top w:val="none" w:sz="0" w:space="0" w:color="auto"/>
                <w:left w:val="none" w:sz="0" w:space="0" w:color="auto"/>
                <w:bottom w:val="none" w:sz="0" w:space="0" w:color="auto"/>
                <w:right w:val="none" w:sz="0" w:space="0" w:color="auto"/>
              </w:divBdr>
              <w:divsChild>
                <w:div w:id="1639604702">
                  <w:marLeft w:val="0"/>
                  <w:marRight w:val="0"/>
                  <w:marTop w:val="0"/>
                  <w:marBottom w:val="0"/>
                  <w:divBdr>
                    <w:top w:val="none" w:sz="0" w:space="0" w:color="auto"/>
                    <w:left w:val="none" w:sz="0" w:space="0" w:color="auto"/>
                    <w:bottom w:val="none" w:sz="0" w:space="0" w:color="auto"/>
                    <w:right w:val="none" w:sz="0" w:space="0" w:color="auto"/>
                  </w:divBdr>
                  <w:divsChild>
                    <w:div w:id="780884307">
                      <w:marLeft w:val="0"/>
                      <w:marRight w:val="0"/>
                      <w:marTop w:val="0"/>
                      <w:marBottom w:val="0"/>
                      <w:divBdr>
                        <w:top w:val="none" w:sz="0" w:space="0" w:color="auto"/>
                        <w:left w:val="none" w:sz="0" w:space="0" w:color="auto"/>
                        <w:bottom w:val="none" w:sz="0" w:space="0" w:color="auto"/>
                        <w:right w:val="none" w:sz="0" w:space="0" w:color="auto"/>
                      </w:divBdr>
                      <w:divsChild>
                        <w:div w:id="1912738965">
                          <w:marLeft w:val="0"/>
                          <w:marRight w:val="0"/>
                          <w:marTop w:val="0"/>
                          <w:marBottom w:val="0"/>
                          <w:divBdr>
                            <w:top w:val="none" w:sz="0" w:space="0" w:color="auto"/>
                            <w:left w:val="none" w:sz="0" w:space="0" w:color="auto"/>
                            <w:bottom w:val="none" w:sz="0" w:space="0" w:color="auto"/>
                            <w:right w:val="none" w:sz="0" w:space="0" w:color="auto"/>
                          </w:divBdr>
                          <w:divsChild>
                            <w:div w:id="2116513466">
                              <w:marLeft w:val="0"/>
                              <w:marRight w:val="0"/>
                              <w:marTop w:val="0"/>
                              <w:marBottom w:val="0"/>
                              <w:divBdr>
                                <w:top w:val="none" w:sz="0" w:space="0" w:color="auto"/>
                                <w:left w:val="none" w:sz="0" w:space="0" w:color="auto"/>
                                <w:bottom w:val="none" w:sz="0" w:space="0" w:color="auto"/>
                                <w:right w:val="none" w:sz="0" w:space="0" w:color="auto"/>
                              </w:divBdr>
                              <w:divsChild>
                                <w:div w:id="1006903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2132839">
      <w:bodyDiv w:val="1"/>
      <w:marLeft w:val="0"/>
      <w:marRight w:val="0"/>
      <w:marTop w:val="0"/>
      <w:marBottom w:val="0"/>
      <w:divBdr>
        <w:top w:val="none" w:sz="0" w:space="0" w:color="auto"/>
        <w:left w:val="none" w:sz="0" w:space="0" w:color="auto"/>
        <w:bottom w:val="none" w:sz="0" w:space="0" w:color="auto"/>
        <w:right w:val="none" w:sz="0" w:space="0" w:color="auto"/>
      </w:divBdr>
    </w:div>
    <w:div w:id="567036722">
      <w:bodyDiv w:val="1"/>
      <w:marLeft w:val="0"/>
      <w:marRight w:val="0"/>
      <w:marTop w:val="0"/>
      <w:marBottom w:val="0"/>
      <w:divBdr>
        <w:top w:val="none" w:sz="0" w:space="0" w:color="auto"/>
        <w:left w:val="none" w:sz="0" w:space="0" w:color="auto"/>
        <w:bottom w:val="none" w:sz="0" w:space="0" w:color="auto"/>
        <w:right w:val="none" w:sz="0" w:space="0" w:color="auto"/>
      </w:divBdr>
      <w:divsChild>
        <w:div w:id="656958385">
          <w:marLeft w:val="0"/>
          <w:marRight w:val="0"/>
          <w:marTop w:val="0"/>
          <w:marBottom w:val="0"/>
          <w:divBdr>
            <w:top w:val="none" w:sz="0" w:space="0" w:color="auto"/>
            <w:left w:val="none" w:sz="0" w:space="0" w:color="auto"/>
            <w:bottom w:val="none" w:sz="0" w:space="0" w:color="auto"/>
            <w:right w:val="none" w:sz="0" w:space="0" w:color="auto"/>
          </w:divBdr>
          <w:divsChild>
            <w:div w:id="290482778">
              <w:marLeft w:val="0"/>
              <w:marRight w:val="0"/>
              <w:marTop w:val="0"/>
              <w:marBottom w:val="0"/>
              <w:divBdr>
                <w:top w:val="none" w:sz="0" w:space="0" w:color="auto"/>
                <w:left w:val="none" w:sz="0" w:space="0" w:color="auto"/>
                <w:bottom w:val="none" w:sz="0" w:space="0" w:color="auto"/>
                <w:right w:val="none" w:sz="0" w:space="0" w:color="auto"/>
              </w:divBdr>
              <w:divsChild>
                <w:div w:id="339935759">
                  <w:marLeft w:val="0"/>
                  <w:marRight w:val="0"/>
                  <w:marTop w:val="0"/>
                  <w:marBottom w:val="0"/>
                  <w:divBdr>
                    <w:top w:val="none" w:sz="0" w:space="0" w:color="auto"/>
                    <w:left w:val="none" w:sz="0" w:space="0" w:color="auto"/>
                    <w:bottom w:val="none" w:sz="0" w:space="0" w:color="auto"/>
                    <w:right w:val="none" w:sz="0" w:space="0" w:color="auto"/>
                  </w:divBdr>
                  <w:divsChild>
                    <w:div w:id="677193281">
                      <w:marLeft w:val="0"/>
                      <w:marRight w:val="0"/>
                      <w:marTop w:val="0"/>
                      <w:marBottom w:val="0"/>
                      <w:divBdr>
                        <w:top w:val="none" w:sz="0" w:space="0" w:color="auto"/>
                        <w:left w:val="none" w:sz="0" w:space="0" w:color="auto"/>
                        <w:bottom w:val="none" w:sz="0" w:space="0" w:color="auto"/>
                        <w:right w:val="none" w:sz="0" w:space="0" w:color="auto"/>
                      </w:divBdr>
                      <w:divsChild>
                        <w:div w:id="131412072">
                          <w:marLeft w:val="0"/>
                          <w:marRight w:val="0"/>
                          <w:marTop w:val="0"/>
                          <w:marBottom w:val="0"/>
                          <w:divBdr>
                            <w:top w:val="none" w:sz="0" w:space="0" w:color="auto"/>
                            <w:left w:val="none" w:sz="0" w:space="0" w:color="auto"/>
                            <w:bottom w:val="none" w:sz="0" w:space="0" w:color="auto"/>
                            <w:right w:val="none" w:sz="0" w:space="0" w:color="auto"/>
                          </w:divBdr>
                          <w:divsChild>
                            <w:div w:id="1247225972">
                              <w:marLeft w:val="0"/>
                              <w:marRight w:val="0"/>
                              <w:marTop w:val="0"/>
                              <w:marBottom w:val="0"/>
                              <w:divBdr>
                                <w:top w:val="none" w:sz="0" w:space="0" w:color="auto"/>
                                <w:left w:val="none" w:sz="0" w:space="0" w:color="auto"/>
                                <w:bottom w:val="none" w:sz="0" w:space="0" w:color="auto"/>
                                <w:right w:val="none" w:sz="0" w:space="0" w:color="auto"/>
                              </w:divBdr>
                              <w:divsChild>
                                <w:div w:id="1699231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4748730">
      <w:bodyDiv w:val="1"/>
      <w:marLeft w:val="0"/>
      <w:marRight w:val="0"/>
      <w:marTop w:val="0"/>
      <w:marBottom w:val="0"/>
      <w:divBdr>
        <w:top w:val="none" w:sz="0" w:space="0" w:color="auto"/>
        <w:left w:val="none" w:sz="0" w:space="0" w:color="auto"/>
        <w:bottom w:val="none" w:sz="0" w:space="0" w:color="auto"/>
        <w:right w:val="none" w:sz="0" w:space="0" w:color="auto"/>
      </w:divBdr>
      <w:divsChild>
        <w:div w:id="1417163790">
          <w:marLeft w:val="0"/>
          <w:marRight w:val="0"/>
          <w:marTop w:val="0"/>
          <w:marBottom w:val="0"/>
          <w:divBdr>
            <w:top w:val="none" w:sz="0" w:space="0" w:color="auto"/>
            <w:left w:val="none" w:sz="0" w:space="0" w:color="auto"/>
            <w:bottom w:val="none" w:sz="0" w:space="0" w:color="auto"/>
            <w:right w:val="none" w:sz="0" w:space="0" w:color="auto"/>
          </w:divBdr>
          <w:divsChild>
            <w:div w:id="358432261">
              <w:marLeft w:val="0"/>
              <w:marRight w:val="0"/>
              <w:marTop w:val="0"/>
              <w:marBottom w:val="0"/>
              <w:divBdr>
                <w:top w:val="none" w:sz="0" w:space="0" w:color="auto"/>
                <w:left w:val="none" w:sz="0" w:space="0" w:color="auto"/>
                <w:bottom w:val="none" w:sz="0" w:space="0" w:color="auto"/>
                <w:right w:val="none" w:sz="0" w:space="0" w:color="auto"/>
              </w:divBdr>
              <w:divsChild>
                <w:div w:id="722678488">
                  <w:marLeft w:val="0"/>
                  <w:marRight w:val="0"/>
                  <w:marTop w:val="0"/>
                  <w:marBottom w:val="0"/>
                  <w:divBdr>
                    <w:top w:val="none" w:sz="0" w:space="0" w:color="auto"/>
                    <w:left w:val="none" w:sz="0" w:space="0" w:color="auto"/>
                    <w:bottom w:val="none" w:sz="0" w:space="0" w:color="auto"/>
                    <w:right w:val="none" w:sz="0" w:space="0" w:color="auto"/>
                  </w:divBdr>
                  <w:divsChild>
                    <w:div w:id="954483961">
                      <w:marLeft w:val="0"/>
                      <w:marRight w:val="0"/>
                      <w:marTop w:val="0"/>
                      <w:marBottom w:val="0"/>
                      <w:divBdr>
                        <w:top w:val="none" w:sz="0" w:space="0" w:color="auto"/>
                        <w:left w:val="none" w:sz="0" w:space="0" w:color="auto"/>
                        <w:bottom w:val="none" w:sz="0" w:space="0" w:color="auto"/>
                        <w:right w:val="none" w:sz="0" w:space="0" w:color="auto"/>
                      </w:divBdr>
                      <w:divsChild>
                        <w:div w:id="1351419983">
                          <w:marLeft w:val="0"/>
                          <w:marRight w:val="0"/>
                          <w:marTop w:val="0"/>
                          <w:marBottom w:val="0"/>
                          <w:divBdr>
                            <w:top w:val="none" w:sz="0" w:space="0" w:color="auto"/>
                            <w:left w:val="none" w:sz="0" w:space="0" w:color="auto"/>
                            <w:bottom w:val="none" w:sz="0" w:space="0" w:color="auto"/>
                            <w:right w:val="none" w:sz="0" w:space="0" w:color="auto"/>
                          </w:divBdr>
                          <w:divsChild>
                            <w:div w:id="1721901681">
                              <w:marLeft w:val="0"/>
                              <w:marRight w:val="0"/>
                              <w:marTop w:val="0"/>
                              <w:marBottom w:val="0"/>
                              <w:divBdr>
                                <w:top w:val="none" w:sz="0" w:space="0" w:color="auto"/>
                                <w:left w:val="none" w:sz="0" w:space="0" w:color="auto"/>
                                <w:bottom w:val="none" w:sz="0" w:space="0" w:color="auto"/>
                                <w:right w:val="none" w:sz="0" w:space="0" w:color="auto"/>
                              </w:divBdr>
                              <w:divsChild>
                                <w:div w:id="80381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1757222">
      <w:bodyDiv w:val="1"/>
      <w:marLeft w:val="0"/>
      <w:marRight w:val="0"/>
      <w:marTop w:val="0"/>
      <w:marBottom w:val="0"/>
      <w:divBdr>
        <w:top w:val="none" w:sz="0" w:space="0" w:color="auto"/>
        <w:left w:val="none" w:sz="0" w:space="0" w:color="auto"/>
        <w:bottom w:val="none" w:sz="0" w:space="0" w:color="auto"/>
        <w:right w:val="none" w:sz="0" w:space="0" w:color="auto"/>
      </w:divBdr>
      <w:divsChild>
        <w:div w:id="2064327160">
          <w:marLeft w:val="0"/>
          <w:marRight w:val="0"/>
          <w:marTop w:val="0"/>
          <w:marBottom w:val="0"/>
          <w:divBdr>
            <w:top w:val="none" w:sz="0" w:space="0" w:color="auto"/>
            <w:left w:val="none" w:sz="0" w:space="0" w:color="auto"/>
            <w:bottom w:val="none" w:sz="0" w:space="0" w:color="auto"/>
            <w:right w:val="none" w:sz="0" w:space="0" w:color="auto"/>
          </w:divBdr>
          <w:divsChild>
            <w:div w:id="1851676778">
              <w:marLeft w:val="0"/>
              <w:marRight w:val="0"/>
              <w:marTop w:val="0"/>
              <w:marBottom w:val="0"/>
              <w:divBdr>
                <w:top w:val="none" w:sz="0" w:space="0" w:color="auto"/>
                <w:left w:val="none" w:sz="0" w:space="0" w:color="auto"/>
                <w:bottom w:val="none" w:sz="0" w:space="0" w:color="auto"/>
                <w:right w:val="none" w:sz="0" w:space="0" w:color="auto"/>
              </w:divBdr>
              <w:divsChild>
                <w:div w:id="973369294">
                  <w:marLeft w:val="0"/>
                  <w:marRight w:val="0"/>
                  <w:marTop w:val="0"/>
                  <w:marBottom w:val="0"/>
                  <w:divBdr>
                    <w:top w:val="none" w:sz="0" w:space="0" w:color="auto"/>
                    <w:left w:val="none" w:sz="0" w:space="0" w:color="auto"/>
                    <w:bottom w:val="none" w:sz="0" w:space="0" w:color="auto"/>
                    <w:right w:val="none" w:sz="0" w:space="0" w:color="auto"/>
                  </w:divBdr>
                  <w:divsChild>
                    <w:div w:id="810631104">
                      <w:marLeft w:val="0"/>
                      <w:marRight w:val="0"/>
                      <w:marTop w:val="0"/>
                      <w:marBottom w:val="0"/>
                      <w:divBdr>
                        <w:top w:val="none" w:sz="0" w:space="0" w:color="auto"/>
                        <w:left w:val="none" w:sz="0" w:space="0" w:color="auto"/>
                        <w:bottom w:val="none" w:sz="0" w:space="0" w:color="auto"/>
                        <w:right w:val="none" w:sz="0" w:space="0" w:color="auto"/>
                      </w:divBdr>
                      <w:divsChild>
                        <w:div w:id="1715421603">
                          <w:marLeft w:val="0"/>
                          <w:marRight w:val="0"/>
                          <w:marTop w:val="0"/>
                          <w:marBottom w:val="0"/>
                          <w:divBdr>
                            <w:top w:val="none" w:sz="0" w:space="0" w:color="auto"/>
                            <w:left w:val="none" w:sz="0" w:space="0" w:color="auto"/>
                            <w:bottom w:val="none" w:sz="0" w:space="0" w:color="auto"/>
                            <w:right w:val="none" w:sz="0" w:space="0" w:color="auto"/>
                          </w:divBdr>
                          <w:divsChild>
                            <w:div w:id="764880431">
                              <w:marLeft w:val="0"/>
                              <w:marRight w:val="0"/>
                              <w:marTop w:val="0"/>
                              <w:marBottom w:val="0"/>
                              <w:divBdr>
                                <w:top w:val="none" w:sz="0" w:space="0" w:color="auto"/>
                                <w:left w:val="none" w:sz="0" w:space="0" w:color="auto"/>
                                <w:bottom w:val="none" w:sz="0" w:space="0" w:color="auto"/>
                                <w:right w:val="none" w:sz="0" w:space="0" w:color="auto"/>
                              </w:divBdr>
                              <w:divsChild>
                                <w:div w:id="49888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8628985">
      <w:bodyDiv w:val="1"/>
      <w:marLeft w:val="0"/>
      <w:marRight w:val="0"/>
      <w:marTop w:val="0"/>
      <w:marBottom w:val="0"/>
      <w:divBdr>
        <w:top w:val="none" w:sz="0" w:space="0" w:color="auto"/>
        <w:left w:val="none" w:sz="0" w:space="0" w:color="auto"/>
        <w:bottom w:val="none" w:sz="0" w:space="0" w:color="auto"/>
        <w:right w:val="none" w:sz="0" w:space="0" w:color="auto"/>
      </w:divBdr>
      <w:divsChild>
        <w:div w:id="1908808116">
          <w:marLeft w:val="0"/>
          <w:marRight w:val="0"/>
          <w:marTop w:val="0"/>
          <w:marBottom w:val="0"/>
          <w:divBdr>
            <w:top w:val="none" w:sz="0" w:space="0" w:color="auto"/>
            <w:left w:val="none" w:sz="0" w:space="0" w:color="auto"/>
            <w:bottom w:val="none" w:sz="0" w:space="0" w:color="auto"/>
            <w:right w:val="none" w:sz="0" w:space="0" w:color="auto"/>
          </w:divBdr>
          <w:divsChild>
            <w:div w:id="1294868041">
              <w:marLeft w:val="0"/>
              <w:marRight w:val="0"/>
              <w:marTop w:val="0"/>
              <w:marBottom w:val="0"/>
              <w:divBdr>
                <w:top w:val="none" w:sz="0" w:space="0" w:color="auto"/>
                <w:left w:val="none" w:sz="0" w:space="0" w:color="auto"/>
                <w:bottom w:val="none" w:sz="0" w:space="0" w:color="auto"/>
                <w:right w:val="none" w:sz="0" w:space="0" w:color="auto"/>
              </w:divBdr>
              <w:divsChild>
                <w:div w:id="1999918251">
                  <w:marLeft w:val="0"/>
                  <w:marRight w:val="0"/>
                  <w:marTop w:val="0"/>
                  <w:marBottom w:val="0"/>
                  <w:divBdr>
                    <w:top w:val="none" w:sz="0" w:space="0" w:color="auto"/>
                    <w:left w:val="none" w:sz="0" w:space="0" w:color="auto"/>
                    <w:bottom w:val="none" w:sz="0" w:space="0" w:color="auto"/>
                    <w:right w:val="none" w:sz="0" w:space="0" w:color="auto"/>
                  </w:divBdr>
                  <w:divsChild>
                    <w:div w:id="1791513782">
                      <w:marLeft w:val="0"/>
                      <w:marRight w:val="0"/>
                      <w:marTop w:val="0"/>
                      <w:marBottom w:val="0"/>
                      <w:divBdr>
                        <w:top w:val="none" w:sz="0" w:space="0" w:color="auto"/>
                        <w:left w:val="none" w:sz="0" w:space="0" w:color="auto"/>
                        <w:bottom w:val="none" w:sz="0" w:space="0" w:color="auto"/>
                        <w:right w:val="none" w:sz="0" w:space="0" w:color="auto"/>
                      </w:divBdr>
                      <w:divsChild>
                        <w:div w:id="810101739">
                          <w:marLeft w:val="0"/>
                          <w:marRight w:val="0"/>
                          <w:marTop w:val="0"/>
                          <w:marBottom w:val="0"/>
                          <w:divBdr>
                            <w:top w:val="none" w:sz="0" w:space="0" w:color="auto"/>
                            <w:left w:val="none" w:sz="0" w:space="0" w:color="auto"/>
                            <w:bottom w:val="none" w:sz="0" w:space="0" w:color="auto"/>
                            <w:right w:val="none" w:sz="0" w:space="0" w:color="auto"/>
                          </w:divBdr>
                          <w:divsChild>
                            <w:div w:id="1908221789">
                              <w:marLeft w:val="0"/>
                              <w:marRight w:val="0"/>
                              <w:marTop w:val="0"/>
                              <w:marBottom w:val="0"/>
                              <w:divBdr>
                                <w:top w:val="none" w:sz="0" w:space="0" w:color="auto"/>
                                <w:left w:val="none" w:sz="0" w:space="0" w:color="auto"/>
                                <w:bottom w:val="none" w:sz="0" w:space="0" w:color="auto"/>
                                <w:right w:val="none" w:sz="0" w:space="0" w:color="auto"/>
                              </w:divBdr>
                              <w:divsChild>
                                <w:div w:id="2064675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2629282">
      <w:bodyDiv w:val="1"/>
      <w:marLeft w:val="0"/>
      <w:marRight w:val="0"/>
      <w:marTop w:val="0"/>
      <w:marBottom w:val="0"/>
      <w:divBdr>
        <w:top w:val="none" w:sz="0" w:space="0" w:color="auto"/>
        <w:left w:val="none" w:sz="0" w:space="0" w:color="auto"/>
        <w:bottom w:val="none" w:sz="0" w:space="0" w:color="auto"/>
        <w:right w:val="none" w:sz="0" w:space="0" w:color="auto"/>
      </w:divBdr>
      <w:divsChild>
        <w:div w:id="1560243996">
          <w:marLeft w:val="0"/>
          <w:marRight w:val="0"/>
          <w:marTop w:val="0"/>
          <w:marBottom w:val="0"/>
          <w:divBdr>
            <w:top w:val="none" w:sz="0" w:space="0" w:color="auto"/>
            <w:left w:val="none" w:sz="0" w:space="0" w:color="auto"/>
            <w:bottom w:val="none" w:sz="0" w:space="0" w:color="auto"/>
            <w:right w:val="none" w:sz="0" w:space="0" w:color="auto"/>
          </w:divBdr>
          <w:divsChild>
            <w:div w:id="1984577863">
              <w:marLeft w:val="0"/>
              <w:marRight w:val="0"/>
              <w:marTop w:val="0"/>
              <w:marBottom w:val="0"/>
              <w:divBdr>
                <w:top w:val="none" w:sz="0" w:space="0" w:color="auto"/>
                <w:left w:val="none" w:sz="0" w:space="0" w:color="auto"/>
                <w:bottom w:val="none" w:sz="0" w:space="0" w:color="auto"/>
                <w:right w:val="none" w:sz="0" w:space="0" w:color="auto"/>
              </w:divBdr>
              <w:divsChild>
                <w:div w:id="1073433188">
                  <w:marLeft w:val="0"/>
                  <w:marRight w:val="0"/>
                  <w:marTop w:val="0"/>
                  <w:marBottom w:val="0"/>
                  <w:divBdr>
                    <w:top w:val="none" w:sz="0" w:space="0" w:color="auto"/>
                    <w:left w:val="none" w:sz="0" w:space="0" w:color="auto"/>
                    <w:bottom w:val="none" w:sz="0" w:space="0" w:color="auto"/>
                    <w:right w:val="none" w:sz="0" w:space="0" w:color="auto"/>
                  </w:divBdr>
                  <w:divsChild>
                    <w:div w:id="1481264535">
                      <w:marLeft w:val="0"/>
                      <w:marRight w:val="0"/>
                      <w:marTop w:val="0"/>
                      <w:marBottom w:val="0"/>
                      <w:divBdr>
                        <w:top w:val="none" w:sz="0" w:space="0" w:color="auto"/>
                        <w:left w:val="none" w:sz="0" w:space="0" w:color="auto"/>
                        <w:bottom w:val="none" w:sz="0" w:space="0" w:color="auto"/>
                        <w:right w:val="none" w:sz="0" w:space="0" w:color="auto"/>
                      </w:divBdr>
                      <w:divsChild>
                        <w:div w:id="1293370188">
                          <w:marLeft w:val="0"/>
                          <w:marRight w:val="0"/>
                          <w:marTop w:val="0"/>
                          <w:marBottom w:val="0"/>
                          <w:divBdr>
                            <w:top w:val="none" w:sz="0" w:space="0" w:color="auto"/>
                            <w:left w:val="none" w:sz="0" w:space="0" w:color="auto"/>
                            <w:bottom w:val="none" w:sz="0" w:space="0" w:color="auto"/>
                            <w:right w:val="none" w:sz="0" w:space="0" w:color="auto"/>
                          </w:divBdr>
                          <w:divsChild>
                            <w:div w:id="7173447">
                              <w:marLeft w:val="0"/>
                              <w:marRight w:val="0"/>
                              <w:marTop w:val="0"/>
                              <w:marBottom w:val="0"/>
                              <w:divBdr>
                                <w:top w:val="none" w:sz="0" w:space="0" w:color="auto"/>
                                <w:left w:val="none" w:sz="0" w:space="0" w:color="auto"/>
                                <w:bottom w:val="none" w:sz="0" w:space="0" w:color="auto"/>
                                <w:right w:val="none" w:sz="0" w:space="0" w:color="auto"/>
                              </w:divBdr>
                              <w:divsChild>
                                <w:div w:id="25344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90377501">
      <w:bodyDiv w:val="1"/>
      <w:marLeft w:val="0"/>
      <w:marRight w:val="0"/>
      <w:marTop w:val="0"/>
      <w:marBottom w:val="0"/>
      <w:divBdr>
        <w:top w:val="none" w:sz="0" w:space="0" w:color="auto"/>
        <w:left w:val="none" w:sz="0" w:space="0" w:color="auto"/>
        <w:bottom w:val="none" w:sz="0" w:space="0" w:color="auto"/>
        <w:right w:val="none" w:sz="0" w:space="0" w:color="auto"/>
      </w:divBdr>
      <w:divsChild>
        <w:div w:id="1848135800">
          <w:marLeft w:val="0"/>
          <w:marRight w:val="0"/>
          <w:marTop w:val="0"/>
          <w:marBottom w:val="0"/>
          <w:divBdr>
            <w:top w:val="none" w:sz="0" w:space="0" w:color="auto"/>
            <w:left w:val="none" w:sz="0" w:space="0" w:color="auto"/>
            <w:bottom w:val="none" w:sz="0" w:space="0" w:color="auto"/>
            <w:right w:val="none" w:sz="0" w:space="0" w:color="auto"/>
          </w:divBdr>
          <w:divsChild>
            <w:div w:id="844712424">
              <w:marLeft w:val="0"/>
              <w:marRight w:val="0"/>
              <w:marTop w:val="0"/>
              <w:marBottom w:val="0"/>
              <w:divBdr>
                <w:top w:val="none" w:sz="0" w:space="0" w:color="auto"/>
                <w:left w:val="none" w:sz="0" w:space="0" w:color="auto"/>
                <w:bottom w:val="none" w:sz="0" w:space="0" w:color="auto"/>
                <w:right w:val="none" w:sz="0" w:space="0" w:color="auto"/>
              </w:divBdr>
              <w:divsChild>
                <w:div w:id="1050694506">
                  <w:marLeft w:val="0"/>
                  <w:marRight w:val="0"/>
                  <w:marTop w:val="0"/>
                  <w:marBottom w:val="0"/>
                  <w:divBdr>
                    <w:top w:val="none" w:sz="0" w:space="0" w:color="auto"/>
                    <w:left w:val="none" w:sz="0" w:space="0" w:color="auto"/>
                    <w:bottom w:val="none" w:sz="0" w:space="0" w:color="auto"/>
                    <w:right w:val="none" w:sz="0" w:space="0" w:color="auto"/>
                  </w:divBdr>
                  <w:divsChild>
                    <w:div w:id="1557206466">
                      <w:marLeft w:val="0"/>
                      <w:marRight w:val="0"/>
                      <w:marTop w:val="0"/>
                      <w:marBottom w:val="0"/>
                      <w:divBdr>
                        <w:top w:val="none" w:sz="0" w:space="0" w:color="auto"/>
                        <w:left w:val="none" w:sz="0" w:space="0" w:color="auto"/>
                        <w:bottom w:val="none" w:sz="0" w:space="0" w:color="auto"/>
                        <w:right w:val="none" w:sz="0" w:space="0" w:color="auto"/>
                      </w:divBdr>
                      <w:divsChild>
                        <w:div w:id="814763599">
                          <w:marLeft w:val="0"/>
                          <w:marRight w:val="0"/>
                          <w:marTop w:val="0"/>
                          <w:marBottom w:val="0"/>
                          <w:divBdr>
                            <w:top w:val="none" w:sz="0" w:space="0" w:color="auto"/>
                            <w:left w:val="none" w:sz="0" w:space="0" w:color="auto"/>
                            <w:bottom w:val="none" w:sz="0" w:space="0" w:color="auto"/>
                            <w:right w:val="none" w:sz="0" w:space="0" w:color="auto"/>
                          </w:divBdr>
                          <w:divsChild>
                            <w:div w:id="350421026">
                              <w:marLeft w:val="0"/>
                              <w:marRight w:val="0"/>
                              <w:marTop w:val="0"/>
                              <w:marBottom w:val="0"/>
                              <w:divBdr>
                                <w:top w:val="none" w:sz="0" w:space="0" w:color="auto"/>
                                <w:left w:val="none" w:sz="0" w:space="0" w:color="auto"/>
                                <w:bottom w:val="none" w:sz="0" w:space="0" w:color="auto"/>
                                <w:right w:val="none" w:sz="0" w:space="0" w:color="auto"/>
                              </w:divBdr>
                              <w:divsChild>
                                <w:div w:id="626739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1123740">
      <w:bodyDiv w:val="1"/>
      <w:marLeft w:val="0"/>
      <w:marRight w:val="0"/>
      <w:marTop w:val="0"/>
      <w:marBottom w:val="0"/>
      <w:divBdr>
        <w:top w:val="none" w:sz="0" w:space="0" w:color="auto"/>
        <w:left w:val="none" w:sz="0" w:space="0" w:color="auto"/>
        <w:bottom w:val="none" w:sz="0" w:space="0" w:color="auto"/>
        <w:right w:val="none" w:sz="0" w:space="0" w:color="auto"/>
      </w:divBdr>
    </w:div>
    <w:div w:id="735054824">
      <w:bodyDiv w:val="1"/>
      <w:marLeft w:val="0"/>
      <w:marRight w:val="0"/>
      <w:marTop w:val="0"/>
      <w:marBottom w:val="0"/>
      <w:divBdr>
        <w:top w:val="none" w:sz="0" w:space="0" w:color="auto"/>
        <w:left w:val="none" w:sz="0" w:space="0" w:color="auto"/>
        <w:bottom w:val="none" w:sz="0" w:space="0" w:color="auto"/>
        <w:right w:val="none" w:sz="0" w:space="0" w:color="auto"/>
      </w:divBdr>
    </w:div>
    <w:div w:id="740296166">
      <w:bodyDiv w:val="1"/>
      <w:marLeft w:val="0"/>
      <w:marRight w:val="0"/>
      <w:marTop w:val="0"/>
      <w:marBottom w:val="0"/>
      <w:divBdr>
        <w:top w:val="none" w:sz="0" w:space="0" w:color="auto"/>
        <w:left w:val="none" w:sz="0" w:space="0" w:color="auto"/>
        <w:bottom w:val="none" w:sz="0" w:space="0" w:color="auto"/>
        <w:right w:val="none" w:sz="0" w:space="0" w:color="auto"/>
      </w:divBdr>
      <w:divsChild>
        <w:div w:id="699890177">
          <w:marLeft w:val="0"/>
          <w:marRight w:val="0"/>
          <w:marTop w:val="0"/>
          <w:marBottom w:val="0"/>
          <w:divBdr>
            <w:top w:val="none" w:sz="0" w:space="0" w:color="auto"/>
            <w:left w:val="none" w:sz="0" w:space="0" w:color="auto"/>
            <w:bottom w:val="none" w:sz="0" w:space="0" w:color="auto"/>
            <w:right w:val="none" w:sz="0" w:space="0" w:color="auto"/>
          </w:divBdr>
          <w:divsChild>
            <w:div w:id="2045786190">
              <w:marLeft w:val="0"/>
              <w:marRight w:val="0"/>
              <w:marTop w:val="0"/>
              <w:marBottom w:val="0"/>
              <w:divBdr>
                <w:top w:val="none" w:sz="0" w:space="0" w:color="auto"/>
                <w:left w:val="none" w:sz="0" w:space="0" w:color="auto"/>
                <w:bottom w:val="none" w:sz="0" w:space="0" w:color="auto"/>
                <w:right w:val="none" w:sz="0" w:space="0" w:color="auto"/>
              </w:divBdr>
              <w:divsChild>
                <w:div w:id="1806921285">
                  <w:marLeft w:val="0"/>
                  <w:marRight w:val="0"/>
                  <w:marTop w:val="0"/>
                  <w:marBottom w:val="0"/>
                  <w:divBdr>
                    <w:top w:val="none" w:sz="0" w:space="0" w:color="auto"/>
                    <w:left w:val="none" w:sz="0" w:space="0" w:color="auto"/>
                    <w:bottom w:val="none" w:sz="0" w:space="0" w:color="auto"/>
                    <w:right w:val="none" w:sz="0" w:space="0" w:color="auto"/>
                  </w:divBdr>
                  <w:divsChild>
                    <w:div w:id="1553812898">
                      <w:marLeft w:val="0"/>
                      <w:marRight w:val="0"/>
                      <w:marTop w:val="0"/>
                      <w:marBottom w:val="0"/>
                      <w:divBdr>
                        <w:top w:val="none" w:sz="0" w:space="0" w:color="auto"/>
                        <w:left w:val="none" w:sz="0" w:space="0" w:color="auto"/>
                        <w:bottom w:val="none" w:sz="0" w:space="0" w:color="auto"/>
                        <w:right w:val="none" w:sz="0" w:space="0" w:color="auto"/>
                      </w:divBdr>
                      <w:divsChild>
                        <w:div w:id="1337688062">
                          <w:marLeft w:val="0"/>
                          <w:marRight w:val="0"/>
                          <w:marTop w:val="0"/>
                          <w:marBottom w:val="0"/>
                          <w:divBdr>
                            <w:top w:val="none" w:sz="0" w:space="0" w:color="auto"/>
                            <w:left w:val="none" w:sz="0" w:space="0" w:color="auto"/>
                            <w:bottom w:val="none" w:sz="0" w:space="0" w:color="auto"/>
                            <w:right w:val="none" w:sz="0" w:space="0" w:color="auto"/>
                          </w:divBdr>
                          <w:divsChild>
                            <w:div w:id="1099370242">
                              <w:marLeft w:val="0"/>
                              <w:marRight w:val="0"/>
                              <w:marTop w:val="0"/>
                              <w:marBottom w:val="0"/>
                              <w:divBdr>
                                <w:top w:val="none" w:sz="0" w:space="0" w:color="auto"/>
                                <w:left w:val="none" w:sz="0" w:space="0" w:color="auto"/>
                                <w:bottom w:val="none" w:sz="0" w:space="0" w:color="auto"/>
                                <w:right w:val="none" w:sz="0" w:space="0" w:color="auto"/>
                              </w:divBdr>
                              <w:divsChild>
                                <w:div w:id="119049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1805561">
      <w:bodyDiv w:val="1"/>
      <w:marLeft w:val="0"/>
      <w:marRight w:val="0"/>
      <w:marTop w:val="0"/>
      <w:marBottom w:val="0"/>
      <w:divBdr>
        <w:top w:val="none" w:sz="0" w:space="0" w:color="auto"/>
        <w:left w:val="none" w:sz="0" w:space="0" w:color="auto"/>
        <w:bottom w:val="none" w:sz="0" w:space="0" w:color="auto"/>
        <w:right w:val="none" w:sz="0" w:space="0" w:color="auto"/>
      </w:divBdr>
      <w:divsChild>
        <w:div w:id="689990785">
          <w:marLeft w:val="0"/>
          <w:marRight w:val="0"/>
          <w:marTop w:val="0"/>
          <w:marBottom w:val="0"/>
          <w:divBdr>
            <w:top w:val="none" w:sz="0" w:space="0" w:color="auto"/>
            <w:left w:val="none" w:sz="0" w:space="0" w:color="auto"/>
            <w:bottom w:val="none" w:sz="0" w:space="0" w:color="auto"/>
            <w:right w:val="none" w:sz="0" w:space="0" w:color="auto"/>
          </w:divBdr>
          <w:divsChild>
            <w:div w:id="1958439871">
              <w:marLeft w:val="0"/>
              <w:marRight w:val="0"/>
              <w:marTop w:val="0"/>
              <w:marBottom w:val="0"/>
              <w:divBdr>
                <w:top w:val="none" w:sz="0" w:space="0" w:color="auto"/>
                <w:left w:val="none" w:sz="0" w:space="0" w:color="auto"/>
                <w:bottom w:val="none" w:sz="0" w:space="0" w:color="auto"/>
                <w:right w:val="none" w:sz="0" w:space="0" w:color="auto"/>
              </w:divBdr>
              <w:divsChild>
                <w:div w:id="363287911">
                  <w:marLeft w:val="0"/>
                  <w:marRight w:val="0"/>
                  <w:marTop w:val="0"/>
                  <w:marBottom w:val="0"/>
                  <w:divBdr>
                    <w:top w:val="none" w:sz="0" w:space="0" w:color="auto"/>
                    <w:left w:val="none" w:sz="0" w:space="0" w:color="auto"/>
                    <w:bottom w:val="none" w:sz="0" w:space="0" w:color="auto"/>
                    <w:right w:val="none" w:sz="0" w:space="0" w:color="auto"/>
                  </w:divBdr>
                  <w:divsChild>
                    <w:div w:id="1442068938">
                      <w:marLeft w:val="0"/>
                      <w:marRight w:val="0"/>
                      <w:marTop w:val="0"/>
                      <w:marBottom w:val="0"/>
                      <w:divBdr>
                        <w:top w:val="none" w:sz="0" w:space="0" w:color="auto"/>
                        <w:left w:val="none" w:sz="0" w:space="0" w:color="auto"/>
                        <w:bottom w:val="none" w:sz="0" w:space="0" w:color="auto"/>
                        <w:right w:val="none" w:sz="0" w:space="0" w:color="auto"/>
                      </w:divBdr>
                      <w:divsChild>
                        <w:div w:id="407924035">
                          <w:marLeft w:val="0"/>
                          <w:marRight w:val="0"/>
                          <w:marTop w:val="0"/>
                          <w:marBottom w:val="0"/>
                          <w:divBdr>
                            <w:top w:val="none" w:sz="0" w:space="0" w:color="auto"/>
                            <w:left w:val="none" w:sz="0" w:space="0" w:color="auto"/>
                            <w:bottom w:val="none" w:sz="0" w:space="0" w:color="auto"/>
                            <w:right w:val="none" w:sz="0" w:space="0" w:color="auto"/>
                          </w:divBdr>
                          <w:divsChild>
                            <w:div w:id="1091661022">
                              <w:marLeft w:val="0"/>
                              <w:marRight w:val="0"/>
                              <w:marTop w:val="0"/>
                              <w:marBottom w:val="0"/>
                              <w:divBdr>
                                <w:top w:val="none" w:sz="0" w:space="0" w:color="auto"/>
                                <w:left w:val="none" w:sz="0" w:space="0" w:color="auto"/>
                                <w:bottom w:val="none" w:sz="0" w:space="0" w:color="auto"/>
                                <w:right w:val="none" w:sz="0" w:space="0" w:color="auto"/>
                              </w:divBdr>
                              <w:divsChild>
                                <w:div w:id="135384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4663570">
      <w:bodyDiv w:val="1"/>
      <w:marLeft w:val="0"/>
      <w:marRight w:val="0"/>
      <w:marTop w:val="0"/>
      <w:marBottom w:val="0"/>
      <w:divBdr>
        <w:top w:val="none" w:sz="0" w:space="0" w:color="auto"/>
        <w:left w:val="none" w:sz="0" w:space="0" w:color="auto"/>
        <w:bottom w:val="none" w:sz="0" w:space="0" w:color="auto"/>
        <w:right w:val="none" w:sz="0" w:space="0" w:color="auto"/>
      </w:divBdr>
    </w:div>
    <w:div w:id="787044659">
      <w:bodyDiv w:val="1"/>
      <w:marLeft w:val="0"/>
      <w:marRight w:val="0"/>
      <w:marTop w:val="0"/>
      <w:marBottom w:val="0"/>
      <w:divBdr>
        <w:top w:val="none" w:sz="0" w:space="0" w:color="auto"/>
        <w:left w:val="none" w:sz="0" w:space="0" w:color="auto"/>
        <w:bottom w:val="none" w:sz="0" w:space="0" w:color="auto"/>
        <w:right w:val="none" w:sz="0" w:space="0" w:color="auto"/>
      </w:divBdr>
    </w:div>
    <w:div w:id="787969269">
      <w:bodyDiv w:val="1"/>
      <w:marLeft w:val="0"/>
      <w:marRight w:val="0"/>
      <w:marTop w:val="0"/>
      <w:marBottom w:val="0"/>
      <w:divBdr>
        <w:top w:val="none" w:sz="0" w:space="0" w:color="auto"/>
        <w:left w:val="none" w:sz="0" w:space="0" w:color="auto"/>
        <w:bottom w:val="none" w:sz="0" w:space="0" w:color="auto"/>
        <w:right w:val="none" w:sz="0" w:space="0" w:color="auto"/>
      </w:divBdr>
    </w:div>
    <w:div w:id="801581727">
      <w:bodyDiv w:val="1"/>
      <w:marLeft w:val="0"/>
      <w:marRight w:val="0"/>
      <w:marTop w:val="0"/>
      <w:marBottom w:val="0"/>
      <w:divBdr>
        <w:top w:val="none" w:sz="0" w:space="0" w:color="auto"/>
        <w:left w:val="none" w:sz="0" w:space="0" w:color="auto"/>
        <w:bottom w:val="none" w:sz="0" w:space="0" w:color="auto"/>
        <w:right w:val="none" w:sz="0" w:space="0" w:color="auto"/>
      </w:divBdr>
      <w:divsChild>
        <w:div w:id="1807504451">
          <w:marLeft w:val="0"/>
          <w:marRight w:val="0"/>
          <w:marTop w:val="0"/>
          <w:marBottom w:val="0"/>
          <w:divBdr>
            <w:top w:val="none" w:sz="0" w:space="0" w:color="auto"/>
            <w:left w:val="none" w:sz="0" w:space="0" w:color="auto"/>
            <w:bottom w:val="none" w:sz="0" w:space="0" w:color="auto"/>
            <w:right w:val="none" w:sz="0" w:space="0" w:color="auto"/>
          </w:divBdr>
          <w:divsChild>
            <w:div w:id="129522403">
              <w:marLeft w:val="0"/>
              <w:marRight w:val="0"/>
              <w:marTop w:val="0"/>
              <w:marBottom w:val="0"/>
              <w:divBdr>
                <w:top w:val="none" w:sz="0" w:space="0" w:color="auto"/>
                <w:left w:val="none" w:sz="0" w:space="0" w:color="auto"/>
                <w:bottom w:val="none" w:sz="0" w:space="0" w:color="auto"/>
                <w:right w:val="none" w:sz="0" w:space="0" w:color="auto"/>
              </w:divBdr>
              <w:divsChild>
                <w:div w:id="883827664">
                  <w:marLeft w:val="0"/>
                  <w:marRight w:val="0"/>
                  <w:marTop w:val="0"/>
                  <w:marBottom w:val="0"/>
                  <w:divBdr>
                    <w:top w:val="none" w:sz="0" w:space="0" w:color="auto"/>
                    <w:left w:val="none" w:sz="0" w:space="0" w:color="auto"/>
                    <w:bottom w:val="none" w:sz="0" w:space="0" w:color="auto"/>
                    <w:right w:val="none" w:sz="0" w:space="0" w:color="auto"/>
                  </w:divBdr>
                  <w:divsChild>
                    <w:div w:id="81148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583763">
      <w:bodyDiv w:val="1"/>
      <w:marLeft w:val="0"/>
      <w:marRight w:val="0"/>
      <w:marTop w:val="0"/>
      <w:marBottom w:val="0"/>
      <w:divBdr>
        <w:top w:val="none" w:sz="0" w:space="0" w:color="auto"/>
        <w:left w:val="none" w:sz="0" w:space="0" w:color="auto"/>
        <w:bottom w:val="none" w:sz="0" w:space="0" w:color="auto"/>
        <w:right w:val="none" w:sz="0" w:space="0" w:color="auto"/>
      </w:divBdr>
    </w:div>
    <w:div w:id="832061802">
      <w:bodyDiv w:val="1"/>
      <w:marLeft w:val="0"/>
      <w:marRight w:val="0"/>
      <w:marTop w:val="0"/>
      <w:marBottom w:val="0"/>
      <w:divBdr>
        <w:top w:val="none" w:sz="0" w:space="0" w:color="auto"/>
        <w:left w:val="none" w:sz="0" w:space="0" w:color="auto"/>
        <w:bottom w:val="none" w:sz="0" w:space="0" w:color="auto"/>
        <w:right w:val="none" w:sz="0" w:space="0" w:color="auto"/>
      </w:divBdr>
      <w:divsChild>
        <w:div w:id="356469957">
          <w:marLeft w:val="0"/>
          <w:marRight w:val="0"/>
          <w:marTop w:val="0"/>
          <w:marBottom w:val="0"/>
          <w:divBdr>
            <w:top w:val="none" w:sz="0" w:space="0" w:color="auto"/>
            <w:left w:val="none" w:sz="0" w:space="0" w:color="auto"/>
            <w:bottom w:val="none" w:sz="0" w:space="0" w:color="auto"/>
            <w:right w:val="none" w:sz="0" w:space="0" w:color="auto"/>
          </w:divBdr>
          <w:divsChild>
            <w:div w:id="446509193">
              <w:marLeft w:val="0"/>
              <w:marRight w:val="0"/>
              <w:marTop w:val="0"/>
              <w:marBottom w:val="0"/>
              <w:divBdr>
                <w:top w:val="none" w:sz="0" w:space="0" w:color="auto"/>
                <w:left w:val="none" w:sz="0" w:space="0" w:color="auto"/>
                <w:bottom w:val="none" w:sz="0" w:space="0" w:color="auto"/>
                <w:right w:val="none" w:sz="0" w:space="0" w:color="auto"/>
              </w:divBdr>
              <w:divsChild>
                <w:div w:id="623073227">
                  <w:marLeft w:val="0"/>
                  <w:marRight w:val="0"/>
                  <w:marTop w:val="0"/>
                  <w:marBottom w:val="0"/>
                  <w:divBdr>
                    <w:top w:val="none" w:sz="0" w:space="0" w:color="auto"/>
                    <w:left w:val="none" w:sz="0" w:space="0" w:color="auto"/>
                    <w:bottom w:val="none" w:sz="0" w:space="0" w:color="auto"/>
                    <w:right w:val="none" w:sz="0" w:space="0" w:color="auto"/>
                  </w:divBdr>
                  <w:divsChild>
                    <w:div w:id="1371682490">
                      <w:marLeft w:val="0"/>
                      <w:marRight w:val="0"/>
                      <w:marTop w:val="0"/>
                      <w:marBottom w:val="0"/>
                      <w:divBdr>
                        <w:top w:val="none" w:sz="0" w:space="0" w:color="auto"/>
                        <w:left w:val="none" w:sz="0" w:space="0" w:color="auto"/>
                        <w:bottom w:val="none" w:sz="0" w:space="0" w:color="auto"/>
                        <w:right w:val="none" w:sz="0" w:space="0" w:color="auto"/>
                      </w:divBdr>
                      <w:divsChild>
                        <w:div w:id="640042588">
                          <w:marLeft w:val="0"/>
                          <w:marRight w:val="0"/>
                          <w:marTop w:val="0"/>
                          <w:marBottom w:val="0"/>
                          <w:divBdr>
                            <w:top w:val="none" w:sz="0" w:space="0" w:color="auto"/>
                            <w:left w:val="none" w:sz="0" w:space="0" w:color="auto"/>
                            <w:bottom w:val="none" w:sz="0" w:space="0" w:color="auto"/>
                            <w:right w:val="none" w:sz="0" w:space="0" w:color="auto"/>
                          </w:divBdr>
                          <w:divsChild>
                            <w:div w:id="1677876638">
                              <w:marLeft w:val="0"/>
                              <w:marRight w:val="0"/>
                              <w:marTop w:val="0"/>
                              <w:marBottom w:val="0"/>
                              <w:divBdr>
                                <w:top w:val="none" w:sz="0" w:space="0" w:color="auto"/>
                                <w:left w:val="none" w:sz="0" w:space="0" w:color="auto"/>
                                <w:bottom w:val="none" w:sz="0" w:space="0" w:color="auto"/>
                                <w:right w:val="none" w:sz="0" w:space="0" w:color="auto"/>
                              </w:divBdr>
                              <w:divsChild>
                                <w:div w:id="1127579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9025122">
      <w:bodyDiv w:val="1"/>
      <w:marLeft w:val="0"/>
      <w:marRight w:val="0"/>
      <w:marTop w:val="0"/>
      <w:marBottom w:val="0"/>
      <w:divBdr>
        <w:top w:val="none" w:sz="0" w:space="0" w:color="auto"/>
        <w:left w:val="none" w:sz="0" w:space="0" w:color="auto"/>
        <w:bottom w:val="none" w:sz="0" w:space="0" w:color="auto"/>
        <w:right w:val="none" w:sz="0" w:space="0" w:color="auto"/>
      </w:divBdr>
    </w:div>
    <w:div w:id="939803471">
      <w:bodyDiv w:val="1"/>
      <w:marLeft w:val="0"/>
      <w:marRight w:val="0"/>
      <w:marTop w:val="0"/>
      <w:marBottom w:val="0"/>
      <w:divBdr>
        <w:top w:val="none" w:sz="0" w:space="0" w:color="auto"/>
        <w:left w:val="none" w:sz="0" w:space="0" w:color="auto"/>
        <w:bottom w:val="none" w:sz="0" w:space="0" w:color="auto"/>
        <w:right w:val="none" w:sz="0" w:space="0" w:color="auto"/>
      </w:divBdr>
      <w:divsChild>
        <w:div w:id="1359507739">
          <w:marLeft w:val="0"/>
          <w:marRight w:val="0"/>
          <w:marTop w:val="0"/>
          <w:marBottom w:val="0"/>
          <w:divBdr>
            <w:top w:val="none" w:sz="0" w:space="0" w:color="auto"/>
            <w:left w:val="none" w:sz="0" w:space="0" w:color="auto"/>
            <w:bottom w:val="none" w:sz="0" w:space="0" w:color="auto"/>
            <w:right w:val="none" w:sz="0" w:space="0" w:color="auto"/>
          </w:divBdr>
          <w:divsChild>
            <w:div w:id="887765815">
              <w:marLeft w:val="0"/>
              <w:marRight w:val="0"/>
              <w:marTop w:val="0"/>
              <w:marBottom w:val="0"/>
              <w:divBdr>
                <w:top w:val="none" w:sz="0" w:space="0" w:color="auto"/>
                <w:left w:val="none" w:sz="0" w:space="0" w:color="auto"/>
                <w:bottom w:val="none" w:sz="0" w:space="0" w:color="auto"/>
                <w:right w:val="none" w:sz="0" w:space="0" w:color="auto"/>
              </w:divBdr>
              <w:divsChild>
                <w:div w:id="1449354031">
                  <w:marLeft w:val="0"/>
                  <w:marRight w:val="0"/>
                  <w:marTop w:val="0"/>
                  <w:marBottom w:val="0"/>
                  <w:divBdr>
                    <w:top w:val="none" w:sz="0" w:space="0" w:color="auto"/>
                    <w:left w:val="none" w:sz="0" w:space="0" w:color="auto"/>
                    <w:bottom w:val="none" w:sz="0" w:space="0" w:color="auto"/>
                    <w:right w:val="none" w:sz="0" w:space="0" w:color="auto"/>
                  </w:divBdr>
                  <w:divsChild>
                    <w:div w:id="356125499">
                      <w:marLeft w:val="0"/>
                      <w:marRight w:val="0"/>
                      <w:marTop w:val="0"/>
                      <w:marBottom w:val="0"/>
                      <w:divBdr>
                        <w:top w:val="none" w:sz="0" w:space="0" w:color="auto"/>
                        <w:left w:val="none" w:sz="0" w:space="0" w:color="auto"/>
                        <w:bottom w:val="none" w:sz="0" w:space="0" w:color="auto"/>
                        <w:right w:val="none" w:sz="0" w:space="0" w:color="auto"/>
                      </w:divBdr>
                      <w:divsChild>
                        <w:div w:id="1177617993">
                          <w:marLeft w:val="0"/>
                          <w:marRight w:val="0"/>
                          <w:marTop w:val="0"/>
                          <w:marBottom w:val="0"/>
                          <w:divBdr>
                            <w:top w:val="none" w:sz="0" w:space="0" w:color="auto"/>
                            <w:left w:val="none" w:sz="0" w:space="0" w:color="auto"/>
                            <w:bottom w:val="none" w:sz="0" w:space="0" w:color="auto"/>
                            <w:right w:val="none" w:sz="0" w:space="0" w:color="auto"/>
                          </w:divBdr>
                          <w:divsChild>
                            <w:div w:id="728118521">
                              <w:marLeft w:val="0"/>
                              <w:marRight w:val="0"/>
                              <w:marTop w:val="0"/>
                              <w:marBottom w:val="0"/>
                              <w:divBdr>
                                <w:top w:val="none" w:sz="0" w:space="0" w:color="auto"/>
                                <w:left w:val="none" w:sz="0" w:space="0" w:color="auto"/>
                                <w:bottom w:val="none" w:sz="0" w:space="0" w:color="auto"/>
                                <w:right w:val="none" w:sz="0" w:space="0" w:color="auto"/>
                              </w:divBdr>
                              <w:divsChild>
                                <w:div w:id="142838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5115498">
      <w:bodyDiv w:val="1"/>
      <w:marLeft w:val="0"/>
      <w:marRight w:val="0"/>
      <w:marTop w:val="0"/>
      <w:marBottom w:val="0"/>
      <w:divBdr>
        <w:top w:val="none" w:sz="0" w:space="0" w:color="auto"/>
        <w:left w:val="none" w:sz="0" w:space="0" w:color="auto"/>
        <w:bottom w:val="none" w:sz="0" w:space="0" w:color="auto"/>
        <w:right w:val="none" w:sz="0" w:space="0" w:color="auto"/>
      </w:divBdr>
      <w:divsChild>
        <w:div w:id="1824083581">
          <w:marLeft w:val="0"/>
          <w:marRight w:val="0"/>
          <w:marTop w:val="0"/>
          <w:marBottom w:val="0"/>
          <w:divBdr>
            <w:top w:val="none" w:sz="0" w:space="0" w:color="auto"/>
            <w:left w:val="none" w:sz="0" w:space="0" w:color="auto"/>
            <w:bottom w:val="none" w:sz="0" w:space="0" w:color="auto"/>
            <w:right w:val="none" w:sz="0" w:space="0" w:color="auto"/>
          </w:divBdr>
          <w:divsChild>
            <w:div w:id="860243966">
              <w:marLeft w:val="0"/>
              <w:marRight w:val="0"/>
              <w:marTop w:val="0"/>
              <w:marBottom w:val="0"/>
              <w:divBdr>
                <w:top w:val="none" w:sz="0" w:space="0" w:color="auto"/>
                <w:left w:val="none" w:sz="0" w:space="0" w:color="auto"/>
                <w:bottom w:val="none" w:sz="0" w:space="0" w:color="auto"/>
                <w:right w:val="none" w:sz="0" w:space="0" w:color="auto"/>
              </w:divBdr>
              <w:divsChild>
                <w:div w:id="1885680058">
                  <w:marLeft w:val="0"/>
                  <w:marRight w:val="0"/>
                  <w:marTop w:val="0"/>
                  <w:marBottom w:val="0"/>
                  <w:divBdr>
                    <w:top w:val="none" w:sz="0" w:space="0" w:color="auto"/>
                    <w:left w:val="none" w:sz="0" w:space="0" w:color="auto"/>
                    <w:bottom w:val="none" w:sz="0" w:space="0" w:color="auto"/>
                    <w:right w:val="none" w:sz="0" w:space="0" w:color="auto"/>
                  </w:divBdr>
                  <w:divsChild>
                    <w:div w:id="670062347">
                      <w:marLeft w:val="0"/>
                      <w:marRight w:val="0"/>
                      <w:marTop w:val="0"/>
                      <w:marBottom w:val="0"/>
                      <w:divBdr>
                        <w:top w:val="none" w:sz="0" w:space="0" w:color="auto"/>
                        <w:left w:val="none" w:sz="0" w:space="0" w:color="auto"/>
                        <w:bottom w:val="none" w:sz="0" w:space="0" w:color="auto"/>
                        <w:right w:val="none" w:sz="0" w:space="0" w:color="auto"/>
                      </w:divBdr>
                      <w:divsChild>
                        <w:div w:id="303237035">
                          <w:marLeft w:val="0"/>
                          <w:marRight w:val="0"/>
                          <w:marTop w:val="0"/>
                          <w:marBottom w:val="0"/>
                          <w:divBdr>
                            <w:top w:val="none" w:sz="0" w:space="0" w:color="auto"/>
                            <w:left w:val="none" w:sz="0" w:space="0" w:color="auto"/>
                            <w:bottom w:val="none" w:sz="0" w:space="0" w:color="auto"/>
                            <w:right w:val="none" w:sz="0" w:space="0" w:color="auto"/>
                          </w:divBdr>
                          <w:divsChild>
                            <w:div w:id="1523738018">
                              <w:marLeft w:val="0"/>
                              <w:marRight w:val="0"/>
                              <w:marTop w:val="0"/>
                              <w:marBottom w:val="0"/>
                              <w:divBdr>
                                <w:top w:val="none" w:sz="0" w:space="0" w:color="auto"/>
                                <w:left w:val="none" w:sz="0" w:space="0" w:color="auto"/>
                                <w:bottom w:val="none" w:sz="0" w:space="0" w:color="auto"/>
                                <w:right w:val="none" w:sz="0" w:space="0" w:color="auto"/>
                              </w:divBdr>
                              <w:divsChild>
                                <w:div w:id="41622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7927406">
      <w:bodyDiv w:val="1"/>
      <w:marLeft w:val="0"/>
      <w:marRight w:val="0"/>
      <w:marTop w:val="0"/>
      <w:marBottom w:val="0"/>
      <w:divBdr>
        <w:top w:val="none" w:sz="0" w:space="0" w:color="auto"/>
        <w:left w:val="none" w:sz="0" w:space="0" w:color="auto"/>
        <w:bottom w:val="none" w:sz="0" w:space="0" w:color="auto"/>
        <w:right w:val="none" w:sz="0" w:space="0" w:color="auto"/>
      </w:divBdr>
      <w:divsChild>
        <w:div w:id="619724272">
          <w:marLeft w:val="0"/>
          <w:marRight w:val="0"/>
          <w:marTop w:val="0"/>
          <w:marBottom w:val="0"/>
          <w:divBdr>
            <w:top w:val="none" w:sz="0" w:space="0" w:color="auto"/>
            <w:left w:val="none" w:sz="0" w:space="0" w:color="auto"/>
            <w:bottom w:val="none" w:sz="0" w:space="0" w:color="auto"/>
            <w:right w:val="none" w:sz="0" w:space="0" w:color="auto"/>
          </w:divBdr>
          <w:divsChild>
            <w:div w:id="1062867513">
              <w:marLeft w:val="0"/>
              <w:marRight w:val="0"/>
              <w:marTop w:val="0"/>
              <w:marBottom w:val="0"/>
              <w:divBdr>
                <w:top w:val="none" w:sz="0" w:space="0" w:color="auto"/>
                <w:left w:val="none" w:sz="0" w:space="0" w:color="auto"/>
                <w:bottom w:val="none" w:sz="0" w:space="0" w:color="auto"/>
                <w:right w:val="none" w:sz="0" w:space="0" w:color="auto"/>
              </w:divBdr>
              <w:divsChild>
                <w:div w:id="388654582">
                  <w:marLeft w:val="0"/>
                  <w:marRight w:val="0"/>
                  <w:marTop w:val="0"/>
                  <w:marBottom w:val="0"/>
                  <w:divBdr>
                    <w:top w:val="none" w:sz="0" w:space="0" w:color="auto"/>
                    <w:left w:val="none" w:sz="0" w:space="0" w:color="auto"/>
                    <w:bottom w:val="none" w:sz="0" w:space="0" w:color="auto"/>
                    <w:right w:val="none" w:sz="0" w:space="0" w:color="auto"/>
                  </w:divBdr>
                  <w:divsChild>
                    <w:div w:id="1949266766">
                      <w:marLeft w:val="0"/>
                      <w:marRight w:val="0"/>
                      <w:marTop w:val="0"/>
                      <w:marBottom w:val="0"/>
                      <w:divBdr>
                        <w:top w:val="none" w:sz="0" w:space="0" w:color="auto"/>
                        <w:left w:val="none" w:sz="0" w:space="0" w:color="auto"/>
                        <w:bottom w:val="none" w:sz="0" w:space="0" w:color="auto"/>
                        <w:right w:val="none" w:sz="0" w:space="0" w:color="auto"/>
                      </w:divBdr>
                      <w:divsChild>
                        <w:div w:id="1689983441">
                          <w:marLeft w:val="0"/>
                          <w:marRight w:val="0"/>
                          <w:marTop w:val="0"/>
                          <w:marBottom w:val="0"/>
                          <w:divBdr>
                            <w:top w:val="none" w:sz="0" w:space="0" w:color="auto"/>
                            <w:left w:val="none" w:sz="0" w:space="0" w:color="auto"/>
                            <w:bottom w:val="none" w:sz="0" w:space="0" w:color="auto"/>
                            <w:right w:val="none" w:sz="0" w:space="0" w:color="auto"/>
                          </w:divBdr>
                          <w:divsChild>
                            <w:div w:id="1029719171">
                              <w:marLeft w:val="0"/>
                              <w:marRight w:val="0"/>
                              <w:marTop w:val="0"/>
                              <w:marBottom w:val="0"/>
                              <w:divBdr>
                                <w:top w:val="none" w:sz="0" w:space="0" w:color="auto"/>
                                <w:left w:val="none" w:sz="0" w:space="0" w:color="auto"/>
                                <w:bottom w:val="none" w:sz="0" w:space="0" w:color="auto"/>
                                <w:right w:val="none" w:sz="0" w:space="0" w:color="auto"/>
                              </w:divBdr>
                              <w:divsChild>
                                <w:div w:id="54626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07437452">
      <w:bodyDiv w:val="1"/>
      <w:marLeft w:val="0"/>
      <w:marRight w:val="0"/>
      <w:marTop w:val="0"/>
      <w:marBottom w:val="0"/>
      <w:divBdr>
        <w:top w:val="none" w:sz="0" w:space="0" w:color="auto"/>
        <w:left w:val="none" w:sz="0" w:space="0" w:color="auto"/>
        <w:bottom w:val="none" w:sz="0" w:space="0" w:color="auto"/>
        <w:right w:val="none" w:sz="0" w:space="0" w:color="auto"/>
      </w:divBdr>
      <w:divsChild>
        <w:div w:id="1341274941">
          <w:marLeft w:val="0"/>
          <w:marRight w:val="0"/>
          <w:marTop w:val="0"/>
          <w:marBottom w:val="0"/>
          <w:divBdr>
            <w:top w:val="none" w:sz="0" w:space="0" w:color="auto"/>
            <w:left w:val="none" w:sz="0" w:space="0" w:color="auto"/>
            <w:bottom w:val="none" w:sz="0" w:space="0" w:color="auto"/>
            <w:right w:val="none" w:sz="0" w:space="0" w:color="auto"/>
          </w:divBdr>
          <w:divsChild>
            <w:div w:id="1222786968">
              <w:marLeft w:val="0"/>
              <w:marRight w:val="0"/>
              <w:marTop w:val="0"/>
              <w:marBottom w:val="0"/>
              <w:divBdr>
                <w:top w:val="none" w:sz="0" w:space="0" w:color="auto"/>
                <w:left w:val="none" w:sz="0" w:space="0" w:color="auto"/>
                <w:bottom w:val="none" w:sz="0" w:space="0" w:color="auto"/>
                <w:right w:val="none" w:sz="0" w:space="0" w:color="auto"/>
              </w:divBdr>
              <w:divsChild>
                <w:div w:id="1957760253">
                  <w:marLeft w:val="0"/>
                  <w:marRight w:val="0"/>
                  <w:marTop w:val="0"/>
                  <w:marBottom w:val="0"/>
                  <w:divBdr>
                    <w:top w:val="none" w:sz="0" w:space="0" w:color="auto"/>
                    <w:left w:val="none" w:sz="0" w:space="0" w:color="auto"/>
                    <w:bottom w:val="none" w:sz="0" w:space="0" w:color="auto"/>
                    <w:right w:val="none" w:sz="0" w:space="0" w:color="auto"/>
                  </w:divBdr>
                  <w:divsChild>
                    <w:div w:id="2017347348">
                      <w:marLeft w:val="0"/>
                      <w:marRight w:val="0"/>
                      <w:marTop w:val="0"/>
                      <w:marBottom w:val="0"/>
                      <w:divBdr>
                        <w:top w:val="none" w:sz="0" w:space="0" w:color="auto"/>
                        <w:left w:val="none" w:sz="0" w:space="0" w:color="auto"/>
                        <w:bottom w:val="none" w:sz="0" w:space="0" w:color="auto"/>
                        <w:right w:val="none" w:sz="0" w:space="0" w:color="auto"/>
                      </w:divBdr>
                      <w:divsChild>
                        <w:div w:id="1152215421">
                          <w:marLeft w:val="0"/>
                          <w:marRight w:val="0"/>
                          <w:marTop w:val="0"/>
                          <w:marBottom w:val="0"/>
                          <w:divBdr>
                            <w:top w:val="none" w:sz="0" w:space="0" w:color="auto"/>
                            <w:left w:val="none" w:sz="0" w:space="0" w:color="auto"/>
                            <w:bottom w:val="none" w:sz="0" w:space="0" w:color="auto"/>
                            <w:right w:val="none" w:sz="0" w:space="0" w:color="auto"/>
                          </w:divBdr>
                          <w:divsChild>
                            <w:div w:id="337194019">
                              <w:marLeft w:val="0"/>
                              <w:marRight w:val="0"/>
                              <w:marTop w:val="0"/>
                              <w:marBottom w:val="0"/>
                              <w:divBdr>
                                <w:top w:val="none" w:sz="0" w:space="0" w:color="auto"/>
                                <w:left w:val="none" w:sz="0" w:space="0" w:color="auto"/>
                                <w:bottom w:val="none" w:sz="0" w:space="0" w:color="auto"/>
                                <w:right w:val="none" w:sz="0" w:space="0" w:color="auto"/>
                              </w:divBdr>
                              <w:divsChild>
                                <w:div w:id="34524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1054283">
      <w:bodyDiv w:val="1"/>
      <w:marLeft w:val="0"/>
      <w:marRight w:val="0"/>
      <w:marTop w:val="0"/>
      <w:marBottom w:val="0"/>
      <w:divBdr>
        <w:top w:val="none" w:sz="0" w:space="0" w:color="auto"/>
        <w:left w:val="none" w:sz="0" w:space="0" w:color="auto"/>
        <w:bottom w:val="none" w:sz="0" w:space="0" w:color="auto"/>
        <w:right w:val="none" w:sz="0" w:space="0" w:color="auto"/>
      </w:divBdr>
      <w:divsChild>
        <w:div w:id="887886280">
          <w:marLeft w:val="0"/>
          <w:marRight w:val="0"/>
          <w:marTop w:val="0"/>
          <w:marBottom w:val="0"/>
          <w:divBdr>
            <w:top w:val="none" w:sz="0" w:space="0" w:color="auto"/>
            <w:left w:val="none" w:sz="0" w:space="0" w:color="auto"/>
            <w:bottom w:val="none" w:sz="0" w:space="0" w:color="auto"/>
            <w:right w:val="none" w:sz="0" w:space="0" w:color="auto"/>
          </w:divBdr>
          <w:divsChild>
            <w:div w:id="1244219191">
              <w:marLeft w:val="0"/>
              <w:marRight w:val="0"/>
              <w:marTop w:val="0"/>
              <w:marBottom w:val="0"/>
              <w:divBdr>
                <w:top w:val="none" w:sz="0" w:space="0" w:color="auto"/>
                <w:left w:val="none" w:sz="0" w:space="0" w:color="auto"/>
                <w:bottom w:val="none" w:sz="0" w:space="0" w:color="auto"/>
                <w:right w:val="none" w:sz="0" w:space="0" w:color="auto"/>
              </w:divBdr>
              <w:divsChild>
                <w:div w:id="76562575">
                  <w:marLeft w:val="0"/>
                  <w:marRight w:val="0"/>
                  <w:marTop w:val="0"/>
                  <w:marBottom w:val="0"/>
                  <w:divBdr>
                    <w:top w:val="none" w:sz="0" w:space="0" w:color="auto"/>
                    <w:left w:val="none" w:sz="0" w:space="0" w:color="auto"/>
                    <w:bottom w:val="none" w:sz="0" w:space="0" w:color="auto"/>
                    <w:right w:val="none" w:sz="0" w:space="0" w:color="auto"/>
                  </w:divBdr>
                  <w:divsChild>
                    <w:div w:id="1259753534">
                      <w:marLeft w:val="0"/>
                      <w:marRight w:val="0"/>
                      <w:marTop w:val="0"/>
                      <w:marBottom w:val="0"/>
                      <w:divBdr>
                        <w:top w:val="none" w:sz="0" w:space="0" w:color="auto"/>
                        <w:left w:val="none" w:sz="0" w:space="0" w:color="auto"/>
                        <w:bottom w:val="none" w:sz="0" w:space="0" w:color="auto"/>
                        <w:right w:val="none" w:sz="0" w:space="0" w:color="auto"/>
                      </w:divBdr>
                      <w:divsChild>
                        <w:div w:id="337467840">
                          <w:marLeft w:val="0"/>
                          <w:marRight w:val="0"/>
                          <w:marTop w:val="0"/>
                          <w:marBottom w:val="0"/>
                          <w:divBdr>
                            <w:top w:val="none" w:sz="0" w:space="0" w:color="auto"/>
                            <w:left w:val="none" w:sz="0" w:space="0" w:color="auto"/>
                            <w:bottom w:val="none" w:sz="0" w:space="0" w:color="auto"/>
                            <w:right w:val="none" w:sz="0" w:space="0" w:color="auto"/>
                          </w:divBdr>
                          <w:divsChild>
                            <w:div w:id="631179138">
                              <w:marLeft w:val="0"/>
                              <w:marRight w:val="0"/>
                              <w:marTop w:val="0"/>
                              <w:marBottom w:val="0"/>
                              <w:divBdr>
                                <w:top w:val="none" w:sz="0" w:space="0" w:color="auto"/>
                                <w:left w:val="none" w:sz="0" w:space="0" w:color="auto"/>
                                <w:bottom w:val="none" w:sz="0" w:space="0" w:color="auto"/>
                                <w:right w:val="none" w:sz="0" w:space="0" w:color="auto"/>
                              </w:divBdr>
                              <w:divsChild>
                                <w:div w:id="851455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3048954">
      <w:bodyDiv w:val="1"/>
      <w:marLeft w:val="0"/>
      <w:marRight w:val="0"/>
      <w:marTop w:val="0"/>
      <w:marBottom w:val="0"/>
      <w:divBdr>
        <w:top w:val="none" w:sz="0" w:space="0" w:color="auto"/>
        <w:left w:val="none" w:sz="0" w:space="0" w:color="auto"/>
        <w:bottom w:val="none" w:sz="0" w:space="0" w:color="auto"/>
        <w:right w:val="none" w:sz="0" w:space="0" w:color="auto"/>
      </w:divBdr>
      <w:divsChild>
        <w:div w:id="1879466456">
          <w:marLeft w:val="0"/>
          <w:marRight w:val="0"/>
          <w:marTop w:val="0"/>
          <w:marBottom w:val="0"/>
          <w:divBdr>
            <w:top w:val="none" w:sz="0" w:space="0" w:color="auto"/>
            <w:left w:val="none" w:sz="0" w:space="0" w:color="auto"/>
            <w:bottom w:val="none" w:sz="0" w:space="0" w:color="auto"/>
            <w:right w:val="none" w:sz="0" w:space="0" w:color="auto"/>
          </w:divBdr>
          <w:divsChild>
            <w:div w:id="1243833174">
              <w:marLeft w:val="0"/>
              <w:marRight w:val="0"/>
              <w:marTop w:val="0"/>
              <w:marBottom w:val="0"/>
              <w:divBdr>
                <w:top w:val="none" w:sz="0" w:space="0" w:color="auto"/>
                <w:left w:val="none" w:sz="0" w:space="0" w:color="auto"/>
                <w:bottom w:val="none" w:sz="0" w:space="0" w:color="auto"/>
                <w:right w:val="none" w:sz="0" w:space="0" w:color="auto"/>
              </w:divBdr>
              <w:divsChild>
                <w:div w:id="701132639">
                  <w:marLeft w:val="0"/>
                  <w:marRight w:val="0"/>
                  <w:marTop w:val="0"/>
                  <w:marBottom w:val="0"/>
                  <w:divBdr>
                    <w:top w:val="none" w:sz="0" w:space="0" w:color="auto"/>
                    <w:left w:val="none" w:sz="0" w:space="0" w:color="auto"/>
                    <w:bottom w:val="none" w:sz="0" w:space="0" w:color="auto"/>
                    <w:right w:val="none" w:sz="0" w:space="0" w:color="auto"/>
                  </w:divBdr>
                  <w:divsChild>
                    <w:div w:id="2089693632">
                      <w:marLeft w:val="0"/>
                      <w:marRight w:val="0"/>
                      <w:marTop w:val="0"/>
                      <w:marBottom w:val="0"/>
                      <w:divBdr>
                        <w:top w:val="none" w:sz="0" w:space="0" w:color="auto"/>
                        <w:left w:val="none" w:sz="0" w:space="0" w:color="auto"/>
                        <w:bottom w:val="none" w:sz="0" w:space="0" w:color="auto"/>
                        <w:right w:val="none" w:sz="0" w:space="0" w:color="auto"/>
                      </w:divBdr>
                      <w:divsChild>
                        <w:div w:id="2140493893">
                          <w:marLeft w:val="0"/>
                          <w:marRight w:val="0"/>
                          <w:marTop w:val="0"/>
                          <w:marBottom w:val="0"/>
                          <w:divBdr>
                            <w:top w:val="none" w:sz="0" w:space="0" w:color="auto"/>
                            <w:left w:val="none" w:sz="0" w:space="0" w:color="auto"/>
                            <w:bottom w:val="none" w:sz="0" w:space="0" w:color="auto"/>
                            <w:right w:val="none" w:sz="0" w:space="0" w:color="auto"/>
                          </w:divBdr>
                          <w:divsChild>
                            <w:div w:id="754937206">
                              <w:marLeft w:val="0"/>
                              <w:marRight w:val="0"/>
                              <w:marTop w:val="0"/>
                              <w:marBottom w:val="0"/>
                              <w:divBdr>
                                <w:top w:val="none" w:sz="0" w:space="0" w:color="auto"/>
                                <w:left w:val="none" w:sz="0" w:space="0" w:color="auto"/>
                                <w:bottom w:val="none" w:sz="0" w:space="0" w:color="auto"/>
                                <w:right w:val="none" w:sz="0" w:space="0" w:color="auto"/>
                              </w:divBdr>
                              <w:divsChild>
                                <w:div w:id="69581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3940430">
      <w:bodyDiv w:val="1"/>
      <w:marLeft w:val="0"/>
      <w:marRight w:val="0"/>
      <w:marTop w:val="0"/>
      <w:marBottom w:val="0"/>
      <w:divBdr>
        <w:top w:val="none" w:sz="0" w:space="0" w:color="auto"/>
        <w:left w:val="none" w:sz="0" w:space="0" w:color="auto"/>
        <w:bottom w:val="none" w:sz="0" w:space="0" w:color="auto"/>
        <w:right w:val="none" w:sz="0" w:space="0" w:color="auto"/>
      </w:divBdr>
      <w:divsChild>
        <w:div w:id="756706967">
          <w:marLeft w:val="0"/>
          <w:marRight w:val="0"/>
          <w:marTop w:val="0"/>
          <w:marBottom w:val="0"/>
          <w:divBdr>
            <w:top w:val="none" w:sz="0" w:space="0" w:color="auto"/>
            <w:left w:val="none" w:sz="0" w:space="0" w:color="auto"/>
            <w:bottom w:val="none" w:sz="0" w:space="0" w:color="auto"/>
            <w:right w:val="none" w:sz="0" w:space="0" w:color="auto"/>
          </w:divBdr>
          <w:divsChild>
            <w:div w:id="1512918016">
              <w:marLeft w:val="0"/>
              <w:marRight w:val="0"/>
              <w:marTop w:val="0"/>
              <w:marBottom w:val="0"/>
              <w:divBdr>
                <w:top w:val="none" w:sz="0" w:space="0" w:color="auto"/>
                <w:left w:val="none" w:sz="0" w:space="0" w:color="auto"/>
                <w:bottom w:val="none" w:sz="0" w:space="0" w:color="auto"/>
                <w:right w:val="none" w:sz="0" w:space="0" w:color="auto"/>
              </w:divBdr>
              <w:divsChild>
                <w:div w:id="1174566619">
                  <w:marLeft w:val="0"/>
                  <w:marRight w:val="0"/>
                  <w:marTop w:val="0"/>
                  <w:marBottom w:val="0"/>
                  <w:divBdr>
                    <w:top w:val="none" w:sz="0" w:space="0" w:color="auto"/>
                    <w:left w:val="none" w:sz="0" w:space="0" w:color="auto"/>
                    <w:bottom w:val="none" w:sz="0" w:space="0" w:color="auto"/>
                    <w:right w:val="none" w:sz="0" w:space="0" w:color="auto"/>
                  </w:divBdr>
                  <w:divsChild>
                    <w:div w:id="1601253021">
                      <w:marLeft w:val="0"/>
                      <w:marRight w:val="0"/>
                      <w:marTop w:val="0"/>
                      <w:marBottom w:val="0"/>
                      <w:divBdr>
                        <w:top w:val="none" w:sz="0" w:space="0" w:color="auto"/>
                        <w:left w:val="none" w:sz="0" w:space="0" w:color="auto"/>
                        <w:bottom w:val="none" w:sz="0" w:space="0" w:color="auto"/>
                        <w:right w:val="none" w:sz="0" w:space="0" w:color="auto"/>
                      </w:divBdr>
                      <w:divsChild>
                        <w:div w:id="1382941749">
                          <w:marLeft w:val="0"/>
                          <w:marRight w:val="0"/>
                          <w:marTop w:val="0"/>
                          <w:marBottom w:val="0"/>
                          <w:divBdr>
                            <w:top w:val="none" w:sz="0" w:space="0" w:color="auto"/>
                            <w:left w:val="none" w:sz="0" w:space="0" w:color="auto"/>
                            <w:bottom w:val="none" w:sz="0" w:space="0" w:color="auto"/>
                            <w:right w:val="none" w:sz="0" w:space="0" w:color="auto"/>
                          </w:divBdr>
                          <w:divsChild>
                            <w:div w:id="1527601173">
                              <w:marLeft w:val="0"/>
                              <w:marRight w:val="0"/>
                              <w:marTop w:val="0"/>
                              <w:marBottom w:val="0"/>
                              <w:divBdr>
                                <w:top w:val="none" w:sz="0" w:space="0" w:color="auto"/>
                                <w:left w:val="none" w:sz="0" w:space="0" w:color="auto"/>
                                <w:bottom w:val="none" w:sz="0" w:space="0" w:color="auto"/>
                                <w:right w:val="none" w:sz="0" w:space="0" w:color="auto"/>
                              </w:divBdr>
                              <w:divsChild>
                                <w:div w:id="141304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0614238">
      <w:bodyDiv w:val="1"/>
      <w:marLeft w:val="0"/>
      <w:marRight w:val="0"/>
      <w:marTop w:val="0"/>
      <w:marBottom w:val="0"/>
      <w:divBdr>
        <w:top w:val="none" w:sz="0" w:space="0" w:color="auto"/>
        <w:left w:val="none" w:sz="0" w:space="0" w:color="auto"/>
        <w:bottom w:val="none" w:sz="0" w:space="0" w:color="auto"/>
        <w:right w:val="none" w:sz="0" w:space="0" w:color="auto"/>
      </w:divBdr>
      <w:divsChild>
        <w:div w:id="135953672">
          <w:marLeft w:val="0"/>
          <w:marRight w:val="0"/>
          <w:marTop w:val="0"/>
          <w:marBottom w:val="0"/>
          <w:divBdr>
            <w:top w:val="none" w:sz="0" w:space="0" w:color="auto"/>
            <w:left w:val="none" w:sz="0" w:space="0" w:color="auto"/>
            <w:bottom w:val="none" w:sz="0" w:space="0" w:color="auto"/>
            <w:right w:val="none" w:sz="0" w:space="0" w:color="auto"/>
          </w:divBdr>
          <w:divsChild>
            <w:div w:id="592133518">
              <w:marLeft w:val="0"/>
              <w:marRight w:val="0"/>
              <w:marTop w:val="0"/>
              <w:marBottom w:val="0"/>
              <w:divBdr>
                <w:top w:val="none" w:sz="0" w:space="0" w:color="auto"/>
                <w:left w:val="none" w:sz="0" w:space="0" w:color="auto"/>
                <w:bottom w:val="none" w:sz="0" w:space="0" w:color="auto"/>
                <w:right w:val="none" w:sz="0" w:space="0" w:color="auto"/>
              </w:divBdr>
              <w:divsChild>
                <w:div w:id="382170621">
                  <w:marLeft w:val="0"/>
                  <w:marRight w:val="0"/>
                  <w:marTop w:val="0"/>
                  <w:marBottom w:val="0"/>
                  <w:divBdr>
                    <w:top w:val="none" w:sz="0" w:space="0" w:color="auto"/>
                    <w:left w:val="none" w:sz="0" w:space="0" w:color="auto"/>
                    <w:bottom w:val="none" w:sz="0" w:space="0" w:color="auto"/>
                    <w:right w:val="none" w:sz="0" w:space="0" w:color="auto"/>
                  </w:divBdr>
                  <w:divsChild>
                    <w:div w:id="1403214765">
                      <w:marLeft w:val="0"/>
                      <w:marRight w:val="0"/>
                      <w:marTop w:val="0"/>
                      <w:marBottom w:val="0"/>
                      <w:divBdr>
                        <w:top w:val="none" w:sz="0" w:space="0" w:color="auto"/>
                        <w:left w:val="none" w:sz="0" w:space="0" w:color="auto"/>
                        <w:bottom w:val="none" w:sz="0" w:space="0" w:color="auto"/>
                        <w:right w:val="none" w:sz="0" w:space="0" w:color="auto"/>
                      </w:divBdr>
                      <w:divsChild>
                        <w:div w:id="810056408">
                          <w:marLeft w:val="0"/>
                          <w:marRight w:val="0"/>
                          <w:marTop w:val="0"/>
                          <w:marBottom w:val="0"/>
                          <w:divBdr>
                            <w:top w:val="none" w:sz="0" w:space="0" w:color="auto"/>
                            <w:left w:val="none" w:sz="0" w:space="0" w:color="auto"/>
                            <w:bottom w:val="none" w:sz="0" w:space="0" w:color="auto"/>
                            <w:right w:val="none" w:sz="0" w:space="0" w:color="auto"/>
                          </w:divBdr>
                          <w:divsChild>
                            <w:div w:id="290789569">
                              <w:marLeft w:val="0"/>
                              <w:marRight w:val="0"/>
                              <w:marTop w:val="0"/>
                              <w:marBottom w:val="0"/>
                              <w:divBdr>
                                <w:top w:val="none" w:sz="0" w:space="0" w:color="auto"/>
                                <w:left w:val="none" w:sz="0" w:space="0" w:color="auto"/>
                                <w:bottom w:val="none" w:sz="0" w:space="0" w:color="auto"/>
                                <w:right w:val="none" w:sz="0" w:space="0" w:color="auto"/>
                              </w:divBdr>
                              <w:divsChild>
                                <w:div w:id="3331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6896798">
      <w:bodyDiv w:val="1"/>
      <w:marLeft w:val="0"/>
      <w:marRight w:val="0"/>
      <w:marTop w:val="0"/>
      <w:marBottom w:val="0"/>
      <w:divBdr>
        <w:top w:val="none" w:sz="0" w:space="0" w:color="auto"/>
        <w:left w:val="none" w:sz="0" w:space="0" w:color="auto"/>
        <w:bottom w:val="none" w:sz="0" w:space="0" w:color="auto"/>
        <w:right w:val="none" w:sz="0" w:space="0" w:color="auto"/>
      </w:divBdr>
    </w:div>
    <w:div w:id="1176115381">
      <w:bodyDiv w:val="1"/>
      <w:marLeft w:val="0"/>
      <w:marRight w:val="0"/>
      <w:marTop w:val="0"/>
      <w:marBottom w:val="0"/>
      <w:divBdr>
        <w:top w:val="none" w:sz="0" w:space="0" w:color="auto"/>
        <w:left w:val="none" w:sz="0" w:space="0" w:color="auto"/>
        <w:bottom w:val="none" w:sz="0" w:space="0" w:color="auto"/>
        <w:right w:val="none" w:sz="0" w:space="0" w:color="auto"/>
      </w:divBdr>
      <w:divsChild>
        <w:div w:id="1479541271">
          <w:marLeft w:val="0"/>
          <w:marRight w:val="0"/>
          <w:marTop w:val="0"/>
          <w:marBottom w:val="0"/>
          <w:divBdr>
            <w:top w:val="none" w:sz="0" w:space="0" w:color="auto"/>
            <w:left w:val="none" w:sz="0" w:space="0" w:color="auto"/>
            <w:bottom w:val="none" w:sz="0" w:space="0" w:color="auto"/>
            <w:right w:val="none" w:sz="0" w:space="0" w:color="auto"/>
          </w:divBdr>
          <w:divsChild>
            <w:div w:id="604269007">
              <w:marLeft w:val="0"/>
              <w:marRight w:val="0"/>
              <w:marTop w:val="0"/>
              <w:marBottom w:val="0"/>
              <w:divBdr>
                <w:top w:val="none" w:sz="0" w:space="0" w:color="auto"/>
                <w:left w:val="none" w:sz="0" w:space="0" w:color="auto"/>
                <w:bottom w:val="none" w:sz="0" w:space="0" w:color="auto"/>
                <w:right w:val="none" w:sz="0" w:space="0" w:color="auto"/>
              </w:divBdr>
              <w:divsChild>
                <w:div w:id="136577085">
                  <w:marLeft w:val="0"/>
                  <w:marRight w:val="0"/>
                  <w:marTop w:val="0"/>
                  <w:marBottom w:val="0"/>
                  <w:divBdr>
                    <w:top w:val="none" w:sz="0" w:space="0" w:color="auto"/>
                    <w:left w:val="none" w:sz="0" w:space="0" w:color="auto"/>
                    <w:bottom w:val="none" w:sz="0" w:space="0" w:color="auto"/>
                    <w:right w:val="none" w:sz="0" w:space="0" w:color="auto"/>
                  </w:divBdr>
                  <w:divsChild>
                    <w:div w:id="787822326">
                      <w:marLeft w:val="0"/>
                      <w:marRight w:val="0"/>
                      <w:marTop w:val="0"/>
                      <w:marBottom w:val="0"/>
                      <w:divBdr>
                        <w:top w:val="none" w:sz="0" w:space="0" w:color="auto"/>
                        <w:left w:val="none" w:sz="0" w:space="0" w:color="auto"/>
                        <w:bottom w:val="none" w:sz="0" w:space="0" w:color="auto"/>
                        <w:right w:val="none" w:sz="0" w:space="0" w:color="auto"/>
                      </w:divBdr>
                      <w:divsChild>
                        <w:div w:id="269435019">
                          <w:marLeft w:val="0"/>
                          <w:marRight w:val="0"/>
                          <w:marTop w:val="0"/>
                          <w:marBottom w:val="0"/>
                          <w:divBdr>
                            <w:top w:val="none" w:sz="0" w:space="0" w:color="auto"/>
                            <w:left w:val="none" w:sz="0" w:space="0" w:color="auto"/>
                            <w:bottom w:val="none" w:sz="0" w:space="0" w:color="auto"/>
                            <w:right w:val="none" w:sz="0" w:space="0" w:color="auto"/>
                          </w:divBdr>
                          <w:divsChild>
                            <w:div w:id="1222444556">
                              <w:marLeft w:val="0"/>
                              <w:marRight w:val="0"/>
                              <w:marTop w:val="0"/>
                              <w:marBottom w:val="0"/>
                              <w:divBdr>
                                <w:top w:val="none" w:sz="0" w:space="0" w:color="auto"/>
                                <w:left w:val="none" w:sz="0" w:space="0" w:color="auto"/>
                                <w:bottom w:val="none" w:sz="0" w:space="0" w:color="auto"/>
                                <w:right w:val="none" w:sz="0" w:space="0" w:color="auto"/>
                              </w:divBdr>
                              <w:divsChild>
                                <w:div w:id="212699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1861337">
      <w:bodyDiv w:val="1"/>
      <w:marLeft w:val="0"/>
      <w:marRight w:val="0"/>
      <w:marTop w:val="0"/>
      <w:marBottom w:val="0"/>
      <w:divBdr>
        <w:top w:val="none" w:sz="0" w:space="0" w:color="auto"/>
        <w:left w:val="none" w:sz="0" w:space="0" w:color="auto"/>
        <w:bottom w:val="none" w:sz="0" w:space="0" w:color="auto"/>
        <w:right w:val="none" w:sz="0" w:space="0" w:color="auto"/>
      </w:divBdr>
      <w:divsChild>
        <w:div w:id="2146578948">
          <w:marLeft w:val="0"/>
          <w:marRight w:val="0"/>
          <w:marTop w:val="0"/>
          <w:marBottom w:val="0"/>
          <w:divBdr>
            <w:top w:val="none" w:sz="0" w:space="0" w:color="auto"/>
            <w:left w:val="none" w:sz="0" w:space="0" w:color="auto"/>
            <w:bottom w:val="none" w:sz="0" w:space="0" w:color="auto"/>
            <w:right w:val="none" w:sz="0" w:space="0" w:color="auto"/>
          </w:divBdr>
          <w:divsChild>
            <w:div w:id="913048993">
              <w:marLeft w:val="0"/>
              <w:marRight w:val="0"/>
              <w:marTop w:val="0"/>
              <w:marBottom w:val="0"/>
              <w:divBdr>
                <w:top w:val="none" w:sz="0" w:space="0" w:color="auto"/>
                <w:left w:val="none" w:sz="0" w:space="0" w:color="auto"/>
                <w:bottom w:val="none" w:sz="0" w:space="0" w:color="auto"/>
                <w:right w:val="none" w:sz="0" w:space="0" w:color="auto"/>
              </w:divBdr>
              <w:divsChild>
                <w:div w:id="1476795302">
                  <w:marLeft w:val="0"/>
                  <w:marRight w:val="0"/>
                  <w:marTop w:val="0"/>
                  <w:marBottom w:val="0"/>
                  <w:divBdr>
                    <w:top w:val="none" w:sz="0" w:space="0" w:color="auto"/>
                    <w:left w:val="none" w:sz="0" w:space="0" w:color="auto"/>
                    <w:bottom w:val="none" w:sz="0" w:space="0" w:color="auto"/>
                    <w:right w:val="none" w:sz="0" w:space="0" w:color="auto"/>
                  </w:divBdr>
                  <w:divsChild>
                    <w:div w:id="279537880">
                      <w:marLeft w:val="0"/>
                      <w:marRight w:val="0"/>
                      <w:marTop w:val="0"/>
                      <w:marBottom w:val="0"/>
                      <w:divBdr>
                        <w:top w:val="none" w:sz="0" w:space="0" w:color="auto"/>
                        <w:left w:val="none" w:sz="0" w:space="0" w:color="auto"/>
                        <w:bottom w:val="none" w:sz="0" w:space="0" w:color="auto"/>
                        <w:right w:val="none" w:sz="0" w:space="0" w:color="auto"/>
                      </w:divBdr>
                      <w:divsChild>
                        <w:div w:id="259265377">
                          <w:marLeft w:val="0"/>
                          <w:marRight w:val="0"/>
                          <w:marTop w:val="0"/>
                          <w:marBottom w:val="0"/>
                          <w:divBdr>
                            <w:top w:val="none" w:sz="0" w:space="0" w:color="auto"/>
                            <w:left w:val="none" w:sz="0" w:space="0" w:color="auto"/>
                            <w:bottom w:val="none" w:sz="0" w:space="0" w:color="auto"/>
                            <w:right w:val="none" w:sz="0" w:space="0" w:color="auto"/>
                          </w:divBdr>
                          <w:divsChild>
                            <w:div w:id="225340427">
                              <w:marLeft w:val="0"/>
                              <w:marRight w:val="0"/>
                              <w:marTop w:val="0"/>
                              <w:marBottom w:val="0"/>
                              <w:divBdr>
                                <w:top w:val="none" w:sz="0" w:space="0" w:color="auto"/>
                                <w:left w:val="none" w:sz="0" w:space="0" w:color="auto"/>
                                <w:bottom w:val="none" w:sz="0" w:space="0" w:color="auto"/>
                                <w:right w:val="none" w:sz="0" w:space="0" w:color="auto"/>
                              </w:divBdr>
                              <w:divsChild>
                                <w:div w:id="1877741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41138742">
      <w:bodyDiv w:val="1"/>
      <w:marLeft w:val="0"/>
      <w:marRight w:val="0"/>
      <w:marTop w:val="0"/>
      <w:marBottom w:val="0"/>
      <w:divBdr>
        <w:top w:val="none" w:sz="0" w:space="0" w:color="auto"/>
        <w:left w:val="none" w:sz="0" w:space="0" w:color="auto"/>
        <w:bottom w:val="none" w:sz="0" w:space="0" w:color="auto"/>
        <w:right w:val="none" w:sz="0" w:space="0" w:color="auto"/>
      </w:divBdr>
      <w:divsChild>
        <w:div w:id="1904363987">
          <w:marLeft w:val="0"/>
          <w:marRight w:val="0"/>
          <w:marTop w:val="0"/>
          <w:marBottom w:val="0"/>
          <w:divBdr>
            <w:top w:val="none" w:sz="0" w:space="0" w:color="auto"/>
            <w:left w:val="none" w:sz="0" w:space="0" w:color="auto"/>
            <w:bottom w:val="none" w:sz="0" w:space="0" w:color="auto"/>
            <w:right w:val="none" w:sz="0" w:space="0" w:color="auto"/>
          </w:divBdr>
          <w:divsChild>
            <w:div w:id="1204294193">
              <w:marLeft w:val="0"/>
              <w:marRight w:val="0"/>
              <w:marTop w:val="0"/>
              <w:marBottom w:val="0"/>
              <w:divBdr>
                <w:top w:val="none" w:sz="0" w:space="0" w:color="auto"/>
                <w:left w:val="none" w:sz="0" w:space="0" w:color="auto"/>
                <w:bottom w:val="none" w:sz="0" w:space="0" w:color="auto"/>
                <w:right w:val="none" w:sz="0" w:space="0" w:color="auto"/>
              </w:divBdr>
              <w:divsChild>
                <w:div w:id="1501462252">
                  <w:marLeft w:val="0"/>
                  <w:marRight w:val="0"/>
                  <w:marTop w:val="0"/>
                  <w:marBottom w:val="0"/>
                  <w:divBdr>
                    <w:top w:val="none" w:sz="0" w:space="0" w:color="auto"/>
                    <w:left w:val="none" w:sz="0" w:space="0" w:color="auto"/>
                    <w:bottom w:val="none" w:sz="0" w:space="0" w:color="auto"/>
                    <w:right w:val="none" w:sz="0" w:space="0" w:color="auto"/>
                  </w:divBdr>
                  <w:divsChild>
                    <w:div w:id="25721740">
                      <w:marLeft w:val="0"/>
                      <w:marRight w:val="0"/>
                      <w:marTop w:val="0"/>
                      <w:marBottom w:val="0"/>
                      <w:divBdr>
                        <w:top w:val="none" w:sz="0" w:space="0" w:color="auto"/>
                        <w:left w:val="none" w:sz="0" w:space="0" w:color="auto"/>
                        <w:bottom w:val="none" w:sz="0" w:space="0" w:color="auto"/>
                        <w:right w:val="none" w:sz="0" w:space="0" w:color="auto"/>
                      </w:divBdr>
                      <w:divsChild>
                        <w:div w:id="481972837">
                          <w:marLeft w:val="0"/>
                          <w:marRight w:val="0"/>
                          <w:marTop w:val="0"/>
                          <w:marBottom w:val="0"/>
                          <w:divBdr>
                            <w:top w:val="none" w:sz="0" w:space="0" w:color="auto"/>
                            <w:left w:val="none" w:sz="0" w:space="0" w:color="auto"/>
                            <w:bottom w:val="none" w:sz="0" w:space="0" w:color="auto"/>
                            <w:right w:val="none" w:sz="0" w:space="0" w:color="auto"/>
                          </w:divBdr>
                          <w:divsChild>
                            <w:div w:id="1907836994">
                              <w:marLeft w:val="0"/>
                              <w:marRight w:val="0"/>
                              <w:marTop w:val="0"/>
                              <w:marBottom w:val="0"/>
                              <w:divBdr>
                                <w:top w:val="none" w:sz="0" w:space="0" w:color="auto"/>
                                <w:left w:val="none" w:sz="0" w:space="0" w:color="auto"/>
                                <w:bottom w:val="none" w:sz="0" w:space="0" w:color="auto"/>
                                <w:right w:val="none" w:sz="0" w:space="0" w:color="auto"/>
                              </w:divBdr>
                              <w:divsChild>
                                <w:div w:id="28923796">
                                  <w:marLeft w:val="0"/>
                                  <w:marRight w:val="0"/>
                                  <w:marTop w:val="0"/>
                                  <w:marBottom w:val="0"/>
                                  <w:divBdr>
                                    <w:top w:val="none" w:sz="0" w:space="0" w:color="auto"/>
                                    <w:left w:val="none" w:sz="0" w:space="0" w:color="auto"/>
                                    <w:bottom w:val="none" w:sz="0" w:space="0" w:color="auto"/>
                                    <w:right w:val="none" w:sz="0" w:space="0" w:color="auto"/>
                                  </w:divBdr>
                                </w:div>
                              </w:divsChild>
                            </w:div>
                            <w:div w:id="665936875">
                              <w:marLeft w:val="0"/>
                              <w:marRight w:val="0"/>
                              <w:marTop w:val="109"/>
                              <w:marBottom w:val="0"/>
                              <w:divBdr>
                                <w:top w:val="none" w:sz="0" w:space="0" w:color="auto"/>
                                <w:left w:val="none" w:sz="0" w:space="0" w:color="auto"/>
                                <w:bottom w:val="none" w:sz="0" w:space="0" w:color="auto"/>
                                <w:right w:val="none" w:sz="0" w:space="0" w:color="auto"/>
                              </w:divBdr>
                              <w:divsChild>
                                <w:div w:id="515853018">
                                  <w:marLeft w:val="0"/>
                                  <w:marRight w:val="240"/>
                                  <w:marTop w:val="0"/>
                                  <w:marBottom w:val="0"/>
                                  <w:divBdr>
                                    <w:top w:val="none" w:sz="0" w:space="0" w:color="auto"/>
                                    <w:left w:val="none" w:sz="0" w:space="0" w:color="auto"/>
                                    <w:bottom w:val="none" w:sz="0" w:space="0" w:color="auto"/>
                                    <w:right w:val="none" w:sz="0" w:space="0" w:color="auto"/>
                                  </w:divBdr>
                                </w:div>
                                <w:div w:id="716853385">
                                  <w:marLeft w:val="0"/>
                                  <w:marRight w:val="240"/>
                                  <w:marTop w:val="0"/>
                                  <w:marBottom w:val="0"/>
                                  <w:divBdr>
                                    <w:top w:val="none" w:sz="0" w:space="0" w:color="auto"/>
                                    <w:left w:val="none" w:sz="0" w:space="0" w:color="auto"/>
                                    <w:bottom w:val="none" w:sz="0" w:space="0" w:color="auto"/>
                                    <w:right w:val="none" w:sz="0" w:space="0" w:color="auto"/>
                                  </w:divBdr>
                                </w:div>
                              </w:divsChild>
                            </w:div>
                            <w:div w:id="1658605573">
                              <w:marLeft w:val="0"/>
                              <w:marRight w:val="0"/>
                              <w:marTop w:val="0"/>
                              <w:marBottom w:val="0"/>
                              <w:divBdr>
                                <w:top w:val="none" w:sz="0" w:space="0" w:color="auto"/>
                                <w:left w:val="none" w:sz="0" w:space="0" w:color="auto"/>
                                <w:bottom w:val="none" w:sz="0" w:space="0" w:color="auto"/>
                                <w:right w:val="none" w:sz="0" w:space="0" w:color="auto"/>
                              </w:divBdr>
                            </w:div>
                            <w:div w:id="1699311795">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1569450">
      <w:bodyDiv w:val="1"/>
      <w:marLeft w:val="0"/>
      <w:marRight w:val="0"/>
      <w:marTop w:val="0"/>
      <w:marBottom w:val="0"/>
      <w:divBdr>
        <w:top w:val="none" w:sz="0" w:space="0" w:color="auto"/>
        <w:left w:val="none" w:sz="0" w:space="0" w:color="auto"/>
        <w:bottom w:val="none" w:sz="0" w:space="0" w:color="auto"/>
        <w:right w:val="none" w:sz="0" w:space="0" w:color="auto"/>
      </w:divBdr>
      <w:divsChild>
        <w:div w:id="1763448192">
          <w:marLeft w:val="0"/>
          <w:marRight w:val="0"/>
          <w:marTop w:val="0"/>
          <w:marBottom w:val="0"/>
          <w:divBdr>
            <w:top w:val="none" w:sz="0" w:space="0" w:color="auto"/>
            <w:left w:val="none" w:sz="0" w:space="0" w:color="auto"/>
            <w:bottom w:val="none" w:sz="0" w:space="0" w:color="auto"/>
            <w:right w:val="none" w:sz="0" w:space="0" w:color="auto"/>
          </w:divBdr>
          <w:divsChild>
            <w:div w:id="888538212">
              <w:marLeft w:val="0"/>
              <w:marRight w:val="0"/>
              <w:marTop w:val="0"/>
              <w:marBottom w:val="0"/>
              <w:divBdr>
                <w:top w:val="none" w:sz="0" w:space="0" w:color="auto"/>
                <w:left w:val="none" w:sz="0" w:space="0" w:color="auto"/>
                <w:bottom w:val="none" w:sz="0" w:space="0" w:color="auto"/>
                <w:right w:val="none" w:sz="0" w:space="0" w:color="auto"/>
              </w:divBdr>
              <w:divsChild>
                <w:div w:id="1363087776">
                  <w:marLeft w:val="0"/>
                  <w:marRight w:val="0"/>
                  <w:marTop w:val="0"/>
                  <w:marBottom w:val="0"/>
                  <w:divBdr>
                    <w:top w:val="none" w:sz="0" w:space="0" w:color="auto"/>
                    <w:left w:val="none" w:sz="0" w:space="0" w:color="auto"/>
                    <w:bottom w:val="none" w:sz="0" w:space="0" w:color="auto"/>
                    <w:right w:val="none" w:sz="0" w:space="0" w:color="auto"/>
                  </w:divBdr>
                  <w:divsChild>
                    <w:div w:id="862283231">
                      <w:marLeft w:val="0"/>
                      <w:marRight w:val="0"/>
                      <w:marTop w:val="0"/>
                      <w:marBottom w:val="0"/>
                      <w:divBdr>
                        <w:top w:val="none" w:sz="0" w:space="0" w:color="auto"/>
                        <w:left w:val="none" w:sz="0" w:space="0" w:color="auto"/>
                        <w:bottom w:val="none" w:sz="0" w:space="0" w:color="auto"/>
                        <w:right w:val="none" w:sz="0" w:space="0" w:color="auto"/>
                      </w:divBdr>
                      <w:divsChild>
                        <w:div w:id="1461260280">
                          <w:marLeft w:val="0"/>
                          <w:marRight w:val="0"/>
                          <w:marTop w:val="0"/>
                          <w:marBottom w:val="0"/>
                          <w:divBdr>
                            <w:top w:val="none" w:sz="0" w:space="0" w:color="auto"/>
                            <w:left w:val="none" w:sz="0" w:space="0" w:color="auto"/>
                            <w:bottom w:val="none" w:sz="0" w:space="0" w:color="auto"/>
                            <w:right w:val="none" w:sz="0" w:space="0" w:color="auto"/>
                          </w:divBdr>
                          <w:divsChild>
                            <w:div w:id="1833641932">
                              <w:marLeft w:val="0"/>
                              <w:marRight w:val="0"/>
                              <w:marTop w:val="0"/>
                              <w:marBottom w:val="0"/>
                              <w:divBdr>
                                <w:top w:val="none" w:sz="0" w:space="0" w:color="auto"/>
                                <w:left w:val="none" w:sz="0" w:space="0" w:color="auto"/>
                                <w:bottom w:val="none" w:sz="0" w:space="0" w:color="auto"/>
                                <w:right w:val="none" w:sz="0" w:space="0" w:color="auto"/>
                              </w:divBdr>
                              <w:divsChild>
                                <w:div w:id="179281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71663991">
      <w:bodyDiv w:val="1"/>
      <w:marLeft w:val="0"/>
      <w:marRight w:val="0"/>
      <w:marTop w:val="0"/>
      <w:marBottom w:val="0"/>
      <w:divBdr>
        <w:top w:val="none" w:sz="0" w:space="0" w:color="auto"/>
        <w:left w:val="none" w:sz="0" w:space="0" w:color="auto"/>
        <w:bottom w:val="none" w:sz="0" w:space="0" w:color="auto"/>
        <w:right w:val="none" w:sz="0" w:space="0" w:color="auto"/>
      </w:divBdr>
    </w:div>
    <w:div w:id="1281837181">
      <w:bodyDiv w:val="1"/>
      <w:marLeft w:val="0"/>
      <w:marRight w:val="0"/>
      <w:marTop w:val="0"/>
      <w:marBottom w:val="0"/>
      <w:divBdr>
        <w:top w:val="none" w:sz="0" w:space="0" w:color="auto"/>
        <w:left w:val="none" w:sz="0" w:space="0" w:color="auto"/>
        <w:bottom w:val="none" w:sz="0" w:space="0" w:color="auto"/>
        <w:right w:val="none" w:sz="0" w:space="0" w:color="auto"/>
      </w:divBdr>
      <w:divsChild>
        <w:div w:id="1276444884">
          <w:marLeft w:val="0"/>
          <w:marRight w:val="0"/>
          <w:marTop w:val="0"/>
          <w:marBottom w:val="0"/>
          <w:divBdr>
            <w:top w:val="none" w:sz="0" w:space="0" w:color="auto"/>
            <w:left w:val="none" w:sz="0" w:space="0" w:color="auto"/>
            <w:bottom w:val="none" w:sz="0" w:space="0" w:color="auto"/>
            <w:right w:val="none" w:sz="0" w:space="0" w:color="auto"/>
          </w:divBdr>
          <w:divsChild>
            <w:div w:id="1675301281">
              <w:marLeft w:val="0"/>
              <w:marRight w:val="0"/>
              <w:marTop w:val="0"/>
              <w:marBottom w:val="0"/>
              <w:divBdr>
                <w:top w:val="none" w:sz="0" w:space="0" w:color="auto"/>
                <w:left w:val="none" w:sz="0" w:space="0" w:color="auto"/>
                <w:bottom w:val="none" w:sz="0" w:space="0" w:color="auto"/>
                <w:right w:val="none" w:sz="0" w:space="0" w:color="auto"/>
              </w:divBdr>
              <w:divsChild>
                <w:div w:id="618031978">
                  <w:marLeft w:val="0"/>
                  <w:marRight w:val="0"/>
                  <w:marTop w:val="0"/>
                  <w:marBottom w:val="0"/>
                  <w:divBdr>
                    <w:top w:val="none" w:sz="0" w:space="0" w:color="auto"/>
                    <w:left w:val="none" w:sz="0" w:space="0" w:color="auto"/>
                    <w:bottom w:val="none" w:sz="0" w:space="0" w:color="auto"/>
                    <w:right w:val="none" w:sz="0" w:space="0" w:color="auto"/>
                  </w:divBdr>
                  <w:divsChild>
                    <w:div w:id="1517965148">
                      <w:marLeft w:val="0"/>
                      <w:marRight w:val="0"/>
                      <w:marTop w:val="0"/>
                      <w:marBottom w:val="0"/>
                      <w:divBdr>
                        <w:top w:val="none" w:sz="0" w:space="0" w:color="auto"/>
                        <w:left w:val="none" w:sz="0" w:space="0" w:color="auto"/>
                        <w:bottom w:val="none" w:sz="0" w:space="0" w:color="auto"/>
                        <w:right w:val="none" w:sz="0" w:space="0" w:color="auto"/>
                      </w:divBdr>
                      <w:divsChild>
                        <w:div w:id="497576766">
                          <w:marLeft w:val="0"/>
                          <w:marRight w:val="0"/>
                          <w:marTop w:val="0"/>
                          <w:marBottom w:val="0"/>
                          <w:divBdr>
                            <w:top w:val="none" w:sz="0" w:space="0" w:color="auto"/>
                            <w:left w:val="none" w:sz="0" w:space="0" w:color="auto"/>
                            <w:bottom w:val="none" w:sz="0" w:space="0" w:color="auto"/>
                            <w:right w:val="none" w:sz="0" w:space="0" w:color="auto"/>
                          </w:divBdr>
                          <w:divsChild>
                            <w:div w:id="770659258">
                              <w:marLeft w:val="0"/>
                              <w:marRight w:val="0"/>
                              <w:marTop w:val="0"/>
                              <w:marBottom w:val="0"/>
                              <w:divBdr>
                                <w:top w:val="none" w:sz="0" w:space="0" w:color="auto"/>
                                <w:left w:val="none" w:sz="0" w:space="0" w:color="auto"/>
                                <w:bottom w:val="none" w:sz="0" w:space="0" w:color="auto"/>
                                <w:right w:val="none" w:sz="0" w:space="0" w:color="auto"/>
                              </w:divBdr>
                              <w:divsChild>
                                <w:div w:id="202258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2685862">
      <w:bodyDiv w:val="1"/>
      <w:marLeft w:val="0"/>
      <w:marRight w:val="0"/>
      <w:marTop w:val="0"/>
      <w:marBottom w:val="0"/>
      <w:divBdr>
        <w:top w:val="none" w:sz="0" w:space="0" w:color="auto"/>
        <w:left w:val="none" w:sz="0" w:space="0" w:color="auto"/>
        <w:bottom w:val="none" w:sz="0" w:space="0" w:color="auto"/>
        <w:right w:val="none" w:sz="0" w:space="0" w:color="auto"/>
      </w:divBdr>
      <w:divsChild>
        <w:div w:id="938827438">
          <w:marLeft w:val="0"/>
          <w:marRight w:val="0"/>
          <w:marTop w:val="0"/>
          <w:marBottom w:val="0"/>
          <w:divBdr>
            <w:top w:val="none" w:sz="0" w:space="0" w:color="auto"/>
            <w:left w:val="none" w:sz="0" w:space="0" w:color="auto"/>
            <w:bottom w:val="none" w:sz="0" w:space="0" w:color="auto"/>
            <w:right w:val="none" w:sz="0" w:space="0" w:color="auto"/>
          </w:divBdr>
          <w:divsChild>
            <w:div w:id="499198325">
              <w:marLeft w:val="0"/>
              <w:marRight w:val="0"/>
              <w:marTop w:val="0"/>
              <w:marBottom w:val="0"/>
              <w:divBdr>
                <w:top w:val="none" w:sz="0" w:space="0" w:color="auto"/>
                <w:left w:val="none" w:sz="0" w:space="0" w:color="auto"/>
                <w:bottom w:val="none" w:sz="0" w:space="0" w:color="auto"/>
                <w:right w:val="none" w:sz="0" w:space="0" w:color="auto"/>
              </w:divBdr>
            </w:div>
            <w:div w:id="967010749">
              <w:marLeft w:val="0"/>
              <w:marRight w:val="0"/>
              <w:marTop w:val="0"/>
              <w:marBottom w:val="0"/>
              <w:divBdr>
                <w:top w:val="none" w:sz="0" w:space="0" w:color="auto"/>
                <w:left w:val="none" w:sz="0" w:space="0" w:color="auto"/>
                <w:bottom w:val="none" w:sz="0" w:space="0" w:color="auto"/>
                <w:right w:val="none" w:sz="0" w:space="0" w:color="auto"/>
              </w:divBdr>
            </w:div>
            <w:div w:id="2105101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742620">
      <w:bodyDiv w:val="1"/>
      <w:marLeft w:val="0"/>
      <w:marRight w:val="0"/>
      <w:marTop w:val="0"/>
      <w:marBottom w:val="0"/>
      <w:divBdr>
        <w:top w:val="none" w:sz="0" w:space="0" w:color="auto"/>
        <w:left w:val="none" w:sz="0" w:space="0" w:color="auto"/>
        <w:bottom w:val="none" w:sz="0" w:space="0" w:color="auto"/>
        <w:right w:val="none" w:sz="0" w:space="0" w:color="auto"/>
      </w:divBdr>
    </w:div>
    <w:div w:id="1312516379">
      <w:bodyDiv w:val="1"/>
      <w:marLeft w:val="0"/>
      <w:marRight w:val="0"/>
      <w:marTop w:val="0"/>
      <w:marBottom w:val="0"/>
      <w:divBdr>
        <w:top w:val="none" w:sz="0" w:space="0" w:color="auto"/>
        <w:left w:val="none" w:sz="0" w:space="0" w:color="auto"/>
        <w:bottom w:val="none" w:sz="0" w:space="0" w:color="auto"/>
        <w:right w:val="none" w:sz="0" w:space="0" w:color="auto"/>
      </w:divBdr>
    </w:div>
    <w:div w:id="1356269716">
      <w:bodyDiv w:val="1"/>
      <w:marLeft w:val="0"/>
      <w:marRight w:val="0"/>
      <w:marTop w:val="0"/>
      <w:marBottom w:val="0"/>
      <w:divBdr>
        <w:top w:val="none" w:sz="0" w:space="0" w:color="auto"/>
        <w:left w:val="none" w:sz="0" w:space="0" w:color="auto"/>
        <w:bottom w:val="none" w:sz="0" w:space="0" w:color="auto"/>
        <w:right w:val="none" w:sz="0" w:space="0" w:color="auto"/>
      </w:divBdr>
    </w:div>
    <w:div w:id="1365667144">
      <w:bodyDiv w:val="1"/>
      <w:marLeft w:val="0"/>
      <w:marRight w:val="0"/>
      <w:marTop w:val="0"/>
      <w:marBottom w:val="0"/>
      <w:divBdr>
        <w:top w:val="none" w:sz="0" w:space="0" w:color="auto"/>
        <w:left w:val="none" w:sz="0" w:space="0" w:color="auto"/>
        <w:bottom w:val="none" w:sz="0" w:space="0" w:color="auto"/>
        <w:right w:val="none" w:sz="0" w:space="0" w:color="auto"/>
      </w:divBdr>
      <w:divsChild>
        <w:div w:id="1022903169">
          <w:marLeft w:val="0"/>
          <w:marRight w:val="0"/>
          <w:marTop w:val="0"/>
          <w:marBottom w:val="0"/>
          <w:divBdr>
            <w:top w:val="none" w:sz="0" w:space="0" w:color="auto"/>
            <w:left w:val="none" w:sz="0" w:space="0" w:color="auto"/>
            <w:bottom w:val="none" w:sz="0" w:space="0" w:color="auto"/>
            <w:right w:val="none" w:sz="0" w:space="0" w:color="auto"/>
          </w:divBdr>
          <w:divsChild>
            <w:div w:id="32117219">
              <w:marLeft w:val="0"/>
              <w:marRight w:val="0"/>
              <w:marTop w:val="0"/>
              <w:marBottom w:val="0"/>
              <w:divBdr>
                <w:top w:val="none" w:sz="0" w:space="0" w:color="auto"/>
                <w:left w:val="none" w:sz="0" w:space="0" w:color="auto"/>
                <w:bottom w:val="none" w:sz="0" w:space="0" w:color="auto"/>
                <w:right w:val="none" w:sz="0" w:space="0" w:color="auto"/>
              </w:divBdr>
              <w:divsChild>
                <w:div w:id="807087197">
                  <w:marLeft w:val="0"/>
                  <w:marRight w:val="0"/>
                  <w:marTop w:val="0"/>
                  <w:marBottom w:val="0"/>
                  <w:divBdr>
                    <w:top w:val="none" w:sz="0" w:space="0" w:color="auto"/>
                    <w:left w:val="none" w:sz="0" w:space="0" w:color="auto"/>
                    <w:bottom w:val="none" w:sz="0" w:space="0" w:color="auto"/>
                    <w:right w:val="none" w:sz="0" w:space="0" w:color="auto"/>
                  </w:divBdr>
                  <w:divsChild>
                    <w:div w:id="2092727943">
                      <w:marLeft w:val="0"/>
                      <w:marRight w:val="0"/>
                      <w:marTop w:val="0"/>
                      <w:marBottom w:val="0"/>
                      <w:divBdr>
                        <w:top w:val="none" w:sz="0" w:space="0" w:color="auto"/>
                        <w:left w:val="none" w:sz="0" w:space="0" w:color="auto"/>
                        <w:bottom w:val="none" w:sz="0" w:space="0" w:color="auto"/>
                        <w:right w:val="none" w:sz="0" w:space="0" w:color="auto"/>
                      </w:divBdr>
                      <w:divsChild>
                        <w:div w:id="1102798921">
                          <w:marLeft w:val="0"/>
                          <w:marRight w:val="0"/>
                          <w:marTop w:val="0"/>
                          <w:marBottom w:val="0"/>
                          <w:divBdr>
                            <w:top w:val="none" w:sz="0" w:space="0" w:color="auto"/>
                            <w:left w:val="none" w:sz="0" w:space="0" w:color="auto"/>
                            <w:bottom w:val="none" w:sz="0" w:space="0" w:color="auto"/>
                            <w:right w:val="none" w:sz="0" w:space="0" w:color="auto"/>
                          </w:divBdr>
                          <w:divsChild>
                            <w:div w:id="1156262620">
                              <w:marLeft w:val="0"/>
                              <w:marRight w:val="0"/>
                              <w:marTop w:val="0"/>
                              <w:marBottom w:val="0"/>
                              <w:divBdr>
                                <w:top w:val="none" w:sz="0" w:space="0" w:color="auto"/>
                                <w:left w:val="none" w:sz="0" w:space="0" w:color="auto"/>
                                <w:bottom w:val="none" w:sz="0" w:space="0" w:color="auto"/>
                                <w:right w:val="none" w:sz="0" w:space="0" w:color="auto"/>
                              </w:divBdr>
                              <w:divsChild>
                                <w:div w:id="38340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5857600">
      <w:bodyDiv w:val="1"/>
      <w:marLeft w:val="0"/>
      <w:marRight w:val="0"/>
      <w:marTop w:val="0"/>
      <w:marBottom w:val="0"/>
      <w:divBdr>
        <w:top w:val="none" w:sz="0" w:space="0" w:color="auto"/>
        <w:left w:val="none" w:sz="0" w:space="0" w:color="auto"/>
        <w:bottom w:val="none" w:sz="0" w:space="0" w:color="auto"/>
        <w:right w:val="none" w:sz="0" w:space="0" w:color="auto"/>
      </w:divBdr>
      <w:divsChild>
        <w:div w:id="1889995158">
          <w:marLeft w:val="0"/>
          <w:marRight w:val="0"/>
          <w:marTop w:val="0"/>
          <w:marBottom w:val="0"/>
          <w:divBdr>
            <w:top w:val="none" w:sz="0" w:space="0" w:color="auto"/>
            <w:left w:val="none" w:sz="0" w:space="0" w:color="auto"/>
            <w:bottom w:val="none" w:sz="0" w:space="0" w:color="auto"/>
            <w:right w:val="none" w:sz="0" w:space="0" w:color="auto"/>
          </w:divBdr>
          <w:divsChild>
            <w:div w:id="940843664">
              <w:marLeft w:val="0"/>
              <w:marRight w:val="0"/>
              <w:marTop w:val="0"/>
              <w:marBottom w:val="0"/>
              <w:divBdr>
                <w:top w:val="none" w:sz="0" w:space="0" w:color="auto"/>
                <w:left w:val="none" w:sz="0" w:space="0" w:color="auto"/>
                <w:bottom w:val="none" w:sz="0" w:space="0" w:color="auto"/>
                <w:right w:val="none" w:sz="0" w:space="0" w:color="auto"/>
              </w:divBdr>
              <w:divsChild>
                <w:div w:id="761757556">
                  <w:marLeft w:val="2928"/>
                  <w:marRight w:val="0"/>
                  <w:marTop w:val="720"/>
                  <w:marBottom w:val="0"/>
                  <w:divBdr>
                    <w:top w:val="none" w:sz="0" w:space="0" w:color="auto"/>
                    <w:left w:val="none" w:sz="0" w:space="0" w:color="auto"/>
                    <w:bottom w:val="none" w:sz="0" w:space="0" w:color="auto"/>
                    <w:right w:val="none" w:sz="0" w:space="0" w:color="auto"/>
                  </w:divBdr>
                  <w:divsChild>
                    <w:div w:id="1241060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9810402">
      <w:bodyDiv w:val="1"/>
      <w:marLeft w:val="0"/>
      <w:marRight w:val="0"/>
      <w:marTop w:val="0"/>
      <w:marBottom w:val="0"/>
      <w:divBdr>
        <w:top w:val="none" w:sz="0" w:space="0" w:color="auto"/>
        <w:left w:val="none" w:sz="0" w:space="0" w:color="auto"/>
        <w:bottom w:val="none" w:sz="0" w:space="0" w:color="auto"/>
        <w:right w:val="none" w:sz="0" w:space="0" w:color="auto"/>
      </w:divBdr>
      <w:divsChild>
        <w:div w:id="809709694">
          <w:marLeft w:val="0"/>
          <w:marRight w:val="0"/>
          <w:marTop w:val="0"/>
          <w:marBottom w:val="0"/>
          <w:divBdr>
            <w:top w:val="none" w:sz="0" w:space="0" w:color="auto"/>
            <w:left w:val="none" w:sz="0" w:space="0" w:color="auto"/>
            <w:bottom w:val="none" w:sz="0" w:space="0" w:color="auto"/>
            <w:right w:val="none" w:sz="0" w:space="0" w:color="auto"/>
          </w:divBdr>
        </w:div>
      </w:divsChild>
    </w:div>
    <w:div w:id="1462384772">
      <w:bodyDiv w:val="1"/>
      <w:marLeft w:val="0"/>
      <w:marRight w:val="0"/>
      <w:marTop w:val="0"/>
      <w:marBottom w:val="0"/>
      <w:divBdr>
        <w:top w:val="none" w:sz="0" w:space="0" w:color="auto"/>
        <w:left w:val="none" w:sz="0" w:space="0" w:color="auto"/>
        <w:bottom w:val="none" w:sz="0" w:space="0" w:color="auto"/>
        <w:right w:val="none" w:sz="0" w:space="0" w:color="auto"/>
      </w:divBdr>
    </w:div>
    <w:div w:id="1513107458">
      <w:bodyDiv w:val="1"/>
      <w:marLeft w:val="0"/>
      <w:marRight w:val="0"/>
      <w:marTop w:val="0"/>
      <w:marBottom w:val="0"/>
      <w:divBdr>
        <w:top w:val="none" w:sz="0" w:space="0" w:color="auto"/>
        <w:left w:val="none" w:sz="0" w:space="0" w:color="auto"/>
        <w:bottom w:val="none" w:sz="0" w:space="0" w:color="auto"/>
        <w:right w:val="none" w:sz="0" w:space="0" w:color="auto"/>
      </w:divBdr>
      <w:divsChild>
        <w:div w:id="1440642419">
          <w:marLeft w:val="0"/>
          <w:marRight w:val="0"/>
          <w:marTop w:val="0"/>
          <w:marBottom w:val="0"/>
          <w:divBdr>
            <w:top w:val="none" w:sz="0" w:space="0" w:color="auto"/>
            <w:left w:val="none" w:sz="0" w:space="0" w:color="auto"/>
            <w:bottom w:val="none" w:sz="0" w:space="0" w:color="auto"/>
            <w:right w:val="none" w:sz="0" w:space="0" w:color="auto"/>
          </w:divBdr>
          <w:divsChild>
            <w:div w:id="1531986971">
              <w:marLeft w:val="0"/>
              <w:marRight w:val="0"/>
              <w:marTop w:val="0"/>
              <w:marBottom w:val="0"/>
              <w:divBdr>
                <w:top w:val="none" w:sz="0" w:space="0" w:color="auto"/>
                <w:left w:val="none" w:sz="0" w:space="0" w:color="auto"/>
                <w:bottom w:val="none" w:sz="0" w:space="0" w:color="auto"/>
                <w:right w:val="none" w:sz="0" w:space="0" w:color="auto"/>
              </w:divBdr>
              <w:divsChild>
                <w:div w:id="1302347833">
                  <w:marLeft w:val="0"/>
                  <w:marRight w:val="0"/>
                  <w:marTop w:val="0"/>
                  <w:marBottom w:val="0"/>
                  <w:divBdr>
                    <w:top w:val="none" w:sz="0" w:space="0" w:color="auto"/>
                    <w:left w:val="none" w:sz="0" w:space="0" w:color="auto"/>
                    <w:bottom w:val="none" w:sz="0" w:space="0" w:color="auto"/>
                    <w:right w:val="none" w:sz="0" w:space="0" w:color="auto"/>
                  </w:divBdr>
                  <w:divsChild>
                    <w:div w:id="83575327">
                      <w:marLeft w:val="0"/>
                      <w:marRight w:val="0"/>
                      <w:marTop w:val="0"/>
                      <w:marBottom w:val="0"/>
                      <w:divBdr>
                        <w:top w:val="none" w:sz="0" w:space="0" w:color="auto"/>
                        <w:left w:val="none" w:sz="0" w:space="0" w:color="auto"/>
                        <w:bottom w:val="none" w:sz="0" w:space="0" w:color="auto"/>
                        <w:right w:val="none" w:sz="0" w:space="0" w:color="auto"/>
                      </w:divBdr>
                      <w:divsChild>
                        <w:div w:id="8064034">
                          <w:marLeft w:val="0"/>
                          <w:marRight w:val="0"/>
                          <w:marTop w:val="0"/>
                          <w:marBottom w:val="0"/>
                          <w:divBdr>
                            <w:top w:val="none" w:sz="0" w:space="0" w:color="auto"/>
                            <w:left w:val="none" w:sz="0" w:space="0" w:color="auto"/>
                            <w:bottom w:val="none" w:sz="0" w:space="0" w:color="auto"/>
                            <w:right w:val="none" w:sz="0" w:space="0" w:color="auto"/>
                          </w:divBdr>
                          <w:divsChild>
                            <w:div w:id="1164972927">
                              <w:marLeft w:val="0"/>
                              <w:marRight w:val="0"/>
                              <w:marTop w:val="0"/>
                              <w:marBottom w:val="0"/>
                              <w:divBdr>
                                <w:top w:val="none" w:sz="0" w:space="0" w:color="auto"/>
                                <w:left w:val="none" w:sz="0" w:space="0" w:color="auto"/>
                                <w:bottom w:val="none" w:sz="0" w:space="0" w:color="auto"/>
                                <w:right w:val="none" w:sz="0" w:space="0" w:color="auto"/>
                              </w:divBdr>
                              <w:divsChild>
                                <w:div w:id="18471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6698061">
      <w:bodyDiv w:val="1"/>
      <w:marLeft w:val="0"/>
      <w:marRight w:val="0"/>
      <w:marTop w:val="0"/>
      <w:marBottom w:val="0"/>
      <w:divBdr>
        <w:top w:val="none" w:sz="0" w:space="0" w:color="auto"/>
        <w:left w:val="none" w:sz="0" w:space="0" w:color="auto"/>
        <w:bottom w:val="none" w:sz="0" w:space="0" w:color="auto"/>
        <w:right w:val="none" w:sz="0" w:space="0" w:color="auto"/>
      </w:divBdr>
    </w:div>
    <w:div w:id="1587806801">
      <w:bodyDiv w:val="1"/>
      <w:marLeft w:val="0"/>
      <w:marRight w:val="0"/>
      <w:marTop w:val="0"/>
      <w:marBottom w:val="0"/>
      <w:divBdr>
        <w:top w:val="none" w:sz="0" w:space="0" w:color="auto"/>
        <w:left w:val="none" w:sz="0" w:space="0" w:color="auto"/>
        <w:bottom w:val="none" w:sz="0" w:space="0" w:color="auto"/>
        <w:right w:val="none" w:sz="0" w:space="0" w:color="auto"/>
      </w:divBdr>
      <w:divsChild>
        <w:div w:id="1105928937">
          <w:marLeft w:val="0"/>
          <w:marRight w:val="0"/>
          <w:marTop w:val="0"/>
          <w:marBottom w:val="0"/>
          <w:divBdr>
            <w:top w:val="none" w:sz="0" w:space="0" w:color="auto"/>
            <w:left w:val="none" w:sz="0" w:space="0" w:color="auto"/>
            <w:bottom w:val="none" w:sz="0" w:space="0" w:color="auto"/>
            <w:right w:val="none" w:sz="0" w:space="0" w:color="auto"/>
          </w:divBdr>
          <w:divsChild>
            <w:div w:id="621495886">
              <w:marLeft w:val="0"/>
              <w:marRight w:val="0"/>
              <w:marTop w:val="0"/>
              <w:marBottom w:val="0"/>
              <w:divBdr>
                <w:top w:val="none" w:sz="0" w:space="0" w:color="auto"/>
                <w:left w:val="none" w:sz="0" w:space="0" w:color="auto"/>
                <w:bottom w:val="none" w:sz="0" w:space="0" w:color="auto"/>
                <w:right w:val="none" w:sz="0" w:space="0" w:color="auto"/>
              </w:divBdr>
              <w:divsChild>
                <w:div w:id="472986705">
                  <w:marLeft w:val="0"/>
                  <w:marRight w:val="0"/>
                  <w:marTop w:val="0"/>
                  <w:marBottom w:val="0"/>
                  <w:divBdr>
                    <w:top w:val="none" w:sz="0" w:space="0" w:color="auto"/>
                    <w:left w:val="none" w:sz="0" w:space="0" w:color="auto"/>
                    <w:bottom w:val="none" w:sz="0" w:space="0" w:color="auto"/>
                    <w:right w:val="none" w:sz="0" w:space="0" w:color="auto"/>
                  </w:divBdr>
                  <w:divsChild>
                    <w:div w:id="732966789">
                      <w:marLeft w:val="0"/>
                      <w:marRight w:val="0"/>
                      <w:marTop w:val="0"/>
                      <w:marBottom w:val="0"/>
                      <w:divBdr>
                        <w:top w:val="none" w:sz="0" w:space="0" w:color="auto"/>
                        <w:left w:val="none" w:sz="0" w:space="0" w:color="auto"/>
                        <w:bottom w:val="none" w:sz="0" w:space="0" w:color="auto"/>
                        <w:right w:val="none" w:sz="0" w:space="0" w:color="auto"/>
                      </w:divBdr>
                      <w:divsChild>
                        <w:div w:id="2017801424">
                          <w:marLeft w:val="0"/>
                          <w:marRight w:val="0"/>
                          <w:marTop w:val="0"/>
                          <w:marBottom w:val="0"/>
                          <w:divBdr>
                            <w:top w:val="none" w:sz="0" w:space="0" w:color="auto"/>
                            <w:left w:val="none" w:sz="0" w:space="0" w:color="auto"/>
                            <w:bottom w:val="none" w:sz="0" w:space="0" w:color="auto"/>
                            <w:right w:val="none" w:sz="0" w:space="0" w:color="auto"/>
                          </w:divBdr>
                          <w:divsChild>
                            <w:div w:id="1948583686">
                              <w:marLeft w:val="0"/>
                              <w:marRight w:val="0"/>
                              <w:marTop w:val="0"/>
                              <w:marBottom w:val="0"/>
                              <w:divBdr>
                                <w:top w:val="none" w:sz="0" w:space="0" w:color="auto"/>
                                <w:left w:val="none" w:sz="0" w:space="0" w:color="auto"/>
                                <w:bottom w:val="none" w:sz="0" w:space="0" w:color="auto"/>
                                <w:right w:val="none" w:sz="0" w:space="0" w:color="auto"/>
                              </w:divBdr>
                              <w:divsChild>
                                <w:div w:id="136336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19793869">
      <w:bodyDiv w:val="1"/>
      <w:marLeft w:val="0"/>
      <w:marRight w:val="0"/>
      <w:marTop w:val="0"/>
      <w:marBottom w:val="0"/>
      <w:divBdr>
        <w:top w:val="none" w:sz="0" w:space="0" w:color="auto"/>
        <w:left w:val="none" w:sz="0" w:space="0" w:color="auto"/>
        <w:bottom w:val="none" w:sz="0" w:space="0" w:color="auto"/>
        <w:right w:val="none" w:sz="0" w:space="0" w:color="auto"/>
      </w:divBdr>
      <w:divsChild>
        <w:div w:id="1965187672">
          <w:marLeft w:val="0"/>
          <w:marRight w:val="0"/>
          <w:marTop w:val="0"/>
          <w:marBottom w:val="0"/>
          <w:divBdr>
            <w:top w:val="none" w:sz="0" w:space="0" w:color="auto"/>
            <w:left w:val="none" w:sz="0" w:space="0" w:color="auto"/>
            <w:bottom w:val="none" w:sz="0" w:space="0" w:color="auto"/>
            <w:right w:val="none" w:sz="0" w:space="0" w:color="auto"/>
          </w:divBdr>
          <w:divsChild>
            <w:div w:id="1430660685">
              <w:marLeft w:val="0"/>
              <w:marRight w:val="0"/>
              <w:marTop w:val="0"/>
              <w:marBottom w:val="0"/>
              <w:divBdr>
                <w:top w:val="none" w:sz="0" w:space="0" w:color="auto"/>
                <w:left w:val="none" w:sz="0" w:space="0" w:color="auto"/>
                <w:bottom w:val="none" w:sz="0" w:space="0" w:color="auto"/>
                <w:right w:val="none" w:sz="0" w:space="0" w:color="auto"/>
              </w:divBdr>
              <w:divsChild>
                <w:div w:id="1594439272">
                  <w:marLeft w:val="0"/>
                  <w:marRight w:val="0"/>
                  <w:marTop w:val="0"/>
                  <w:marBottom w:val="0"/>
                  <w:divBdr>
                    <w:top w:val="none" w:sz="0" w:space="0" w:color="auto"/>
                    <w:left w:val="none" w:sz="0" w:space="0" w:color="auto"/>
                    <w:bottom w:val="none" w:sz="0" w:space="0" w:color="auto"/>
                    <w:right w:val="none" w:sz="0" w:space="0" w:color="auto"/>
                  </w:divBdr>
                  <w:divsChild>
                    <w:div w:id="1871642806">
                      <w:marLeft w:val="0"/>
                      <w:marRight w:val="0"/>
                      <w:marTop w:val="0"/>
                      <w:marBottom w:val="0"/>
                      <w:divBdr>
                        <w:top w:val="none" w:sz="0" w:space="0" w:color="auto"/>
                        <w:left w:val="none" w:sz="0" w:space="0" w:color="auto"/>
                        <w:bottom w:val="none" w:sz="0" w:space="0" w:color="auto"/>
                        <w:right w:val="none" w:sz="0" w:space="0" w:color="auto"/>
                      </w:divBdr>
                      <w:divsChild>
                        <w:div w:id="1538196299">
                          <w:marLeft w:val="0"/>
                          <w:marRight w:val="0"/>
                          <w:marTop w:val="0"/>
                          <w:marBottom w:val="0"/>
                          <w:divBdr>
                            <w:top w:val="none" w:sz="0" w:space="0" w:color="auto"/>
                            <w:left w:val="none" w:sz="0" w:space="0" w:color="auto"/>
                            <w:bottom w:val="none" w:sz="0" w:space="0" w:color="auto"/>
                            <w:right w:val="none" w:sz="0" w:space="0" w:color="auto"/>
                          </w:divBdr>
                          <w:divsChild>
                            <w:div w:id="296109283">
                              <w:marLeft w:val="0"/>
                              <w:marRight w:val="0"/>
                              <w:marTop w:val="0"/>
                              <w:marBottom w:val="0"/>
                              <w:divBdr>
                                <w:top w:val="none" w:sz="0" w:space="0" w:color="auto"/>
                                <w:left w:val="none" w:sz="0" w:space="0" w:color="auto"/>
                                <w:bottom w:val="none" w:sz="0" w:space="0" w:color="auto"/>
                                <w:right w:val="none" w:sz="0" w:space="0" w:color="auto"/>
                              </w:divBdr>
                              <w:divsChild>
                                <w:div w:id="107835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0820901">
      <w:bodyDiv w:val="1"/>
      <w:marLeft w:val="0"/>
      <w:marRight w:val="0"/>
      <w:marTop w:val="0"/>
      <w:marBottom w:val="0"/>
      <w:divBdr>
        <w:top w:val="none" w:sz="0" w:space="0" w:color="auto"/>
        <w:left w:val="none" w:sz="0" w:space="0" w:color="auto"/>
        <w:bottom w:val="none" w:sz="0" w:space="0" w:color="auto"/>
        <w:right w:val="none" w:sz="0" w:space="0" w:color="auto"/>
      </w:divBdr>
      <w:divsChild>
        <w:div w:id="1688016923">
          <w:marLeft w:val="0"/>
          <w:marRight w:val="0"/>
          <w:marTop w:val="0"/>
          <w:marBottom w:val="0"/>
          <w:divBdr>
            <w:top w:val="none" w:sz="0" w:space="0" w:color="auto"/>
            <w:left w:val="none" w:sz="0" w:space="0" w:color="auto"/>
            <w:bottom w:val="none" w:sz="0" w:space="0" w:color="auto"/>
            <w:right w:val="none" w:sz="0" w:space="0" w:color="auto"/>
          </w:divBdr>
          <w:divsChild>
            <w:div w:id="579749859">
              <w:marLeft w:val="0"/>
              <w:marRight w:val="0"/>
              <w:marTop w:val="0"/>
              <w:marBottom w:val="0"/>
              <w:divBdr>
                <w:top w:val="none" w:sz="0" w:space="0" w:color="auto"/>
                <w:left w:val="none" w:sz="0" w:space="0" w:color="auto"/>
                <w:bottom w:val="none" w:sz="0" w:space="0" w:color="auto"/>
                <w:right w:val="none" w:sz="0" w:space="0" w:color="auto"/>
              </w:divBdr>
              <w:divsChild>
                <w:div w:id="1330601047">
                  <w:marLeft w:val="0"/>
                  <w:marRight w:val="0"/>
                  <w:marTop w:val="0"/>
                  <w:marBottom w:val="0"/>
                  <w:divBdr>
                    <w:top w:val="none" w:sz="0" w:space="0" w:color="auto"/>
                    <w:left w:val="none" w:sz="0" w:space="0" w:color="auto"/>
                    <w:bottom w:val="none" w:sz="0" w:space="0" w:color="auto"/>
                    <w:right w:val="none" w:sz="0" w:space="0" w:color="auto"/>
                  </w:divBdr>
                  <w:divsChild>
                    <w:div w:id="1551569806">
                      <w:marLeft w:val="0"/>
                      <w:marRight w:val="0"/>
                      <w:marTop w:val="0"/>
                      <w:marBottom w:val="0"/>
                      <w:divBdr>
                        <w:top w:val="none" w:sz="0" w:space="0" w:color="auto"/>
                        <w:left w:val="none" w:sz="0" w:space="0" w:color="auto"/>
                        <w:bottom w:val="none" w:sz="0" w:space="0" w:color="auto"/>
                        <w:right w:val="none" w:sz="0" w:space="0" w:color="auto"/>
                      </w:divBdr>
                      <w:divsChild>
                        <w:div w:id="798425878">
                          <w:marLeft w:val="0"/>
                          <w:marRight w:val="0"/>
                          <w:marTop w:val="0"/>
                          <w:marBottom w:val="0"/>
                          <w:divBdr>
                            <w:top w:val="none" w:sz="0" w:space="0" w:color="auto"/>
                            <w:left w:val="none" w:sz="0" w:space="0" w:color="auto"/>
                            <w:bottom w:val="none" w:sz="0" w:space="0" w:color="auto"/>
                            <w:right w:val="none" w:sz="0" w:space="0" w:color="auto"/>
                          </w:divBdr>
                          <w:divsChild>
                            <w:div w:id="1980069697">
                              <w:marLeft w:val="0"/>
                              <w:marRight w:val="0"/>
                              <w:marTop w:val="0"/>
                              <w:marBottom w:val="0"/>
                              <w:divBdr>
                                <w:top w:val="none" w:sz="0" w:space="0" w:color="auto"/>
                                <w:left w:val="none" w:sz="0" w:space="0" w:color="auto"/>
                                <w:bottom w:val="none" w:sz="0" w:space="0" w:color="auto"/>
                                <w:right w:val="none" w:sz="0" w:space="0" w:color="auto"/>
                              </w:divBdr>
                              <w:divsChild>
                                <w:div w:id="1037120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4751750">
      <w:bodyDiv w:val="1"/>
      <w:marLeft w:val="0"/>
      <w:marRight w:val="0"/>
      <w:marTop w:val="0"/>
      <w:marBottom w:val="0"/>
      <w:divBdr>
        <w:top w:val="none" w:sz="0" w:space="0" w:color="auto"/>
        <w:left w:val="none" w:sz="0" w:space="0" w:color="auto"/>
        <w:bottom w:val="none" w:sz="0" w:space="0" w:color="auto"/>
        <w:right w:val="none" w:sz="0" w:space="0" w:color="auto"/>
      </w:divBdr>
    </w:div>
    <w:div w:id="1653407833">
      <w:bodyDiv w:val="1"/>
      <w:marLeft w:val="0"/>
      <w:marRight w:val="0"/>
      <w:marTop w:val="0"/>
      <w:marBottom w:val="0"/>
      <w:divBdr>
        <w:top w:val="none" w:sz="0" w:space="0" w:color="auto"/>
        <w:left w:val="none" w:sz="0" w:space="0" w:color="auto"/>
        <w:bottom w:val="none" w:sz="0" w:space="0" w:color="auto"/>
        <w:right w:val="none" w:sz="0" w:space="0" w:color="auto"/>
      </w:divBdr>
      <w:divsChild>
        <w:div w:id="1387489243">
          <w:marLeft w:val="0"/>
          <w:marRight w:val="0"/>
          <w:marTop w:val="0"/>
          <w:marBottom w:val="0"/>
          <w:divBdr>
            <w:top w:val="none" w:sz="0" w:space="0" w:color="auto"/>
            <w:left w:val="none" w:sz="0" w:space="0" w:color="auto"/>
            <w:bottom w:val="none" w:sz="0" w:space="0" w:color="auto"/>
            <w:right w:val="none" w:sz="0" w:space="0" w:color="auto"/>
          </w:divBdr>
          <w:divsChild>
            <w:div w:id="1152016316">
              <w:marLeft w:val="0"/>
              <w:marRight w:val="0"/>
              <w:marTop w:val="0"/>
              <w:marBottom w:val="0"/>
              <w:divBdr>
                <w:top w:val="none" w:sz="0" w:space="0" w:color="auto"/>
                <w:left w:val="none" w:sz="0" w:space="0" w:color="auto"/>
                <w:bottom w:val="none" w:sz="0" w:space="0" w:color="auto"/>
                <w:right w:val="none" w:sz="0" w:space="0" w:color="auto"/>
              </w:divBdr>
              <w:divsChild>
                <w:div w:id="1826706296">
                  <w:marLeft w:val="0"/>
                  <w:marRight w:val="0"/>
                  <w:marTop w:val="0"/>
                  <w:marBottom w:val="0"/>
                  <w:divBdr>
                    <w:top w:val="none" w:sz="0" w:space="0" w:color="auto"/>
                    <w:left w:val="none" w:sz="0" w:space="0" w:color="auto"/>
                    <w:bottom w:val="none" w:sz="0" w:space="0" w:color="auto"/>
                    <w:right w:val="none" w:sz="0" w:space="0" w:color="auto"/>
                  </w:divBdr>
                  <w:divsChild>
                    <w:div w:id="1407723672">
                      <w:marLeft w:val="0"/>
                      <w:marRight w:val="0"/>
                      <w:marTop w:val="0"/>
                      <w:marBottom w:val="0"/>
                      <w:divBdr>
                        <w:top w:val="none" w:sz="0" w:space="0" w:color="auto"/>
                        <w:left w:val="none" w:sz="0" w:space="0" w:color="auto"/>
                        <w:bottom w:val="none" w:sz="0" w:space="0" w:color="auto"/>
                        <w:right w:val="none" w:sz="0" w:space="0" w:color="auto"/>
                      </w:divBdr>
                      <w:divsChild>
                        <w:div w:id="1775396119">
                          <w:marLeft w:val="0"/>
                          <w:marRight w:val="0"/>
                          <w:marTop w:val="0"/>
                          <w:marBottom w:val="0"/>
                          <w:divBdr>
                            <w:top w:val="none" w:sz="0" w:space="0" w:color="auto"/>
                            <w:left w:val="none" w:sz="0" w:space="0" w:color="auto"/>
                            <w:bottom w:val="none" w:sz="0" w:space="0" w:color="auto"/>
                            <w:right w:val="none" w:sz="0" w:space="0" w:color="auto"/>
                          </w:divBdr>
                          <w:divsChild>
                            <w:div w:id="1028523978">
                              <w:marLeft w:val="0"/>
                              <w:marRight w:val="0"/>
                              <w:marTop w:val="0"/>
                              <w:marBottom w:val="0"/>
                              <w:divBdr>
                                <w:top w:val="none" w:sz="0" w:space="0" w:color="auto"/>
                                <w:left w:val="none" w:sz="0" w:space="0" w:color="auto"/>
                                <w:bottom w:val="none" w:sz="0" w:space="0" w:color="auto"/>
                                <w:right w:val="none" w:sz="0" w:space="0" w:color="auto"/>
                              </w:divBdr>
                              <w:divsChild>
                                <w:div w:id="34763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6708923">
      <w:bodyDiv w:val="1"/>
      <w:marLeft w:val="0"/>
      <w:marRight w:val="0"/>
      <w:marTop w:val="0"/>
      <w:marBottom w:val="0"/>
      <w:divBdr>
        <w:top w:val="none" w:sz="0" w:space="0" w:color="auto"/>
        <w:left w:val="none" w:sz="0" w:space="0" w:color="auto"/>
        <w:bottom w:val="none" w:sz="0" w:space="0" w:color="auto"/>
        <w:right w:val="none" w:sz="0" w:space="0" w:color="auto"/>
      </w:divBdr>
      <w:divsChild>
        <w:div w:id="1553150935">
          <w:marLeft w:val="0"/>
          <w:marRight w:val="0"/>
          <w:marTop w:val="0"/>
          <w:marBottom w:val="0"/>
          <w:divBdr>
            <w:top w:val="none" w:sz="0" w:space="0" w:color="auto"/>
            <w:left w:val="none" w:sz="0" w:space="0" w:color="auto"/>
            <w:bottom w:val="none" w:sz="0" w:space="0" w:color="auto"/>
            <w:right w:val="none" w:sz="0" w:space="0" w:color="auto"/>
          </w:divBdr>
          <w:divsChild>
            <w:div w:id="1635479339">
              <w:marLeft w:val="0"/>
              <w:marRight w:val="0"/>
              <w:marTop w:val="0"/>
              <w:marBottom w:val="0"/>
              <w:divBdr>
                <w:top w:val="none" w:sz="0" w:space="0" w:color="auto"/>
                <w:left w:val="none" w:sz="0" w:space="0" w:color="auto"/>
                <w:bottom w:val="none" w:sz="0" w:space="0" w:color="auto"/>
                <w:right w:val="none" w:sz="0" w:space="0" w:color="auto"/>
              </w:divBdr>
              <w:divsChild>
                <w:div w:id="1379626488">
                  <w:marLeft w:val="0"/>
                  <w:marRight w:val="0"/>
                  <w:marTop w:val="0"/>
                  <w:marBottom w:val="0"/>
                  <w:divBdr>
                    <w:top w:val="none" w:sz="0" w:space="0" w:color="auto"/>
                    <w:left w:val="none" w:sz="0" w:space="0" w:color="auto"/>
                    <w:bottom w:val="none" w:sz="0" w:space="0" w:color="auto"/>
                    <w:right w:val="none" w:sz="0" w:space="0" w:color="auto"/>
                  </w:divBdr>
                  <w:divsChild>
                    <w:div w:id="1426805734">
                      <w:marLeft w:val="0"/>
                      <w:marRight w:val="0"/>
                      <w:marTop w:val="0"/>
                      <w:marBottom w:val="0"/>
                      <w:divBdr>
                        <w:top w:val="none" w:sz="0" w:space="0" w:color="auto"/>
                        <w:left w:val="none" w:sz="0" w:space="0" w:color="auto"/>
                        <w:bottom w:val="none" w:sz="0" w:space="0" w:color="auto"/>
                        <w:right w:val="none" w:sz="0" w:space="0" w:color="auto"/>
                      </w:divBdr>
                      <w:divsChild>
                        <w:div w:id="23797761">
                          <w:marLeft w:val="0"/>
                          <w:marRight w:val="0"/>
                          <w:marTop w:val="0"/>
                          <w:marBottom w:val="0"/>
                          <w:divBdr>
                            <w:top w:val="none" w:sz="0" w:space="0" w:color="auto"/>
                            <w:left w:val="none" w:sz="0" w:space="0" w:color="auto"/>
                            <w:bottom w:val="none" w:sz="0" w:space="0" w:color="auto"/>
                            <w:right w:val="none" w:sz="0" w:space="0" w:color="auto"/>
                          </w:divBdr>
                          <w:divsChild>
                            <w:div w:id="1998728685">
                              <w:marLeft w:val="0"/>
                              <w:marRight w:val="0"/>
                              <w:marTop w:val="0"/>
                              <w:marBottom w:val="0"/>
                              <w:divBdr>
                                <w:top w:val="none" w:sz="0" w:space="0" w:color="auto"/>
                                <w:left w:val="none" w:sz="0" w:space="0" w:color="auto"/>
                                <w:bottom w:val="none" w:sz="0" w:space="0" w:color="auto"/>
                                <w:right w:val="none" w:sz="0" w:space="0" w:color="auto"/>
                              </w:divBdr>
                              <w:divsChild>
                                <w:div w:id="470831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7095818">
      <w:bodyDiv w:val="1"/>
      <w:marLeft w:val="0"/>
      <w:marRight w:val="0"/>
      <w:marTop w:val="0"/>
      <w:marBottom w:val="0"/>
      <w:divBdr>
        <w:top w:val="none" w:sz="0" w:space="0" w:color="auto"/>
        <w:left w:val="none" w:sz="0" w:space="0" w:color="auto"/>
        <w:bottom w:val="none" w:sz="0" w:space="0" w:color="auto"/>
        <w:right w:val="none" w:sz="0" w:space="0" w:color="auto"/>
      </w:divBdr>
    </w:div>
    <w:div w:id="1718166785">
      <w:bodyDiv w:val="1"/>
      <w:marLeft w:val="0"/>
      <w:marRight w:val="0"/>
      <w:marTop w:val="0"/>
      <w:marBottom w:val="0"/>
      <w:divBdr>
        <w:top w:val="none" w:sz="0" w:space="0" w:color="auto"/>
        <w:left w:val="none" w:sz="0" w:space="0" w:color="auto"/>
        <w:bottom w:val="none" w:sz="0" w:space="0" w:color="auto"/>
        <w:right w:val="none" w:sz="0" w:space="0" w:color="auto"/>
      </w:divBdr>
      <w:divsChild>
        <w:div w:id="1594245634">
          <w:marLeft w:val="0"/>
          <w:marRight w:val="0"/>
          <w:marTop w:val="0"/>
          <w:marBottom w:val="0"/>
          <w:divBdr>
            <w:top w:val="none" w:sz="0" w:space="0" w:color="auto"/>
            <w:left w:val="none" w:sz="0" w:space="0" w:color="auto"/>
            <w:bottom w:val="none" w:sz="0" w:space="0" w:color="auto"/>
            <w:right w:val="none" w:sz="0" w:space="0" w:color="auto"/>
          </w:divBdr>
          <w:divsChild>
            <w:div w:id="27995842">
              <w:marLeft w:val="0"/>
              <w:marRight w:val="0"/>
              <w:marTop w:val="0"/>
              <w:marBottom w:val="0"/>
              <w:divBdr>
                <w:top w:val="none" w:sz="0" w:space="0" w:color="auto"/>
                <w:left w:val="none" w:sz="0" w:space="0" w:color="auto"/>
                <w:bottom w:val="none" w:sz="0" w:space="0" w:color="auto"/>
                <w:right w:val="none" w:sz="0" w:space="0" w:color="auto"/>
              </w:divBdr>
              <w:divsChild>
                <w:div w:id="349257108">
                  <w:marLeft w:val="0"/>
                  <w:marRight w:val="0"/>
                  <w:marTop w:val="0"/>
                  <w:marBottom w:val="0"/>
                  <w:divBdr>
                    <w:top w:val="none" w:sz="0" w:space="0" w:color="auto"/>
                    <w:left w:val="none" w:sz="0" w:space="0" w:color="auto"/>
                    <w:bottom w:val="none" w:sz="0" w:space="0" w:color="auto"/>
                    <w:right w:val="none" w:sz="0" w:space="0" w:color="auto"/>
                  </w:divBdr>
                  <w:divsChild>
                    <w:div w:id="1529833353">
                      <w:marLeft w:val="0"/>
                      <w:marRight w:val="0"/>
                      <w:marTop w:val="0"/>
                      <w:marBottom w:val="0"/>
                      <w:divBdr>
                        <w:top w:val="none" w:sz="0" w:space="0" w:color="auto"/>
                        <w:left w:val="none" w:sz="0" w:space="0" w:color="auto"/>
                        <w:bottom w:val="none" w:sz="0" w:space="0" w:color="auto"/>
                        <w:right w:val="none" w:sz="0" w:space="0" w:color="auto"/>
                      </w:divBdr>
                      <w:divsChild>
                        <w:div w:id="347756456">
                          <w:marLeft w:val="0"/>
                          <w:marRight w:val="0"/>
                          <w:marTop w:val="0"/>
                          <w:marBottom w:val="0"/>
                          <w:divBdr>
                            <w:top w:val="none" w:sz="0" w:space="0" w:color="auto"/>
                            <w:left w:val="none" w:sz="0" w:space="0" w:color="auto"/>
                            <w:bottom w:val="none" w:sz="0" w:space="0" w:color="auto"/>
                            <w:right w:val="none" w:sz="0" w:space="0" w:color="auto"/>
                          </w:divBdr>
                          <w:divsChild>
                            <w:div w:id="1165977081">
                              <w:marLeft w:val="0"/>
                              <w:marRight w:val="0"/>
                              <w:marTop w:val="0"/>
                              <w:marBottom w:val="0"/>
                              <w:divBdr>
                                <w:top w:val="none" w:sz="0" w:space="0" w:color="auto"/>
                                <w:left w:val="none" w:sz="0" w:space="0" w:color="auto"/>
                                <w:bottom w:val="none" w:sz="0" w:space="0" w:color="auto"/>
                                <w:right w:val="none" w:sz="0" w:space="0" w:color="auto"/>
                              </w:divBdr>
                              <w:divsChild>
                                <w:div w:id="1319922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561039">
      <w:bodyDiv w:val="1"/>
      <w:marLeft w:val="0"/>
      <w:marRight w:val="0"/>
      <w:marTop w:val="0"/>
      <w:marBottom w:val="0"/>
      <w:divBdr>
        <w:top w:val="none" w:sz="0" w:space="0" w:color="auto"/>
        <w:left w:val="none" w:sz="0" w:space="0" w:color="auto"/>
        <w:bottom w:val="none" w:sz="0" w:space="0" w:color="auto"/>
        <w:right w:val="none" w:sz="0" w:space="0" w:color="auto"/>
      </w:divBdr>
      <w:divsChild>
        <w:div w:id="1191838860">
          <w:marLeft w:val="0"/>
          <w:marRight w:val="0"/>
          <w:marTop w:val="0"/>
          <w:marBottom w:val="0"/>
          <w:divBdr>
            <w:top w:val="none" w:sz="0" w:space="0" w:color="auto"/>
            <w:left w:val="none" w:sz="0" w:space="0" w:color="auto"/>
            <w:bottom w:val="none" w:sz="0" w:space="0" w:color="auto"/>
            <w:right w:val="none" w:sz="0" w:space="0" w:color="auto"/>
          </w:divBdr>
          <w:divsChild>
            <w:div w:id="1255018609">
              <w:marLeft w:val="0"/>
              <w:marRight w:val="0"/>
              <w:marTop w:val="0"/>
              <w:marBottom w:val="0"/>
              <w:divBdr>
                <w:top w:val="none" w:sz="0" w:space="0" w:color="auto"/>
                <w:left w:val="none" w:sz="0" w:space="0" w:color="auto"/>
                <w:bottom w:val="none" w:sz="0" w:space="0" w:color="auto"/>
                <w:right w:val="none" w:sz="0" w:space="0" w:color="auto"/>
              </w:divBdr>
              <w:divsChild>
                <w:div w:id="1256016813">
                  <w:marLeft w:val="0"/>
                  <w:marRight w:val="0"/>
                  <w:marTop w:val="0"/>
                  <w:marBottom w:val="0"/>
                  <w:divBdr>
                    <w:top w:val="none" w:sz="0" w:space="0" w:color="auto"/>
                    <w:left w:val="none" w:sz="0" w:space="0" w:color="auto"/>
                    <w:bottom w:val="none" w:sz="0" w:space="0" w:color="auto"/>
                    <w:right w:val="none" w:sz="0" w:space="0" w:color="auto"/>
                  </w:divBdr>
                  <w:divsChild>
                    <w:div w:id="1839612768">
                      <w:marLeft w:val="0"/>
                      <w:marRight w:val="0"/>
                      <w:marTop w:val="0"/>
                      <w:marBottom w:val="0"/>
                      <w:divBdr>
                        <w:top w:val="none" w:sz="0" w:space="0" w:color="auto"/>
                        <w:left w:val="none" w:sz="0" w:space="0" w:color="auto"/>
                        <w:bottom w:val="none" w:sz="0" w:space="0" w:color="auto"/>
                        <w:right w:val="none" w:sz="0" w:space="0" w:color="auto"/>
                      </w:divBdr>
                      <w:divsChild>
                        <w:div w:id="172578364">
                          <w:marLeft w:val="0"/>
                          <w:marRight w:val="0"/>
                          <w:marTop w:val="0"/>
                          <w:marBottom w:val="0"/>
                          <w:divBdr>
                            <w:top w:val="none" w:sz="0" w:space="0" w:color="auto"/>
                            <w:left w:val="none" w:sz="0" w:space="0" w:color="auto"/>
                            <w:bottom w:val="none" w:sz="0" w:space="0" w:color="auto"/>
                            <w:right w:val="none" w:sz="0" w:space="0" w:color="auto"/>
                          </w:divBdr>
                          <w:divsChild>
                            <w:div w:id="2138405236">
                              <w:marLeft w:val="0"/>
                              <w:marRight w:val="0"/>
                              <w:marTop w:val="0"/>
                              <w:marBottom w:val="0"/>
                              <w:divBdr>
                                <w:top w:val="none" w:sz="0" w:space="0" w:color="auto"/>
                                <w:left w:val="none" w:sz="0" w:space="0" w:color="auto"/>
                                <w:bottom w:val="none" w:sz="0" w:space="0" w:color="auto"/>
                                <w:right w:val="none" w:sz="0" w:space="0" w:color="auto"/>
                              </w:divBdr>
                              <w:divsChild>
                                <w:div w:id="1641425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6417451">
      <w:bodyDiv w:val="1"/>
      <w:marLeft w:val="0"/>
      <w:marRight w:val="0"/>
      <w:marTop w:val="0"/>
      <w:marBottom w:val="0"/>
      <w:divBdr>
        <w:top w:val="none" w:sz="0" w:space="0" w:color="auto"/>
        <w:left w:val="none" w:sz="0" w:space="0" w:color="auto"/>
        <w:bottom w:val="none" w:sz="0" w:space="0" w:color="auto"/>
        <w:right w:val="none" w:sz="0" w:space="0" w:color="auto"/>
      </w:divBdr>
    </w:div>
    <w:div w:id="1741826714">
      <w:bodyDiv w:val="1"/>
      <w:marLeft w:val="0"/>
      <w:marRight w:val="0"/>
      <w:marTop w:val="0"/>
      <w:marBottom w:val="0"/>
      <w:divBdr>
        <w:top w:val="none" w:sz="0" w:space="0" w:color="auto"/>
        <w:left w:val="none" w:sz="0" w:space="0" w:color="auto"/>
        <w:bottom w:val="none" w:sz="0" w:space="0" w:color="auto"/>
        <w:right w:val="none" w:sz="0" w:space="0" w:color="auto"/>
      </w:divBdr>
      <w:divsChild>
        <w:div w:id="384372583">
          <w:marLeft w:val="0"/>
          <w:marRight w:val="0"/>
          <w:marTop w:val="0"/>
          <w:marBottom w:val="0"/>
          <w:divBdr>
            <w:top w:val="none" w:sz="0" w:space="0" w:color="auto"/>
            <w:left w:val="none" w:sz="0" w:space="0" w:color="auto"/>
            <w:bottom w:val="none" w:sz="0" w:space="0" w:color="auto"/>
            <w:right w:val="none" w:sz="0" w:space="0" w:color="auto"/>
          </w:divBdr>
          <w:divsChild>
            <w:div w:id="733167491">
              <w:marLeft w:val="0"/>
              <w:marRight w:val="0"/>
              <w:marTop w:val="0"/>
              <w:marBottom w:val="0"/>
              <w:divBdr>
                <w:top w:val="none" w:sz="0" w:space="0" w:color="auto"/>
                <w:left w:val="none" w:sz="0" w:space="0" w:color="auto"/>
                <w:bottom w:val="none" w:sz="0" w:space="0" w:color="auto"/>
                <w:right w:val="none" w:sz="0" w:space="0" w:color="auto"/>
              </w:divBdr>
              <w:divsChild>
                <w:div w:id="1581794310">
                  <w:marLeft w:val="0"/>
                  <w:marRight w:val="0"/>
                  <w:marTop w:val="0"/>
                  <w:marBottom w:val="0"/>
                  <w:divBdr>
                    <w:top w:val="none" w:sz="0" w:space="0" w:color="auto"/>
                    <w:left w:val="none" w:sz="0" w:space="0" w:color="auto"/>
                    <w:bottom w:val="none" w:sz="0" w:space="0" w:color="auto"/>
                    <w:right w:val="none" w:sz="0" w:space="0" w:color="auto"/>
                  </w:divBdr>
                  <w:divsChild>
                    <w:div w:id="1242301533">
                      <w:marLeft w:val="0"/>
                      <w:marRight w:val="0"/>
                      <w:marTop w:val="0"/>
                      <w:marBottom w:val="0"/>
                      <w:divBdr>
                        <w:top w:val="none" w:sz="0" w:space="0" w:color="auto"/>
                        <w:left w:val="none" w:sz="0" w:space="0" w:color="auto"/>
                        <w:bottom w:val="none" w:sz="0" w:space="0" w:color="auto"/>
                        <w:right w:val="none" w:sz="0" w:space="0" w:color="auto"/>
                      </w:divBdr>
                      <w:divsChild>
                        <w:div w:id="159005839">
                          <w:marLeft w:val="0"/>
                          <w:marRight w:val="0"/>
                          <w:marTop w:val="0"/>
                          <w:marBottom w:val="0"/>
                          <w:divBdr>
                            <w:top w:val="none" w:sz="0" w:space="0" w:color="auto"/>
                            <w:left w:val="none" w:sz="0" w:space="0" w:color="auto"/>
                            <w:bottom w:val="none" w:sz="0" w:space="0" w:color="auto"/>
                            <w:right w:val="none" w:sz="0" w:space="0" w:color="auto"/>
                          </w:divBdr>
                          <w:divsChild>
                            <w:div w:id="711223233">
                              <w:marLeft w:val="0"/>
                              <w:marRight w:val="0"/>
                              <w:marTop w:val="0"/>
                              <w:marBottom w:val="0"/>
                              <w:divBdr>
                                <w:top w:val="none" w:sz="0" w:space="0" w:color="auto"/>
                                <w:left w:val="none" w:sz="0" w:space="0" w:color="auto"/>
                                <w:bottom w:val="none" w:sz="0" w:space="0" w:color="auto"/>
                                <w:right w:val="none" w:sz="0" w:space="0" w:color="auto"/>
                              </w:divBdr>
                              <w:divsChild>
                                <w:div w:id="768891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4889730">
      <w:bodyDiv w:val="1"/>
      <w:marLeft w:val="0"/>
      <w:marRight w:val="0"/>
      <w:marTop w:val="0"/>
      <w:marBottom w:val="0"/>
      <w:divBdr>
        <w:top w:val="none" w:sz="0" w:space="0" w:color="auto"/>
        <w:left w:val="none" w:sz="0" w:space="0" w:color="auto"/>
        <w:bottom w:val="none" w:sz="0" w:space="0" w:color="auto"/>
        <w:right w:val="none" w:sz="0" w:space="0" w:color="auto"/>
      </w:divBdr>
      <w:divsChild>
        <w:div w:id="227811940">
          <w:marLeft w:val="0"/>
          <w:marRight w:val="0"/>
          <w:marTop w:val="0"/>
          <w:marBottom w:val="0"/>
          <w:divBdr>
            <w:top w:val="none" w:sz="0" w:space="0" w:color="auto"/>
            <w:left w:val="none" w:sz="0" w:space="0" w:color="auto"/>
            <w:bottom w:val="none" w:sz="0" w:space="0" w:color="auto"/>
            <w:right w:val="none" w:sz="0" w:space="0" w:color="auto"/>
          </w:divBdr>
          <w:divsChild>
            <w:div w:id="768551485">
              <w:marLeft w:val="0"/>
              <w:marRight w:val="0"/>
              <w:marTop w:val="0"/>
              <w:marBottom w:val="0"/>
              <w:divBdr>
                <w:top w:val="none" w:sz="0" w:space="0" w:color="auto"/>
                <w:left w:val="none" w:sz="0" w:space="0" w:color="auto"/>
                <w:bottom w:val="none" w:sz="0" w:space="0" w:color="auto"/>
                <w:right w:val="none" w:sz="0" w:space="0" w:color="auto"/>
              </w:divBdr>
              <w:divsChild>
                <w:div w:id="2075622610">
                  <w:marLeft w:val="0"/>
                  <w:marRight w:val="0"/>
                  <w:marTop w:val="0"/>
                  <w:marBottom w:val="0"/>
                  <w:divBdr>
                    <w:top w:val="none" w:sz="0" w:space="0" w:color="auto"/>
                    <w:left w:val="none" w:sz="0" w:space="0" w:color="auto"/>
                    <w:bottom w:val="none" w:sz="0" w:space="0" w:color="auto"/>
                    <w:right w:val="none" w:sz="0" w:space="0" w:color="auto"/>
                  </w:divBdr>
                  <w:divsChild>
                    <w:div w:id="1343900760">
                      <w:marLeft w:val="0"/>
                      <w:marRight w:val="0"/>
                      <w:marTop w:val="0"/>
                      <w:marBottom w:val="0"/>
                      <w:divBdr>
                        <w:top w:val="none" w:sz="0" w:space="0" w:color="auto"/>
                        <w:left w:val="none" w:sz="0" w:space="0" w:color="auto"/>
                        <w:bottom w:val="none" w:sz="0" w:space="0" w:color="auto"/>
                        <w:right w:val="none" w:sz="0" w:space="0" w:color="auto"/>
                      </w:divBdr>
                      <w:divsChild>
                        <w:div w:id="2117023183">
                          <w:marLeft w:val="0"/>
                          <w:marRight w:val="0"/>
                          <w:marTop w:val="0"/>
                          <w:marBottom w:val="0"/>
                          <w:divBdr>
                            <w:top w:val="none" w:sz="0" w:space="0" w:color="auto"/>
                            <w:left w:val="none" w:sz="0" w:space="0" w:color="auto"/>
                            <w:bottom w:val="none" w:sz="0" w:space="0" w:color="auto"/>
                            <w:right w:val="none" w:sz="0" w:space="0" w:color="auto"/>
                          </w:divBdr>
                          <w:divsChild>
                            <w:div w:id="512037145">
                              <w:marLeft w:val="0"/>
                              <w:marRight w:val="0"/>
                              <w:marTop w:val="0"/>
                              <w:marBottom w:val="0"/>
                              <w:divBdr>
                                <w:top w:val="none" w:sz="0" w:space="0" w:color="auto"/>
                                <w:left w:val="none" w:sz="0" w:space="0" w:color="auto"/>
                                <w:bottom w:val="none" w:sz="0" w:space="0" w:color="auto"/>
                                <w:right w:val="none" w:sz="0" w:space="0" w:color="auto"/>
                              </w:divBdr>
                              <w:divsChild>
                                <w:div w:id="152555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9038094">
      <w:bodyDiv w:val="1"/>
      <w:marLeft w:val="0"/>
      <w:marRight w:val="0"/>
      <w:marTop w:val="0"/>
      <w:marBottom w:val="0"/>
      <w:divBdr>
        <w:top w:val="none" w:sz="0" w:space="0" w:color="auto"/>
        <w:left w:val="none" w:sz="0" w:space="0" w:color="auto"/>
        <w:bottom w:val="none" w:sz="0" w:space="0" w:color="auto"/>
        <w:right w:val="none" w:sz="0" w:space="0" w:color="auto"/>
      </w:divBdr>
      <w:divsChild>
        <w:div w:id="1523208984">
          <w:marLeft w:val="0"/>
          <w:marRight w:val="0"/>
          <w:marTop w:val="0"/>
          <w:marBottom w:val="0"/>
          <w:divBdr>
            <w:top w:val="none" w:sz="0" w:space="0" w:color="auto"/>
            <w:left w:val="none" w:sz="0" w:space="0" w:color="auto"/>
            <w:bottom w:val="none" w:sz="0" w:space="0" w:color="auto"/>
            <w:right w:val="none" w:sz="0" w:space="0" w:color="auto"/>
          </w:divBdr>
          <w:divsChild>
            <w:div w:id="1532958203">
              <w:marLeft w:val="0"/>
              <w:marRight w:val="0"/>
              <w:marTop w:val="0"/>
              <w:marBottom w:val="0"/>
              <w:divBdr>
                <w:top w:val="none" w:sz="0" w:space="0" w:color="auto"/>
                <w:left w:val="none" w:sz="0" w:space="0" w:color="auto"/>
                <w:bottom w:val="none" w:sz="0" w:space="0" w:color="auto"/>
                <w:right w:val="none" w:sz="0" w:space="0" w:color="auto"/>
              </w:divBdr>
              <w:divsChild>
                <w:div w:id="641353055">
                  <w:marLeft w:val="0"/>
                  <w:marRight w:val="0"/>
                  <w:marTop w:val="0"/>
                  <w:marBottom w:val="0"/>
                  <w:divBdr>
                    <w:top w:val="none" w:sz="0" w:space="0" w:color="auto"/>
                    <w:left w:val="none" w:sz="0" w:space="0" w:color="auto"/>
                    <w:bottom w:val="none" w:sz="0" w:space="0" w:color="auto"/>
                    <w:right w:val="none" w:sz="0" w:space="0" w:color="auto"/>
                  </w:divBdr>
                  <w:divsChild>
                    <w:div w:id="1139809526">
                      <w:marLeft w:val="0"/>
                      <w:marRight w:val="0"/>
                      <w:marTop w:val="0"/>
                      <w:marBottom w:val="0"/>
                      <w:divBdr>
                        <w:top w:val="none" w:sz="0" w:space="0" w:color="auto"/>
                        <w:left w:val="none" w:sz="0" w:space="0" w:color="auto"/>
                        <w:bottom w:val="none" w:sz="0" w:space="0" w:color="auto"/>
                        <w:right w:val="none" w:sz="0" w:space="0" w:color="auto"/>
                      </w:divBdr>
                      <w:divsChild>
                        <w:div w:id="1188760038">
                          <w:marLeft w:val="0"/>
                          <w:marRight w:val="0"/>
                          <w:marTop w:val="0"/>
                          <w:marBottom w:val="0"/>
                          <w:divBdr>
                            <w:top w:val="none" w:sz="0" w:space="0" w:color="auto"/>
                            <w:left w:val="none" w:sz="0" w:space="0" w:color="auto"/>
                            <w:bottom w:val="none" w:sz="0" w:space="0" w:color="auto"/>
                            <w:right w:val="none" w:sz="0" w:space="0" w:color="auto"/>
                          </w:divBdr>
                          <w:divsChild>
                            <w:div w:id="1337534362">
                              <w:marLeft w:val="0"/>
                              <w:marRight w:val="0"/>
                              <w:marTop w:val="0"/>
                              <w:marBottom w:val="0"/>
                              <w:divBdr>
                                <w:top w:val="none" w:sz="0" w:space="0" w:color="auto"/>
                                <w:left w:val="none" w:sz="0" w:space="0" w:color="auto"/>
                                <w:bottom w:val="none" w:sz="0" w:space="0" w:color="auto"/>
                                <w:right w:val="none" w:sz="0" w:space="0" w:color="auto"/>
                              </w:divBdr>
                              <w:divsChild>
                                <w:div w:id="34690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9659020">
      <w:bodyDiv w:val="1"/>
      <w:marLeft w:val="0"/>
      <w:marRight w:val="0"/>
      <w:marTop w:val="0"/>
      <w:marBottom w:val="0"/>
      <w:divBdr>
        <w:top w:val="none" w:sz="0" w:space="0" w:color="auto"/>
        <w:left w:val="none" w:sz="0" w:space="0" w:color="auto"/>
        <w:bottom w:val="none" w:sz="0" w:space="0" w:color="auto"/>
        <w:right w:val="none" w:sz="0" w:space="0" w:color="auto"/>
      </w:divBdr>
      <w:divsChild>
        <w:div w:id="73405174">
          <w:marLeft w:val="0"/>
          <w:marRight w:val="0"/>
          <w:marTop w:val="0"/>
          <w:marBottom w:val="0"/>
          <w:divBdr>
            <w:top w:val="none" w:sz="0" w:space="0" w:color="auto"/>
            <w:left w:val="none" w:sz="0" w:space="0" w:color="auto"/>
            <w:bottom w:val="none" w:sz="0" w:space="0" w:color="auto"/>
            <w:right w:val="none" w:sz="0" w:space="0" w:color="auto"/>
          </w:divBdr>
          <w:divsChild>
            <w:div w:id="1215659864">
              <w:marLeft w:val="0"/>
              <w:marRight w:val="0"/>
              <w:marTop w:val="0"/>
              <w:marBottom w:val="0"/>
              <w:divBdr>
                <w:top w:val="none" w:sz="0" w:space="0" w:color="auto"/>
                <w:left w:val="none" w:sz="0" w:space="0" w:color="auto"/>
                <w:bottom w:val="none" w:sz="0" w:space="0" w:color="auto"/>
                <w:right w:val="none" w:sz="0" w:space="0" w:color="auto"/>
              </w:divBdr>
              <w:divsChild>
                <w:div w:id="1210260921">
                  <w:marLeft w:val="0"/>
                  <w:marRight w:val="0"/>
                  <w:marTop w:val="0"/>
                  <w:marBottom w:val="0"/>
                  <w:divBdr>
                    <w:top w:val="none" w:sz="0" w:space="0" w:color="auto"/>
                    <w:left w:val="none" w:sz="0" w:space="0" w:color="auto"/>
                    <w:bottom w:val="none" w:sz="0" w:space="0" w:color="auto"/>
                    <w:right w:val="none" w:sz="0" w:space="0" w:color="auto"/>
                  </w:divBdr>
                  <w:divsChild>
                    <w:div w:id="481702811">
                      <w:marLeft w:val="0"/>
                      <w:marRight w:val="0"/>
                      <w:marTop w:val="0"/>
                      <w:marBottom w:val="0"/>
                      <w:divBdr>
                        <w:top w:val="none" w:sz="0" w:space="0" w:color="auto"/>
                        <w:left w:val="none" w:sz="0" w:space="0" w:color="auto"/>
                        <w:bottom w:val="none" w:sz="0" w:space="0" w:color="auto"/>
                        <w:right w:val="none" w:sz="0" w:space="0" w:color="auto"/>
                      </w:divBdr>
                      <w:divsChild>
                        <w:div w:id="1715041586">
                          <w:marLeft w:val="0"/>
                          <w:marRight w:val="0"/>
                          <w:marTop w:val="0"/>
                          <w:marBottom w:val="0"/>
                          <w:divBdr>
                            <w:top w:val="none" w:sz="0" w:space="0" w:color="auto"/>
                            <w:left w:val="none" w:sz="0" w:space="0" w:color="auto"/>
                            <w:bottom w:val="none" w:sz="0" w:space="0" w:color="auto"/>
                            <w:right w:val="none" w:sz="0" w:space="0" w:color="auto"/>
                          </w:divBdr>
                          <w:divsChild>
                            <w:div w:id="136384486">
                              <w:marLeft w:val="0"/>
                              <w:marRight w:val="0"/>
                              <w:marTop w:val="0"/>
                              <w:marBottom w:val="0"/>
                              <w:divBdr>
                                <w:top w:val="none" w:sz="0" w:space="0" w:color="auto"/>
                                <w:left w:val="none" w:sz="0" w:space="0" w:color="auto"/>
                                <w:bottom w:val="none" w:sz="0" w:space="0" w:color="auto"/>
                                <w:right w:val="none" w:sz="0" w:space="0" w:color="auto"/>
                              </w:divBdr>
                              <w:divsChild>
                                <w:div w:id="1240991338">
                                  <w:marLeft w:val="0"/>
                                  <w:marRight w:val="0"/>
                                  <w:marTop w:val="0"/>
                                  <w:marBottom w:val="0"/>
                                  <w:divBdr>
                                    <w:top w:val="single" w:sz="2" w:space="0" w:color="FB8233"/>
                                    <w:left w:val="single" w:sz="2" w:space="0" w:color="FB8233"/>
                                    <w:bottom w:val="single" w:sz="2" w:space="0" w:color="FB8233"/>
                                    <w:right w:val="single" w:sz="2" w:space="0" w:color="FB8233"/>
                                  </w:divBdr>
                                  <w:divsChild>
                                    <w:div w:id="1668365658">
                                      <w:marLeft w:val="0"/>
                                      <w:marRight w:val="0"/>
                                      <w:marTop w:val="0"/>
                                      <w:marBottom w:val="0"/>
                                      <w:divBdr>
                                        <w:top w:val="none" w:sz="0" w:space="0" w:color="auto"/>
                                        <w:left w:val="none" w:sz="0" w:space="0" w:color="auto"/>
                                        <w:bottom w:val="none" w:sz="0" w:space="0" w:color="auto"/>
                                        <w:right w:val="none" w:sz="0" w:space="0" w:color="auto"/>
                                      </w:divBdr>
                                      <w:divsChild>
                                        <w:div w:id="1627544054">
                                          <w:marLeft w:val="218"/>
                                          <w:marRight w:val="218"/>
                                          <w:marTop w:val="218"/>
                                          <w:marBottom w:val="100"/>
                                          <w:divBdr>
                                            <w:top w:val="none" w:sz="0" w:space="0" w:color="auto"/>
                                            <w:left w:val="none" w:sz="0" w:space="0" w:color="auto"/>
                                            <w:bottom w:val="none" w:sz="0" w:space="0" w:color="auto"/>
                                            <w:right w:val="none" w:sz="0" w:space="0" w:color="auto"/>
                                          </w:divBdr>
                                          <w:divsChild>
                                            <w:div w:id="1060985548">
                                              <w:marLeft w:val="0"/>
                                              <w:marRight w:val="0"/>
                                              <w:marTop w:val="0"/>
                                              <w:marBottom w:val="0"/>
                                              <w:divBdr>
                                                <w:top w:val="none" w:sz="0" w:space="0" w:color="auto"/>
                                                <w:left w:val="none" w:sz="0" w:space="0" w:color="auto"/>
                                                <w:bottom w:val="none" w:sz="0" w:space="0" w:color="auto"/>
                                                <w:right w:val="none" w:sz="0" w:space="0" w:color="auto"/>
                                              </w:divBdr>
                                              <w:divsChild>
                                                <w:div w:id="2012566165">
                                                  <w:marLeft w:val="0"/>
                                                  <w:marRight w:val="0"/>
                                                  <w:marTop w:val="0"/>
                                                  <w:marBottom w:val="0"/>
                                                  <w:divBdr>
                                                    <w:top w:val="none" w:sz="0" w:space="0" w:color="auto"/>
                                                    <w:left w:val="none" w:sz="0" w:space="0" w:color="auto"/>
                                                    <w:bottom w:val="none" w:sz="0" w:space="0" w:color="auto"/>
                                                    <w:right w:val="none" w:sz="0" w:space="0" w:color="auto"/>
                                                  </w:divBdr>
                                                  <w:divsChild>
                                                    <w:div w:id="297034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10248754">
      <w:bodyDiv w:val="1"/>
      <w:marLeft w:val="0"/>
      <w:marRight w:val="0"/>
      <w:marTop w:val="0"/>
      <w:marBottom w:val="0"/>
      <w:divBdr>
        <w:top w:val="none" w:sz="0" w:space="0" w:color="auto"/>
        <w:left w:val="none" w:sz="0" w:space="0" w:color="auto"/>
        <w:bottom w:val="none" w:sz="0" w:space="0" w:color="auto"/>
        <w:right w:val="none" w:sz="0" w:space="0" w:color="auto"/>
      </w:divBdr>
      <w:divsChild>
        <w:div w:id="1604073162">
          <w:marLeft w:val="0"/>
          <w:marRight w:val="0"/>
          <w:marTop w:val="0"/>
          <w:marBottom w:val="0"/>
          <w:divBdr>
            <w:top w:val="none" w:sz="0" w:space="0" w:color="auto"/>
            <w:left w:val="none" w:sz="0" w:space="0" w:color="auto"/>
            <w:bottom w:val="none" w:sz="0" w:space="0" w:color="auto"/>
            <w:right w:val="none" w:sz="0" w:space="0" w:color="auto"/>
          </w:divBdr>
          <w:divsChild>
            <w:div w:id="812522317">
              <w:marLeft w:val="0"/>
              <w:marRight w:val="0"/>
              <w:marTop w:val="0"/>
              <w:marBottom w:val="0"/>
              <w:divBdr>
                <w:top w:val="none" w:sz="0" w:space="0" w:color="auto"/>
                <w:left w:val="none" w:sz="0" w:space="0" w:color="auto"/>
                <w:bottom w:val="none" w:sz="0" w:space="0" w:color="auto"/>
                <w:right w:val="none" w:sz="0" w:space="0" w:color="auto"/>
              </w:divBdr>
              <w:divsChild>
                <w:div w:id="614752701">
                  <w:marLeft w:val="0"/>
                  <w:marRight w:val="0"/>
                  <w:marTop w:val="0"/>
                  <w:marBottom w:val="0"/>
                  <w:divBdr>
                    <w:top w:val="none" w:sz="0" w:space="0" w:color="auto"/>
                    <w:left w:val="none" w:sz="0" w:space="0" w:color="auto"/>
                    <w:bottom w:val="none" w:sz="0" w:space="0" w:color="auto"/>
                    <w:right w:val="none" w:sz="0" w:space="0" w:color="auto"/>
                  </w:divBdr>
                  <w:divsChild>
                    <w:div w:id="991720353">
                      <w:marLeft w:val="0"/>
                      <w:marRight w:val="0"/>
                      <w:marTop w:val="0"/>
                      <w:marBottom w:val="0"/>
                      <w:divBdr>
                        <w:top w:val="none" w:sz="0" w:space="0" w:color="auto"/>
                        <w:left w:val="none" w:sz="0" w:space="0" w:color="auto"/>
                        <w:bottom w:val="none" w:sz="0" w:space="0" w:color="auto"/>
                        <w:right w:val="none" w:sz="0" w:space="0" w:color="auto"/>
                      </w:divBdr>
                      <w:divsChild>
                        <w:div w:id="585653483">
                          <w:marLeft w:val="0"/>
                          <w:marRight w:val="0"/>
                          <w:marTop w:val="0"/>
                          <w:marBottom w:val="0"/>
                          <w:divBdr>
                            <w:top w:val="none" w:sz="0" w:space="0" w:color="auto"/>
                            <w:left w:val="none" w:sz="0" w:space="0" w:color="auto"/>
                            <w:bottom w:val="none" w:sz="0" w:space="0" w:color="auto"/>
                            <w:right w:val="none" w:sz="0" w:space="0" w:color="auto"/>
                          </w:divBdr>
                          <w:divsChild>
                            <w:div w:id="1545484765">
                              <w:marLeft w:val="0"/>
                              <w:marRight w:val="0"/>
                              <w:marTop w:val="0"/>
                              <w:marBottom w:val="0"/>
                              <w:divBdr>
                                <w:top w:val="none" w:sz="0" w:space="0" w:color="auto"/>
                                <w:left w:val="none" w:sz="0" w:space="0" w:color="auto"/>
                                <w:bottom w:val="none" w:sz="0" w:space="0" w:color="auto"/>
                                <w:right w:val="none" w:sz="0" w:space="0" w:color="auto"/>
                              </w:divBdr>
                              <w:divsChild>
                                <w:div w:id="1496992992">
                                  <w:marLeft w:val="0"/>
                                  <w:marRight w:val="0"/>
                                  <w:marTop w:val="0"/>
                                  <w:marBottom w:val="0"/>
                                  <w:divBdr>
                                    <w:top w:val="none" w:sz="0" w:space="0" w:color="auto"/>
                                    <w:left w:val="none" w:sz="0" w:space="0" w:color="auto"/>
                                    <w:bottom w:val="none" w:sz="0" w:space="0" w:color="auto"/>
                                    <w:right w:val="none" w:sz="0" w:space="0" w:color="auto"/>
                                  </w:divBdr>
                                </w:div>
                              </w:divsChild>
                            </w:div>
                            <w:div w:id="291177007">
                              <w:marLeft w:val="0"/>
                              <w:marRight w:val="0"/>
                              <w:marTop w:val="92"/>
                              <w:marBottom w:val="0"/>
                              <w:divBdr>
                                <w:top w:val="none" w:sz="0" w:space="0" w:color="auto"/>
                                <w:left w:val="none" w:sz="0" w:space="0" w:color="auto"/>
                                <w:bottom w:val="none" w:sz="0" w:space="0" w:color="auto"/>
                                <w:right w:val="none" w:sz="0" w:space="0" w:color="auto"/>
                              </w:divBdr>
                              <w:divsChild>
                                <w:div w:id="1632202205">
                                  <w:marLeft w:val="0"/>
                                  <w:marRight w:val="240"/>
                                  <w:marTop w:val="0"/>
                                  <w:marBottom w:val="0"/>
                                  <w:divBdr>
                                    <w:top w:val="none" w:sz="0" w:space="0" w:color="auto"/>
                                    <w:left w:val="none" w:sz="0" w:space="0" w:color="auto"/>
                                    <w:bottom w:val="none" w:sz="0" w:space="0" w:color="auto"/>
                                    <w:right w:val="none" w:sz="0" w:space="0" w:color="auto"/>
                                  </w:divBdr>
                                </w:div>
                                <w:div w:id="1613241506">
                                  <w:marLeft w:val="0"/>
                                  <w:marRight w:val="240"/>
                                  <w:marTop w:val="0"/>
                                  <w:marBottom w:val="0"/>
                                  <w:divBdr>
                                    <w:top w:val="none" w:sz="0" w:space="0" w:color="auto"/>
                                    <w:left w:val="none" w:sz="0" w:space="0" w:color="auto"/>
                                    <w:bottom w:val="none" w:sz="0" w:space="0" w:color="auto"/>
                                    <w:right w:val="none" w:sz="0" w:space="0" w:color="auto"/>
                                  </w:divBdr>
                                </w:div>
                              </w:divsChild>
                            </w:div>
                            <w:div w:id="1561095104">
                              <w:marLeft w:val="0"/>
                              <w:marRight w:val="0"/>
                              <w:marTop w:val="0"/>
                              <w:marBottom w:val="0"/>
                              <w:divBdr>
                                <w:top w:val="none" w:sz="0" w:space="0" w:color="auto"/>
                                <w:left w:val="none" w:sz="0" w:space="0" w:color="auto"/>
                                <w:bottom w:val="none" w:sz="0" w:space="0" w:color="auto"/>
                                <w:right w:val="none" w:sz="0" w:space="0" w:color="auto"/>
                              </w:divBdr>
                            </w:div>
                            <w:div w:id="1007563033">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7139903">
      <w:bodyDiv w:val="1"/>
      <w:marLeft w:val="0"/>
      <w:marRight w:val="0"/>
      <w:marTop w:val="0"/>
      <w:marBottom w:val="0"/>
      <w:divBdr>
        <w:top w:val="none" w:sz="0" w:space="0" w:color="auto"/>
        <w:left w:val="none" w:sz="0" w:space="0" w:color="auto"/>
        <w:bottom w:val="none" w:sz="0" w:space="0" w:color="auto"/>
        <w:right w:val="none" w:sz="0" w:space="0" w:color="auto"/>
      </w:divBdr>
    </w:div>
    <w:div w:id="1835297628">
      <w:bodyDiv w:val="1"/>
      <w:marLeft w:val="0"/>
      <w:marRight w:val="0"/>
      <w:marTop w:val="0"/>
      <w:marBottom w:val="0"/>
      <w:divBdr>
        <w:top w:val="none" w:sz="0" w:space="0" w:color="auto"/>
        <w:left w:val="none" w:sz="0" w:space="0" w:color="auto"/>
        <w:bottom w:val="none" w:sz="0" w:space="0" w:color="auto"/>
        <w:right w:val="none" w:sz="0" w:space="0" w:color="auto"/>
      </w:divBdr>
    </w:div>
    <w:div w:id="1853909918">
      <w:bodyDiv w:val="1"/>
      <w:marLeft w:val="0"/>
      <w:marRight w:val="0"/>
      <w:marTop w:val="0"/>
      <w:marBottom w:val="0"/>
      <w:divBdr>
        <w:top w:val="none" w:sz="0" w:space="0" w:color="auto"/>
        <w:left w:val="none" w:sz="0" w:space="0" w:color="auto"/>
        <w:bottom w:val="none" w:sz="0" w:space="0" w:color="auto"/>
        <w:right w:val="none" w:sz="0" w:space="0" w:color="auto"/>
      </w:divBdr>
      <w:divsChild>
        <w:div w:id="1427576816">
          <w:marLeft w:val="0"/>
          <w:marRight w:val="0"/>
          <w:marTop w:val="0"/>
          <w:marBottom w:val="0"/>
          <w:divBdr>
            <w:top w:val="none" w:sz="0" w:space="0" w:color="auto"/>
            <w:left w:val="none" w:sz="0" w:space="0" w:color="auto"/>
            <w:bottom w:val="none" w:sz="0" w:space="0" w:color="auto"/>
            <w:right w:val="none" w:sz="0" w:space="0" w:color="auto"/>
          </w:divBdr>
          <w:divsChild>
            <w:div w:id="1780030748">
              <w:marLeft w:val="0"/>
              <w:marRight w:val="0"/>
              <w:marTop w:val="0"/>
              <w:marBottom w:val="0"/>
              <w:divBdr>
                <w:top w:val="none" w:sz="0" w:space="0" w:color="auto"/>
                <w:left w:val="none" w:sz="0" w:space="0" w:color="auto"/>
                <w:bottom w:val="none" w:sz="0" w:space="0" w:color="auto"/>
                <w:right w:val="none" w:sz="0" w:space="0" w:color="auto"/>
              </w:divBdr>
              <w:divsChild>
                <w:div w:id="67461059">
                  <w:marLeft w:val="0"/>
                  <w:marRight w:val="0"/>
                  <w:marTop w:val="0"/>
                  <w:marBottom w:val="0"/>
                  <w:divBdr>
                    <w:top w:val="none" w:sz="0" w:space="0" w:color="auto"/>
                    <w:left w:val="none" w:sz="0" w:space="0" w:color="auto"/>
                    <w:bottom w:val="none" w:sz="0" w:space="0" w:color="auto"/>
                    <w:right w:val="none" w:sz="0" w:space="0" w:color="auto"/>
                  </w:divBdr>
                  <w:divsChild>
                    <w:div w:id="1150639144">
                      <w:marLeft w:val="0"/>
                      <w:marRight w:val="0"/>
                      <w:marTop w:val="0"/>
                      <w:marBottom w:val="0"/>
                      <w:divBdr>
                        <w:top w:val="none" w:sz="0" w:space="0" w:color="auto"/>
                        <w:left w:val="none" w:sz="0" w:space="0" w:color="auto"/>
                        <w:bottom w:val="none" w:sz="0" w:space="0" w:color="auto"/>
                        <w:right w:val="none" w:sz="0" w:space="0" w:color="auto"/>
                      </w:divBdr>
                      <w:divsChild>
                        <w:div w:id="1800413451">
                          <w:marLeft w:val="0"/>
                          <w:marRight w:val="0"/>
                          <w:marTop w:val="0"/>
                          <w:marBottom w:val="0"/>
                          <w:divBdr>
                            <w:top w:val="none" w:sz="0" w:space="0" w:color="auto"/>
                            <w:left w:val="none" w:sz="0" w:space="0" w:color="auto"/>
                            <w:bottom w:val="none" w:sz="0" w:space="0" w:color="auto"/>
                            <w:right w:val="none" w:sz="0" w:space="0" w:color="auto"/>
                          </w:divBdr>
                          <w:divsChild>
                            <w:div w:id="1456681773">
                              <w:marLeft w:val="0"/>
                              <w:marRight w:val="0"/>
                              <w:marTop w:val="0"/>
                              <w:marBottom w:val="0"/>
                              <w:divBdr>
                                <w:top w:val="none" w:sz="0" w:space="0" w:color="auto"/>
                                <w:left w:val="none" w:sz="0" w:space="0" w:color="auto"/>
                                <w:bottom w:val="none" w:sz="0" w:space="0" w:color="auto"/>
                                <w:right w:val="none" w:sz="0" w:space="0" w:color="auto"/>
                              </w:divBdr>
                              <w:divsChild>
                                <w:div w:id="143998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7055536">
      <w:bodyDiv w:val="1"/>
      <w:marLeft w:val="0"/>
      <w:marRight w:val="0"/>
      <w:marTop w:val="0"/>
      <w:marBottom w:val="0"/>
      <w:divBdr>
        <w:top w:val="none" w:sz="0" w:space="0" w:color="auto"/>
        <w:left w:val="none" w:sz="0" w:space="0" w:color="auto"/>
        <w:bottom w:val="none" w:sz="0" w:space="0" w:color="auto"/>
        <w:right w:val="none" w:sz="0" w:space="0" w:color="auto"/>
      </w:divBdr>
      <w:divsChild>
        <w:div w:id="2084256902">
          <w:marLeft w:val="0"/>
          <w:marRight w:val="0"/>
          <w:marTop w:val="0"/>
          <w:marBottom w:val="0"/>
          <w:divBdr>
            <w:top w:val="none" w:sz="0" w:space="0" w:color="auto"/>
            <w:left w:val="none" w:sz="0" w:space="0" w:color="auto"/>
            <w:bottom w:val="none" w:sz="0" w:space="0" w:color="auto"/>
            <w:right w:val="none" w:sz="0" w:space="0" w:color="auto"/>
          </w:divBdr>
          <w:divsChild>
            <w:div w:id="226847618">
              <w:marLeft w:val="0"/>
              <w:marRight w:val="0"/>
              <w:marTop w:val="0"/>
              <w:marBottom w:val="0"/>
              <w:divBdr>
                <w:top w:val="none" w:sz="0" w:space="0" w:color="auto"/>
                <w:left w:val="none" w:sz="0" w:space="0" w:color="auto"/>
                <w:bottom w:val="none" w:sz="0" w:space="0" w:color="auto"/>
                <w:right w:val="none" w:sz="0" w:space="0" w:color="auto"/>
              </w:divBdr>
              <w:divsChild>
                <w:div w:id="728841574">
                  <w:marLeft w:val="0"/>
                  <w:marRight w:val="0"/>
                  <w:marTop w:val="0"/>
                  <w:marBottom w:val="0"/>
                  <w:divBdr>
                    <w:top w:val="none" w:sz="0" w:space="0" w:color="auto"/>
                    <w:left w:val="none" w:sz="0" w:space="0" w:color="auto"/>
                    <w:bottom w:val="none" w:sz="0" w:space="0" w:color="auto"/>
                    <w:right w:val="none" w:sz="0" w:space="0" w:color="auto"/>
                  </w:divBdr>
                  <w:divsChild>
                    <w:div w:id="658271955">
                      <w:marLeft w:val="0"/>
                      <w:marRight w:val="0"/>
                      <w:marTop w:val="0"/>
                      <w:marBottom w:val="0"/>
                      <w:divBdr>
                        <w:top w:val="none" w:sz="0" w:space="0" w:color="auto"/>
                        <w:left w:val="none" w:sz="0" w:space="0" w:color="auto"/>
                        <w:bottom w:val="none" w:sz="0" w:space="0" w:color="auto"/>
                        <w:right w:val="none" w:sz="0" w:space="0" w:color="auto"/>
                      </w:divBdr>
                      <w:divsChild>
                        <w:div w:id="375391383">
                          <w:marLeft w:val="0"/>
                          <w:marRight w:val="0"/>
                          <w:marTop w:val="0"/>
                          <w:marBottom w:val="0"/>
                          <w:divBdr>
                            <w:top w:val="none" w:sz="0" w:space="0" w:color="auto"/>
                            <w:left w:val="none" w:sz="0" w:space="0" w:color="auto"/>
                            <w:bottom w:val="none" w:sz="0" w:space="0" w:color="auto"/>
                            <w:right w:val="none" w:sz="0" w:space="0" w:color="auto"/>
                          </w:divBdr>
                          <w:divsChild>
                            <w:div w:id="2080055058">
                              <w:marLeft w:val="0"/>
                              <w:marRight w:val="0"/>
                              <w:marTop w:val="0"/>
                              <w:marBottom w:val="0"/>
                              <w:divBdr>
                                <w:top w:val="none" w:sz="0" w:space="0" w:color="auto"/>
                                <w:left w:val="none" w:sz="0" w:space="0" w:color="auto"/>
                                <w:bottom w:val="none" w:sz="0" w:space="0" w:color="auto"/>
                                <w:right w:val="none" w:sz="0" w:space="0" w:color="auto"/>
                              </w:divBdr>
                              <w:divsChild>
                                <w:div w:id="83473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4804907">
      <w:bodyDiv w:val="1"/>
      <w:marLeft w:val="0"/>
      <w:marRight w:val="0"/>
      <w:marTop w:val="0"/>
      <w:marBottom w:val="0"/>
      <w:divBdr>
        <w:top w:val="none" w:sz="0" w:space="0" w:color="auto"/>
        <w:left w:val="none" w:sz="0" w:space="0" w:color="auto"/>
        <w:bottom w:val="none" w:sz="0" w:space="0" w:color="auto"/>
        <w:right w:val="none" w:sz="0" w:space="0" w:color="auto"/>
      </w:divBdr>
      <w:divsChild>
        <w:div w:id="2107074290">
          <w:marLeft w:val="0"/>
          <w:marRight w:val="0"/>
          <w:marTop w:val="0"/>
          <w:marBottom w:val="0"/>
          <w:divBdr>
            <w:top w:val="none" w:sz="0" w:space="0" w:color="auto"/>
            <w:left w:val="none" w:sz="0" w:space="0" w:color="auto"/>
            <w:bottom w:val="none" w:sz="0" w:space="0" w:color="auto"/>
            <w:right w:val="none" w:sz="0" w:space="0" w:color="auto"/>
          </w:divBdr>
        </w:div>
      </w:divsChild>
    </w:div>
    <w:div w:id="1917352715">
      <w:bodyDiv w:val="1"/>
      <w:marLeft w:val="0"/>
      <w:marRight w:val="0"/>
      <w:marTop w:val="0"/>
      <w:marBottom w:val="0"/>
      <w:divBdr>
        <w:top w:val="none" w:sz="0" w:space="0" w:color="auto"/>
        <w:left w:val="none" w:sz="0" w:space="0" w:color="auto"/>
        <w:bottom w:val="none" w:sz="0" w:space="0" w:color="auto"/>
        <w:right w:val="none" w:sz="0" w:space="0" w:color="auto"/>
      </w:divBdr>
      <w:divsChild>
        <w:div w:id="1505704463">
          <w:marLeft w:val="0"/>
          <w:marRight w:val="0"/>
          <w:marTop w:val="0"/>
          <w:marBottom w:val="0"/>
          <w:divBdr>
            <w:top w:val="none" w:sz="0" w:space="0" w:color="auto"/>
            <w:left w:val="none" w:sz="0" w:space="0" w:color="auto"/>
            <w:bottom w:val="none" w:sz="0" w:space="0" w:color="auto"/>
            <w:right w:val="none" w:sz="0" w:space="0" w:color="auto"/>
          </w:divBdr>
          <w:divsChild>
            <w:div w:id="1276906556">
              <w:marLeft w:val="0"/>
              <w:marRight w:val="0"/>
              <w:marTop w:val="0"/>
              <w:marBottom w:val="0"/>
              <w:divBdr>
                <w:top w:val="none" w:sz="0" w:space="0" w:color="auto"/>
                <w:left w:val="none" w:sz="0" w:space="0" w:color="auto"/>
                <w:bottom w:val="none" w:sz="0" w:space="0" w:color="auto"/>
                <w:right w:val="none" w:sz="0" w:space="0" w:color="auto"/>
              </w:divBdr>
              <w:divsChild>
                <w:div w:id="1474324586">
                  <w:marLeft w:val="0"/>
                  <w:marRight w:val="0"/>
                  <w:marTop w:val="0"/>
                  <w:marBottom w:val="0"/>
                  <w:divBdr>
                    <w:top w:val="none" w:sz="0" w:space="0" w:color="auto"/>
                    <w:left w:val="none" w:sz="0" w:space="0" w:color="auto"/>
                    <w:bottom w:val="none" w:sz="0" w:space="0" w:color="auto"/>
                    <w:right w:val="none" w:sz="0" w:space="0" w:color="auto"/>
                  </w:divBdr>
                  <w:divsChild>
                    <w:div w:id="173618489">
                      <w:marLeft w:val="0"/>
                      <w:marRight w:val="0"/>
                      <w:marTop w:val="0"/>
                      <w:marBottom w:val="0"/>
                      <w:divBdr>
                        <w:top w:val="none" w:sz="0" w:space="0" w:color="auto"/>
                        <w:left w:val="none" w:sz="0" w:space="0" w:color="auto"/>
                        <w:bottom w:val="none" w:sz="0" w:space="0" w:color="auto"/>
                        <w:right w:val="none" w:sz="0" w:space="0" w:color="auto"/>
                      </w:divBdr>
                      <w:divsChild>
                        <w:div w:id="1180508903">
                          <w:marLeft w:val="0"/>
                          <w:marRight w:val="0"/>
                          <w:marTop w:val="0"/>
                          <w:marBottom w:val="0"/>
                          <w:divBdr>
                            <w:top w:val="none" w:sz="0" w:space="0" w:color="auto"/>
                            <w:left w:val="none" w:sz="0" w:space="0" w:color="auto"/>
                            <w:bottom w:val="none" w:sz="0" w:space="0" w:color="auto"/>
                            <w:right w:val="none" w:sz="0" w:space="0" w:color="auto"/>
                          </w:divBdr>
                          <w:divsChild>
                            <w:div w:id="491986614">
                              <w:marLeft w:val="0"/>
                              <w:marRight w:val="0"/>
                              <w:marTop w:val="0"/>
                              <w:marBottom w:val="0"/>
                              <w:divBdr>
                                <w:top w:val="none" w:sz="0" w:space="0" w:color="auto"/>
                                <w:left w:val="none" w:sz="0" w:space="0" w:color="auto"/>
                                <w:bottom w:val="none" w:sz="0" w:space="0" w:color="auto"/>
                                <w:right w:val="none" w:sz="0" w:space="0" w:color="auto"/>
                              </w:divBdr>
                              <w:divsChild>
                                <w:div w:id="1773818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0675821">
      <w:bodyDiv w:val="1"/>
      <w:marLeft w:val="0"/>
      <w:marRight w:val="0"/>
      <w:marTop w:val="0"/>
      <w:marBottom w:val="0"/>
      <w:divBdr>
        <w:top w:val="none" w:sz="0" w:space="0" w:color="auto"/>
        <w:left w:val="none" w:sz="0" w:space="0" w:color="auto"/>
        <w:bottom w:val="none" w:sz="0" w:space="0" w:color="auto"/>
        <w:right w:val="none" w:sz="0" w:space="0" w:color="auto"/>
      </w:divBdr>
      <w:divsChild>
        <w:div w:id="858353781">
          <w:marLeft w:val="0"/>
          <w:marRight w:val="0"/>
          <w:marTop w:val="0"/>
          <w:marBottom w:val="0"/>
          <w:divBdr>
            <w:top w:val="none" w:sz="0" w:space="0" w:color="auto"/>
            <w:left w:val="none" w:sz="0" w:space="0" w:color="auto"/>
            <w:bottom w:val="none" w:sz="0" w:space="0" w:color="auto"/>
            <w:right w:val="none" w:sz="0" w:space="0" w:color="auto"/>
          </w:divBdr>
          <w:divsChild>
            <w:div w:id="819271022">
              <w:marLeft w:val="0"/>
              <w:marRight w:val="0"/>
              <w:marTop w:val="0"/>
              <w:marBottom w:val="0"/>
              <w:divBdr>
                <w:top w:val="none" w:sz="0" w:space="0" w:color="auto"/>
                <w:left w:val="none" w:sz="0" w:space="0" w:color="auto"/>
                <w:bottom w:val="none" w:sz="0" w:space="0" w:color="auto"/>
                <w:right w:val="none" w:sz="0" w:space="0" w:color="auto"/>
              </w:divBdr>
              <w:divsChild>
                <w:div w:id="442842705">
                  <w:marLeft w:val="0"/>
                  <w:marRight w:val="0"/>
                  <w:marTop w:val="0"/>
                  <w:marBottom w:val="0"/>
                  <w:divBdr>
                    <w:top w:val="none" w:sz="0" w:space="0" w:color="auto"/>
                    <w:left w:val="none" w:sz="0" w:space="0" w:color="auto"/>
                    <w:bottom w:val="none" w:sz="0" w:space="0" w:color="auto"/>
                    <w:right w:val="none" w:sz="0" w:space="0" w:color="auto"/>
                  </w:divBdr>
                  <w:divsChild>
                    <w:div w:id="845246966">
                      <w:marLeft w:val="0"/>
                      <w:marRight w:val="0"/>
                      <w:marTop w:val="0"/>
                      <w:marBottom w:val="0"/>
                      <w:divBdr>
                        <w:top w:val="none" w:sz="0" w:space="0" w:color="auto"/>
                        <w:left w:val="none" w:sz="0" w:space="0" w:color="auto"/>
                        <w:bottom w:val="none" w:sz="0" w:space="0" w:color="auto"/>
                        <w:right w:val="none" w:sz="0" w:space="0" w:color="auto"/>
                      </w:divBdr>
                      <w:divsChild>
                        <w:div w:id="257565119">
                          <w:marLeft w:val="0"/>
                          <w:marRight w:val="0"/>
                          <w:marTop w:val="0"/>
                          <w:marBottom w:val="0"/>
                          <w:divBdr>
                            <w:top w:val="none" w:sz="0" w:space="0" w:color="auto"/>
                            <w:left w:val="none" w:sz="0" w:space="0" w:color="auto"/>
                            <w:bottom w:val="none" w:sz="0" w:space="0" w:color="auto"/>
                            <w:right w:val="none" w:sz="0" w:space="0" w:color="auto"/>
                          </w:divBdr>
                          <w:divsChild>
                            <w:div w:id="1088577660">
                              <w:marLeft w:val="0"/>
                              <w:marRight w:val="0"/>
                              <w:marTop w:val="0"/>
                              <w:marBottom w:val="0"/>
                              <w:divBdr>
                                <w:top w:val="none" w:sz="0" w:space="0" w:color="auto"/>
                                <w:left w:val="none" w:sz="0" w:space="0" w:color="auto"/>
                                <w:bottom w:val="none" w:sz="0" w:space="0" w:color="auto"/>
                                <w:right w:val="none" w:sz="0" w:space="0" w:color="auto"/>
                              </w:divBdr>
                              <w:divsChild>
                                <w:div w:id="1941142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2443746">
      <w:bodyDiv w:val="1"/>
      <w:marLeft w:val="0"/>
      <w:marRight w:val="0"/>
      <w:marTop w:val="0"/>
      <w:marBottom w:val="0"/>
      <w:divBdr>
        <w:top w:val="none" w:sz="0" w:space="0" w:color="auto"/>
        <w:left w:val="none" w:sz="0" w:space="0" w:color="auto"/>
        <w:bottom w:val="none" w:sz="0" w:space="0" w:color="auto"/>
        <w:right w:val="none" w:sz="0" w:space="0" w:color="auto"/>
      </w:divBdr>
      <w:divsChild>
        <w:div w:id="1692143727">
          <w:marLeft w:val="0"/>
          <w:marRight w:val="0"/>
          <w:marTop w:val="0"/>
          <w:marBottom w:val="0"/>
          <w:divBdr>
            <w:top w:val="none" w:sz="0" w:space="0" w:color="auto"/>
            <w:left w:val="none" w:sz="0" w:space="0" w:color="auto"/>
            <w:bottom w:val="none" w:sz="0" w:space="0" w:color="auto"/>
            <w:right w:val="none" w:sz="0" w:space="0" w:color="auto"/>
          </w:divBdr>
          <w:divsChild>
            <w:div w:id="1609578969">
              <w:marLeft w:val="0"/>
              <w:marRight w:val="0"/>
              <w:marTop w:val="0"/>
              <w:marBottom w:val="0"/>
              <w:divBdr>
                <w:top w:val="none" w:sz="0" w:space="0" w:color="auto"/>
                <w:left w:val="none" w:sz="0" w:space="0" w:color="auto"/>
                <w:bottom w:val="none" w:sz="0" w:space="0" w:color="auto"/>
                <w:right w:val="none" w:sz="0" w:space="0" w:color="auto"/>
              </w:divBdr>
              <w:divsChild>
                <w:div w:id="2095055568">
                  <w:marLeft w:val="0"/>
                  <w:marRight w:val="0"/>
                  <w:marTop w:val="0"/>
                  <w:marBottom w:val="0"/>
                  <w:divBdr>
                    <w:top w:val="none" w:sz="0" w:space="0" w:color="auto"/>
                    <w:left w:val="none" w:sz="0" w:space="0" w:color="auto"/>
                    <w:bottom w:val="none" w:sz="0" w:space="0" w:color="auto"/>
                    <w:right w:val="none" w:sz="0" w:space="0" w:color="auto"/>
                  </w:divBdr>
                  <w:divsChild>
                    <w:div w:id="1027218687">
                      <w:marLeft w:val="0"/>
                      <w:marRight w:val="0"/>
                      <w:marTop w:val="0"/>
                      <w:marBottom w:val="0"/>
                      <w:divBdr>
                        <w:top w:val="none" w:sz="0" w:space="0" w:color="auto"/>
                        <w:left w:val="none" w:sz="0" w:space="0" w:color="auto"/>
                        <w:bottom w:val="none" w:sz="0" w:space="0" w:color="auto"/>
                        <w:right w:val="none" w:sz="0" w:space="0" w:color="auto"/>
                      </w:divBdr>
                      <w:divsChild>
                        <w:div w:id="1749615658">
                          <w:marLeft w:val="0"/>
                          <w:marRight w:val="0"/>
                          <w:marTop w:val="0"/>
                          <w:marBottom w:val="0"/>
                          <w:divBdr>
                            <w:top w:val="none" w:sz="0" w:space="0" w:color="auto"/>
                            <w:left w:val="none" w:sz="0" w:space="0" w:color="auto"/>
                            <w:bottom w:val="none" w:sz="0" w:space="0" w:color="auto"/>
                            <w:right w:val="none" w:sz="0" w:space="0" w:color="auto"/>
                          </w:divBdr>
                          <w:divsChild>
                            <w:div w:id="150677389">
                              <w:marLeft w:val="0"/>
                              <w:marRight w:val="0"/>
                              <w:marTop w:val="0"/>
                              <w:marBottom w:val="0"/>
                              <w:divBdr>
                                <w:top w:val="none" w:sz="0" w:space="0" w:color="auto"/>
                                <w:left w:val="none" w:sz="0" w:space="0" w:color="auto"/>
                                <w:bottom w:val="none" w:sz="0" w:space="0" w:color="auto"/>
                                <w:right w:val="none" w:sz="0" w:space="0" w:color="auto"/>
                              </w:divBdr>
                              <w:divsChild>
                                <w:div w:id="1824547146">
                                  <w:marLeft w:val="0"/>
                                  <w:marRight w:val="0"/>
                                  <w:marTop w:val="0"/>
                                  <w:marBottom w:val="0"/>
                                  <w:divBdr>
                                    <w:top w:val="none" w:sz="0" w:space="0" w:color="auto"/>
                                    <w:left w:val="none" w:sz="0" w:space="0" w:color="auto"/>
                                    <w:bottom w:val="none" w:sz="0" w:space="0" w:color="auto"/>
                                    <w:right w:val="none" w:sz="0" w:space="0" w:color="auto"/>
                                  </w:divBdr>
                                </w:div>
                              </w:divsChild>
                            </w:div>
                            <w:div w:id="1571961601">
                              <w:marLeft w:val="0"/>
                              <w:marRight w:val="0"/>
                              <w:marTop w:val="100"/>
                              <w:marBottom w:val="0"/>
                              <w:divBdr>
                                <w:top w:val="none" w:sz="0" w:space="0" w:color="auto"/>
                                <w:left w:val="none" w:sz="0" w:space="0" w:color="auto"/>
                                <w:bottom w:val="none" w:sz="0" w:space="0" w:color="auto"/>
                                <w:right w:val="none" w:sz="0" w:space="0" w:color="auto"/>
                              </w:divBdr>
                              <w:divsChild>
                                <w:div w:id="1634095010">
                                  <w:marLeft w:val="0"/>
                                  <w:marRight w:val="240"/>
                                  <w:marTop w:val="0"/>
                                  <w:marBottom w:val="0"/>
                                  <w:divBdr>
                                    <w:top w:val="none" w:sz="0" w:space="0" w:color="auto"/>
                                    <w:left w:val="none" w:sz="0" w:space="0" w:color="auto"/>
                                    <w:bottom w:val="none" w:sz="0" w:space="0" w:color="auto"/>
                                    <w:right w:val="none" w:sz="0" w:space="0" w:color="auto"/>
                                  </w:divBdr>
                                </w:div>
                                <w:div w:id="136073561">
                                  <w:marLeft w:val="0"/>
                                  <w:marRight w:val="240"/>
                                  <w:marTop w:val="0"/>
                                  <w:marBottom w:val="0"/>
                                  <w:divBdr>
                                    <w:top w:val="none" w:sz="0" w:space="0" w:color="auto"/>
                                    <w:left w:val="none" w:sz="0" w:space="0" w:color="auto"/>
                                    <w:bottom w:val="none" w:sz="0" w:space="0" w:color="auto"/>
                                    <w:right w:val="none" w:sz="0" w:space="0" w:color="auto"/>
                                  </w:divBdr>
                                </w:div>
                              </w:divsChild>
                            </w:div>
                            <w:div w:id="963732425">
                              <w:marLeft w:val="0"/>
                              <w:marRight w:val="0"/>
                              <w:marTop w:val="0"/>
                              <w:marBottom w:val="0"/>
                              <w:divBdr>
                                <w:top w:val="none" w:sz="0" w:space="0" w:color="auto"/>
                                <w:left w:val="none" w:sz="0" w:space="0" w:color="auto"/>
                                <w:bottom w:val="none" w:sz="0" w:space="0" w:color="auto"/>
                                <w:right w:val="none" w:sz="0" w:space="0" w:color="auto"/>
                              </w:divBdr>
                            </w:div>
                            <w:div w:id="1265529346">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7380324">
      <w:bodyDiv w:val="1"/>
      <w:marLeft w:val="0"/>
      <w:marRight w:val="0"/>
      <w:marTop w:val="0"/>
      <w:marBottom w:val="0"/>
      <w:divBdr>
        <w:top w:val="none" w:sz="0" w:space="0" w:color="auto"/>
        <w:left w:val="none" w:sz="0" w:space="0" w:color="auto"/>
        <w:bottom w:val="none" w:sz="0" w:space="0" w:color="auto"/>
        <w:right w:val="none" w:sz="0" w:space="0" w:color="auto"/>
      </w:divBdr>
    </w:div>
    <w:div w:id="1951354490">
      <w:bodyDiv w:val="1"/>
      <w:marLeft w:val="0"/>
      <w:marRight w:val="0"/>
      <w:marTop w:val="0"/>
      <w:marBottom w:val="0"/>
      <w:divBdr>
        <w:top w:val="none" w:sz="0" w:space="0" w:color="auto"/>
        <w:left w:val="none" w:sz="0" w:space="0" w:color="auto"/>
        <w:bottom w:val="none" w:sz="0" w:space="0" w:color="auto"/>
        <w:right w:val="none" w:sz="0" w:space="0" w:color="auto"/>
      </w:divBdr>
      <w:divsChild>
        <w:div w:id="1959530026">
          <w:marLeft w:val="0"/>
          <w:marRight w:val="0"/>
          <w:marTop w:val="0"/>
          <w:marBottom w:val="0"/>
          <w:divBdr>
            <w:top w:val="none" w:sz="0" w:space="0" w:color="auto"/>
            <w:left w:val="none" w:sz="0" w:space="0" w:color="auto"/>
            <w:bottom w:val="none" w:sz="0" w:space="0" w:color="auto"/>
            <w:right w:val="none" w:sz="0" w:space="0" w:color="auto"/>
          </w:divBdr>
          <w:divsChild>
            <w:div w:id="532231068">
              <w:marLeft w:val="0"/>
              <w:marRight w:val="0"/>
              <w:marTop w:val="0"/>
              <w:marBottom w:val="0"/>
              <w:divBdr>
                <w:top w:val="none" w:sz="0" w:space="0" w:color="auto"/>
                <w:left w:val="none" w:sz="0" w:space="0" w:color="auto"/>
                <w:bottom w:val="none" w:sz="0" w:space="0" w:color="auto"/>
                <w:right w:val="none" w:sz="0" w:space="0" w:color="auto"/>
              </w:divBdr>
              <w:divsChild>
                <w:div w:id="30686974">
                  <w:marLeft w:val="0"/>
                  <w:marRight w:val="0"/>
                  <w:marTop w:val="0"/>
                  <w:marBottom w:val="0"/>
                  <w:divBdr>
                    <w:top w:val="none" w:sz="0" w:space="0" w:color="auto"/>
                    <w:left w:val="none" w:sz="0" w:space="0" w:color="auto"/>
                    <w:bottom w:val="none" w:sz="0" w:space="0" w:color="auto"/>
                    <w:right w:val="none" w:sz="0" w:space="0" w:color="auto"/>
                  </w:divBdr>
                  <w:divsChild>
                    <w:div w:id="1715500274">
                      <w:marLeft w:val="0"/>
                      <w:marRight w:val="0"/>
                      <w:marTop w:val="0"/>
                      <w:marBottom w:val="0"/>
                      <w:divBdr>
                        <w:top w:val="none" w:sz="0" w:space="0" w:color="auto"/>
                        <w:left w:val="none" w:sz="0" w:space="0" w:color="auto"/>
                        <w:bottom w:val="none" w:sz="0" w:space="0" w:color="auto"/>
                        <w:right w:val="none" w:sz="0" w:space="0" w:color="auto"/>
                      </w:divBdr>
                      <w:divsChild>
                        <w:div w:id="1462116237">
                          <w:marLeft w:val="0"/>
                          <w:marRight w:val="0"/>
                          <w:marTop w:val="0"/>
                          <w:marBottom w:val="0"/>
                          <w:divBdr>
                            <w:top w:val="none" w:sz="0" w:space="0" w:color="auto"/>
                            <w:left w:val="none" w:sz="0" w:space="0" w:color="auto"/>
                            <w:bottom w:val="none" w:sz="0" w:space="0" w:color="auto"/>
                            <w:right w:val="none" w:sz="0" w:space="0" w:color="auto"/>
                          </w:divBdr>
                          <w:divsChild>
                            <w:div w:id="860046433">
                              <w:marLeft w:val="0"/>
                              <w:marRight w:val="0"/>
                              <w:marTop w:val="0"/>
                              <w:marBottom w:val="0"/>
                              <w:divBdr>
                                <w:top w:val="none" w:sz="0" w:space="0" w:color="auto"/>
                                <w:left w:val="none" w:sz="0" w:space="0" w:color="auto"/>
                                <w:bottom w:val="none" w:sz="0" w:space="0" w:color="auto"/>
                                <w:right w:val="none" w:sz="0" w:space="0" w:color="auto"/>
                              </w:divBdr>
                              <w:divsChild>
                                <w:div w:id="146395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8777035">
      <w:bodyDiv w:val="1"/>
      <w:marLeft w:val="0"/>
      <w:marRight w:val="0"/>
      <w:marTop w:val="0"/>
      <w:marBottom w:val="0"/>
      <w:divBdr>
        <w:top w:val="none" w:sz="0" w:space="0" w:color="auto"/>
        <w:left w:val="none" w:sz="0" w:space="0" w:color="auto"/>
        <w:bottom w:val="none" w:sz="0" w:space="0" w:color="auto"/>
        <w:right w:val="none" w:sz="0" w:space="0" w:color="auto"/>
      </w:divBdr>
    </w:div>
    <w:div w:id="2001959891">
      <w:bodyDiv w:val="1"/>
      <w:marLeft w:val="0"/>
      <w:marRight w:val="0"/>
      <w:marTop w:val="0"/>
      <w:marBottom w:val="0"/>
      <w:divBdr>
        <w:top w:val="none" w:sz="0" w:space="0" w:color="auto"/>
        <w:left w:val="none" w:sz="0" w:space="0" w:color="auto"/>
        <w:bottom w:val="none" w:sz="0" w:space="0" w:color="auto"/>
        <w:right w:val="none" w:sz="0" w:space="0" w:color="auto"/>
      </w:divBdr>
      <w:divsChild>
        <w:div w:id="654801942">
          <w:marLeft w:val="0"/>
          <w:marRight w:val="0"/>
          <w:marTop w:val="0"/>
          <w:marBottom w:val="0"/>
          <w:divBdr>
            <w:top w:val="none" w:sz="0" w:space="0" w:color="auto"/>
            <w:left w:val="none" w:sz="0" w:space="0" w:color="auto"/>
            <w:bottom w:val="none" w:sz="0" w:space="0" w:color="auto"/>
            <w:right w:val="none" w:sz="0" w:space="0" w:color="auto"/>
          </w:divBdr>
          <w:divsChild>
            <w:div w:id="247737181">
              <w:marLeft w:val="0"/>
              <w:marRight w:val="0"/>
              <w:marTop w:val="0"/>
              <w:marBottom w:val="0"/>
              <w:divBdr>
                <w:top w:val="none" w:sz="0" w:space="0" w:color="auto"/>
                <w:left w:val="none" w:sz="0" w:space="0" w:color="auto"/>
                <w:bottom w:val="none" w:sz="0" w:space="0" w:color="auto"/>
                <w:right w:val="none" w:sz="0" w:space="0" w:color="auto"/>
              </w:divBdr>
              <w:divsChild>
                <w:div w:id="1600408915">
                  <w:marLeft w:val="0"/>
                  <w:marRight w:val="0"/>
                  <w:marTop w:val="0"/>
                  <w:marBottom w:val="0"/>
                  <w:divBdr>
                    <w:top w:val="none" w:sz="0" w:space="0" w:color="auto"/>
                    <w:left w:val="none" w:sz="0" w:space="0" w:color="auto"/>
                    <w:bottom w:val="none" w:sz="0" w:space="0" w:color="auto"/>
                    <w:right w:val="none" w:sz="0" w:space="0" w:color="auto"/>
                  </w:divBdr>
                  <w:divsChild>
                    <w:div w:id="818501954">
                      <w:marLeft w:val="0"/>
                      <w:marRight w:val="0"/>
                      <w:marTop w:val="0"/>
                      <w:marBottom w:val="0"/>
                      <w:divBdr>
                        <w:top w:val="none" w:sz="0" w:space="0" w:color="auto"/>
                        <w:left w:val="none" w:sz="0" w:space="0" w:color="auto"/>
                        <w:bottom w:val="none" w:sz="0" w:space="0" w:color="auto"/>
                        <w:right w:val="none" w:sz="0" w:space="0" w:color="auto"/>
                      </w:divBdr>
                      <w:divsChild>
                        <w:div w:id="726879649">
                          <w:marLeft w:val="0"/>
                          <w:marRight w:val="0"/>
                          <w:marTop w:val="0"/>
                          <w:marBottom w:val="0"/>
                          <w:divBdr>
                            <w:top w:val="none" w:sz="0" w:space="0" w:color="auto"/>
                            <w:left w:val="none" w:sz="0" w:space="0" w:color="auto"/>
                            <w:bottom w:val="none" w:sz="0" w:space="0" w:color="auto"/>
                            <w:right w:val="none" w:sz="0" w:space="0" w:color="auto"/>
                          </w:divBdr>
                          <w:divsChild>
                            <w:div w:id="29572859">
                              <w:marLeft w:val="0"/>
                              <w:marRight w:val="0"/>
                              <w:marTop w:val="0"/>
                              <w:marBottom w:val="0"/>
                              <w:divBdr>
                                <w:top w:val="none" w:sz="0" w:space="0" w:color="auto"/>
                                <w:left w:val="none" w:sz="0" w:space="0" w:color="auto"/>
                                <w:bottom w:val="none" w:sz="0" w:space="0" w:color="auto"/>
                                <w:right w:val="none" w:sz="0" w:space="0" w:color="auto"/>
                              </w:divBdr>
                              <w:divsChild>
                                <w:div w:id="41760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19455746">
      <w:bodyDiv w:val="1"/>
      <w:marLeft w:val="0"/>
      <w:marRight w:val="0"/>
      <w:marTop w:val="0"/>
      <w:marBottom w:val="0"/>
      <w:divBdr>
        <w:top w:val="none" w:sz="0" w:space="0" w:color="auto"/>
        <w:left w:val="none" w:sz="0" w:space="0" w:color="auto"/>
        <w:bottom w:val="none" w:sz="0" w:space="0" w:color="auto"/>
        <w:right w:val="none" w:sz="0" w:space="0" w:color="auto"/>
      </w:divBdr>
      <w:divsChild>
        <w:div w:id="679502414">
          <w:marLeft w:val="0"/>
          <w:marRight w:val="0"/>
          <w:marTop w:val="0"/>
          <w:marBottom w:val="0"/>
          <w:divBdr>
            <w:top w:val="none" w:sz="0" w:space="0" w:color="auto"/>
            <w:left w:val="none" w:sz="0" w:space="0" w:color="auto"/>
            <w:bottom w:val="none" w:sz="0" w:space="0" w:color="auto"/>
            <w:right w:val="none" w:sz="0" w:space="0" w:color="auto"/>
          </w:divBdr>
          <w:divsChild>
            <w:div w:id="1957059715">
              <w:marLeft w:val="0"/>
              <w:marRight w:val="0"/>
              <w:marTop w:val="0"/>
              <w:marBottom w:val="0"/>
              <w:divBdr>
                <w:top w:val="none" w:sz="0" w:space="0" w:color="auto"/>
                <w:left w:val="none" w:sz="0" w:space="0" w:color="auto"/>
                <w:bottom w:val="none" w:sz="0" w:space="0" w:color="auto"/>
                <w:right w:val="none" w:sz="0" w:space="0" w:color="auto"/>
              </w:divBdr>
              <w:divsChild>
                <w:div w:id="112528161">
                  <w:marLeft w:val="0"/>
                  <w:marRight w:val="0"/>
                  <w:marTop w:val="0"/>
                  <w:marBottom w:val="0"/>
                  <w:divBdr>
                    <w:top w:val="none" w:sz="0" w:space="0" w:color="auto"/>
                    <w:left w:val="none" w:sz="0" w:space="0" w:color="auto"/>
                    <w:bottom w:val="none" w:sz="0" w:space="0" w:color="auto"/>
                    <w:right w:val="none" w:sz="0" w:space="0" w:color="auto"/>
                  </w:divBdr>
                  <w:divsChild>
                    <w:div w:id="1047607020">
                      <w:marLeft w:val="0"/>
                      <w:marRight w:val="0"/>
                      <w:marTop w:val="0"/>
                      <w:marBottom w:val="0"/>
                      <w:divBdr>
                        <w:top w:val="none" w:sz="0" w:space="0" w:color="auto"/>
                        <w:left w:val="none" w:sz="0" w:space="0" w:color="auto"/>
                        <w:bottom w:val="none" w:sz="0" w:space="0" w:color="auto"/>
                        <w:right w:val="none" w:sz="0" w:space="0" w:color="auto"/>
                      </w:divBdr>
                      <w:divsChild>
                        <w:div w:id="572352347">
                          <w:marLeft w:val="0"/>
                          <w:marRight w:val="0"/>
                          <w:marTop w:val="0"/>
                          <w:marBottom w:val="0"/>
                          <w:divBdr>
                            <w:top w:val="none" w:sz="0" w:space="0" w:color="auto"/>
                            <w:left w:val="none" w:sz="0" w:space="0" w:color="auto"/>
                            <w:bottom w:val="none" w:sz="0" w:space="0" w:color="auto"/>
                            <w:right w:val="none" w:sz="0" w:space="0" w:color="auto"/>
                          </w:divBdr>
                          <w:divsChild>
                            <w:div w:id="288586017">
                              <w:marLeft w:val="0"/>
                              <w:marRight w:val="0"/>
                              <w:marTop w:val="0"/>
                              <w:marBottom w:val="0"/>
                              <w:divBdr>
                                <w:top w:val="none" w:sz="0" w:space="0" w:color="auto"/>
                                <w:left w:val="none" w:sz="0" w:space="0" w:color="auto"/>
                                <w:bottom w:val="none" w:sz="0" w:space="0" w:color="auto"/>
                                <w:right w:val="none" w:sz="0" w:space="0" w:color="auto"/>
                              </w:divBdr>
                              <w:divsChild>
                                <w:div w:id="78951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1663336">
      <w:bodyDiv w:val="1"/>
      <w:marLeft w:val="0"/>
      <w:marRight w:val="0"/>
      <w:marTop w:val="0"/>
      <w:marBottom w:val="0"/>
      <w:divBdr>
        <w:top w:val="none" w:sz="0" w:space="0" w:color="auto"/>
        <w:left w:val="none" w:sz="0" w:space="0" w:color="auto"/>
        <w:bottom w:val="none" w:sz="0" w:space="0" w:color="auto"/>
        <w:right w:val="none" w:sz="0" w:space="0" w:color="auto"/>
      </w:divBdr>
      <w:divsChild>
        <w:div w:id="1694070919">
          <w:marLeft w:val="0"/>
          <w:marRight w:val="0"/>
          <w:marTop w:val="0"/>
          <w:marBottom w:val="0"/>
          <w:divBdr>
            <w:top w:val="none" w:sz="0" w:space="0" w:color="auto"/>
            <w:left w:val="none" w:sz="0" w:space="0" w:color="auto"/>
            <w:bottom w:val="none" w:sz="0" w:space="0" w:color="auto"/>
            <w:right w:val="none" w:sz="0" w:space="0" w:color="auto"/>
          </w:divBdr>
          <w:divsChild>
            <w:div w:id="883903252">
              <w:marLeft w:val="0"/>
              <w:marRight w:val="0"/>
              <w:marTop w:val="0"/>
              <w:marBottom w:val="0"/>
              <w:divBdr>
                <w:top w:val="none" w:sz="0" w:space="0" w:color="auto"/>
                <w:left w:val="none" w:sz="0" w:space="0" w:color="auto"/>
                <w:bottom w:val="none" w:sz="0" w:space="0" w:color="auto"/>
                <w:right w:val="none" w:sz="0" w:space="0" w:color="auto"/>
              </w:divBdr>
              <w:divsChild>
                <w:div w:id="1120302113">
                  <w:marLeft w:val="0"/>
                  <w:marRight w:val="0"/>
                  <w:marTop w:val="0"/>
                  <w:marBottom w:val="0"/>
                  <w:divBdr>
                    <w:top w:val="none" w:sz="0" w:space="0" w:color="auto"/>
                    <w:left w:val="none" w:sz="0" w:space="0" w:color="auto"/>
                    <w:bottom w:val="none" w:sz="0" w:space="0" w:color="auto"/>
                    <w:right w:val="none" w:sz="0" w:space="0" w:color="auto"/>
                  </w:divBdr>
                  <w:divsChild>
                    <w:div w:id="2021589791">
                      <w:marLeft w:val="0"/>
                      <w:marRight w:val="0"/>
                      <w:marTop w:val="0"/>
                      <w:marBottom w:val="0"/>
                      <w:divBdr>
                        <w:top w:val="none" w:sz="0" w:space="0" w:color="auto"/>
                        <w:left w:val="none" w:sz="0" w:space="0" w:color="auto"/>
                        <w:bottom w:val="none" w:sz="0" w:space="0" w:color="auto"/>
                        <w:right w:val="none" w:sz="0" w:space="0" w:color="auto"/>
                      </w:divBdr>
                      <w:divsChild>
                        <w:div w:id="317611248">
                          <w:marLeft w:val="0"/>
                          <w:marRight w:val="0"/>
                          <w:marTop w:val="0"/>
                          <w:marBottom w:val="0"/>
                          <w:divBdr>
                            <w:top w:val="none" w:sz="0" w:space="0" w:color="auto"/>
                            <w:left w:val="none" w:sz="0" w:space="0" w:color="auto"/>
                            <w:bottom w:val="none" w:sz="0" w:space="0" w:color="auto"/>
                            <w:right w:val="none" w:sz="0" w:space="0" w:color="auto"/>
                          </w:divBdr>
                          <w:divsChild>
                            <w:div w:id="878082831">
                              <w:marLeft w:val="0"/>
                              <w:marRight w:val="0"/>
                              <w:marTop w:val="0"/>
                              <w:marBottom w:val="0"/>
                              <w:divBdr>
                                <w:top w:val="none" w:sz="0" w:space="0" w:color="auto"/>
                                <w:left w:val="none" w:sz="0" w:space="0" w:color="auto"/>
                                <w:bottom w:val="none" w:sz="0" w:space="0" w:color="auto"/>
                                <w:right w:val="none" w:sz="0" w:space="0" w:color="auto"/>
                              </w:divBdr>
                              <w:divsChild>
                                <w:div w:id="11346961">
                                  <w:marLeft w:val="0"/>
                                  <w:marRight w:val="0"/>
                                  <w:marTop w:val="0"/>
                                  <w:marBottom w:val="0"/>
                                  <w:divBdr>
                                    <w:top w:val="none" w:sz="0" w:space="0" w:color="auto"/>
                                    <w:left w:val="none" w:sz="0" w:space="0" w:color="auto"/>
                                    <w:bottom w:val="none" w:sz="0" w:space="0" w:color="auto"/>
                                    <w:right w:val="none" w:sz="0" w:space="0" w:color="auto"/>
                                  </w:divBdr>
                                </w:div>
                              </w:divsChild>
                            </w:div>
                            <w:div w:id="1059938136">
                              <w:marLeft w:val="0"/>
                              <w:marRight w:val="0"/>
                              <w:marTop w:val="92"/>
                              <w:marBottom w:val="0"/>
                              <w:divBdr>
                                <w:top w:val="none" w:sz="0" w:space="0" w:color="auto"/>
                                <w:left w:val="none" w:sz="0" w:space="0" w:color="auto"/>
                                <w:bottom w:val="none" w:sz="0" w:space="0" w:color="auto"/>
                                <w:right w:val="none" w:sz="0" w:space="0" w:color="auto"/>
                              </w:divBdr>
                              <w:divsChild>
                                <w:div w:id="287662768">
                                  <w:marLeft w:val="0"/>
                                  <w:marRight w:val="240"/>
                                  <w:marTop w:val="0"/>
                                  <w:marBottom w:val="0"/>
                                  <w:divBdr>
                                    <w:top w:val="none" w:sz="0" w:space="0" w:color="auto"/>
                                    <w:left w:val="none" w:sz="0" w:space="0" w:color="auto"/>
                                    <w:bottom w:val="none" w:sz="0" w:space="0" w:color="auto"/>
                                    <w:right w:val="none" w:sz="0" w:space="0" w:color="auto"/>
                                  </w:divBdr>
                                </w:div>
                                <w:div w:id="332345165">
                                  <w:marLeft w:val="0"/>
                                  <w:marRight w:val="240"/>
                                  <w:marTop w:val="0"/>
                                  <w:marBottom w:val="0"/>
                                  <w:divBdr>
                                    <w:top w:val="none" w:sz="0" w:space="0" w:color="auto"/>
                                    <w:left w:val="none" w:sz="0" w:space="0" w:color="auto"/>
                                    <w:bottom w:val="none" w:sz="0" w:space="0" w:color="auto"/>
                                    <w:right w:val="none" w:sz="0" w:space="0" w:color="auto"/>
                                  </w:divBdr>
                                </w:div>
                              </w:divsChild>
                            </w:div>
                            <w:div w:id="1706717277">
                              <w:marLeft w:val="0"/>
                              <w:marRight w:val="0"/>
                              <w:marTop w:val="0"/>
                              <w:marBottom w:val="0"/>
                              <w:divBdr>
                                <w:top w:val="none" w:sz="0" w:space="0" w:color="auto"/>
                                <w:left w:val="none" w:sz="0" w:space="0" w:color="auto"/>
                                <w:bottom w:val="none" w:sz="0" w:space="0" w:color="auto"/>
                                <w:right w:val="none" w:sz="0" w:space="0" w:color="auto"/>
                              </w:divBdr>
                            </w:div>
                            <w:div w:id="1038241448">
                              <w:marLeft w:val="0"/>
                              <w:marRight w:val="0"/>
                              <w:marTop w:val="4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1032166">
      <w:bodyDiv w:val="1"/>
      <w:marLeft w:val="0"/>
      <w:marRight w:val="0"/>
      <w:marTop w:val="0"/>
      <w:marBottom w:val="0"/>
      <w:divBdr>
        <w:top w:val="none" w:sz="0" w:space="0" w:color="auto"/>
        <w:left w:val="none" w:sz="0" w:space="0" w:color="auto"/>
        <w:bottom w:val="none" w:sz="0" w:space="0" w:color="auto"/>
        <w:right w:val="none" w:sz="0" w:space="0" w:color="auto"/>
      </w:divBdr>
      <w:divsChild>
        <w:div w:id="1416435683">
          <w:marLeft w:val="0"/>
          <w:marRight w:val="0"/>
          <w:marTop w:val="0"/>
          <w:marBottom w:val="0"/>
          <w:divBdr>
            <w:top w:val="none" w:sz="0" w:space="0" w:color="auto"/>
            <w:left w:val="none" w:sz="0" w:space="0" w:color="auto"/>
            <w:bottom w:val="none" w:sz="0" w:space="0" w:color="auto"/>
            <w:right w:val="none" w:sz="0" w:space="0" w:color="auto"/>
          </w:divBdr>
          <w:divsChild>
            <w:div w:id="248737145">
              <w:marLeft w:val="0"/>
              <w:marRight w:val="0"/>
              <w:marTop w:val="0"/>
              <w:marBottom w:val="0"/>
              <w:divBdr>
                <w:top w:val="none" w:sz="0" w:space="0" w:color="auto"/>
                <w:left w:val="none" w:sz="0" w:space="0" w:color="auto"/>
                <w:bottom w:val="none" w:sz="0" w:space="0" w:color="auto"/>
                <w:right w:val="none" w:sz="0" w:space="0" w:color="auto"/>
              </w:divBdr>
              <w:divsChild>
                <w:div w:id="395903150">
                  <w:marLeft w:val="0"/>
                  <w:marRight w:val="0"/>
                  <w:marTop w:val="0"/>
                  <w:marBottom w:val="0"/>
                  <w:divBdr>
                    <w:top w:val="none" w:sz="0" w:space="0" w:color="auto"/>
                    <w:left w:val="none" w:sz="0" w:space="0" w:color="auto"/>
                    <w:bottom w:val="none" w:sz="0" w:space="0" w:color="auto"/>
                    <w:right w:val="none" w:sz="0" w:space="0" w:color="auto"/>
                  </w:divBdr>
                  <w:divsChild>
                    <w:div w:id="213351817">
                      <w:marLeft w:val="0"/>
                      <w:marRight w:val="0"/>
                      <w:marTop w:val="0"/>
                      <w:marBottom w:val="0"/>
                      <w:divBdr>
                        <w:top w:val="none" w:sz="0" w:space="0" w:color="auto"/>
                        <w:left w:val="none" w:sz="0" w:space="0" w:color="auto"/>
                        <w:bottom w:val="none" w:sz="0" w:space="0" w:color="auto"/>
                        <w:right w:val="none" w:sz="0" w:space="0" w:color="auto"/>
                      </w:divBdr>
                      <w:divsChild>
                        <w:div w:id="1902521417">
                          <w:marLeft w:val="0"/>
                          <w:marRight w:val="0"/>
                          <w:marTop w:val="0"/>
                          <w:marBottom w:val="0"/>
                          <w:divBdr>
                            <w:top w:val="none" w:sz="0" w:space="0" w:color="auto"/>
                            <w:left w:val="none" w:sz="0" w:space="0" w:color="auto"/>
                            <w:bottom w:val="none" w:sz="0" w:space="0" w:color="auto"/>
                            <w:right w:val="none" w:sz="0" w:space="0" w:color="auto"/>
                          </w:divBdr>
                          <w:divsChild>
                            <w:div w:id="1933319997">
                              <w:marLeft w:val="0"/>
                              <w:marRight w:val="0"/>
                              <w:marTop w:val="0"/>
                              <w:marBottom w:val="0"/>
                              <w:divBdr>
                                <w:top w:val="none" w:sz="0" w:space="0" w:color="auto"/>
                                <w:left w:val="none" w:sz="0" w:space="0" w:color="auto"/>
                                <w:bottom w:val="none" w:sz="0" w:space="0" w:color="auto"/>
                                <w:right w:val="none" w:sz="0" w:space="0" w:color="auto"/>
                              </w:divBdr>
                              <w:divsChild>
                                <w:div w:id="39343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9359820">
      <w:bodyDiv w:val="1"/>
      <w:marLeft w:val="0"/>
      <w:marRight w:val="0"/>
      <w:marTop w:val="0"/>
      <w:marBottom w:val="0"/>
      <w:divBdr>
        <w:top w:val="none" w:sz="0" w:space="0" w:color="auto"/>
        <w:left w:val="none" w:sz="0" w:space="0" w:color="auto"/>
        <w:bottom w:val="none" w:sz="0" w:space="0" w:color="auto"/>
        <w:right w:val="none" w:sz="0" w:space="0" w:color="auto"/>
      </w:divBdr>
      <w:divsChild>
        <w:div w:id="1256595218">
          <w:marLeft w:val="0"/>
          <w:marRight w:val="0"/>
          <w:marTop w:val="0"/>
          <w:marBottom w:val="0"/>
          <w:divBdr>
            <w:top w:val="none" w:sz="0" w:space="0" w:color="auto"/>
            <w:left w:val="none" w:sz="0" w:space="0" w:color="auto"/>
            <w:bottom w:val="none" w:sz="0" w:space="0" w:color="auto"/>
            <w:right w:val="none" w:sz="0" w:space="0" w:color="auto"/>
          </w:divBdr>
          <w:divsChild>
            <w:div w:id="90250371">
              <w:marLeft w:val="0"/>
              <w:marRight w:val="0"/>
              <w:marTop w:val="0"/>
              <w:marBottom w:val="0"/>
              <w:divBdr>
                <w:top w:val="none" w:sz="0" w:space="0" w:color="auto"/>
                <w:left w:val="none" w:sz="0" w:space="0" w:color="auto"/>
                <w:bottom w:val="none" w:sz="0" w:space="0" w:color="auto"/>
                <w:right w:val="none" w:sz="0" w:space="0" w:color="auto"/>
              </w:divBdr>
              <w:divsChild>
                <w:div w:id="437795070">
                  <w:marLeft w:val="0"/>
                  <w:marRight w:val="0"/>
                  <w:marTop w:val="0"/>
                  <w:marBottom w:val="0"/>
                  <w:divBdr>
                    <w:top w:val="none" w:sz="0" w:space="0" w:color="auto"/>
                    <w:left w:val="none" w:sz="0" w:space="0" w:color="auto"/>
                    <w:bottom w:val="none" w:sz="0" w:space="0" w:color="auto"/>
                    <w:right w:val="none" w:sz="0" w:space="0" w:color="auto"/>
                  </w:divBdr>
                  <w:divsChild>
                    <w:div w:id="1909997146">
                      <w:marLeft w:val="0"/>
                      <w:marRight w:val="0"/>
                      <w:marTop w:val="0"/>
                      <w:marBottom w:val="0"/>
                      <w:divBdr>
                        <w:top w:val="none" w:sz="0" w:space="0" w:color="auto"/>
                        <w:left w:val="none" w:sz="0" w:space="0" w:color="auto"/>
                        <w:bottom w:val="none" w:sz="0" w:space="0" w:color="auto"/>
                        <w:right w:val="none" w:sz="0" w:space="0" w:color="auto"/>
                      </w:divBdr>
                      <w:divsChild>
                        <w:div w:id="331570629">
                          <w:marLeft w:val="0"/>
                          <w:marRight w:val="0"/>
                          <w:marTop w:val="0"/>
                          <w:marBottom w:val="0"/>
                          <w:divBdr>
                            <w:top w:val="none" w:sz="0" w:space="0" w:color="auto"/>
                            <w:left w:val="none" w:sz="0" w:space="0" w:color="auto"/>
                            <w:bottom w:val="none" w:sz="0" w:space="0" w:color="auto"/>
                            <w:right w:val="none" w:sz="0" w:space="0" w:color="auto"/>
                          </w:divBdr>
                          <w:divsChild>
                            <w:div w:id="195896373">
                              <w:marLeft w:val="0"/>
                              <w:marRight w:val="0"/>
                              <w:marTop w:val="0"/>
                              <w:marBottom w:val="0"/>
                              <w:divBdr>
                                <w:top w:val="none" w:sz="0" w:space="0" w:color="auto"/>
                                <w:left w:val="none" w:sz="0" w:space="0" w:color="auto"/>
                                <w:bottom w:val="none" w:sz="0" w:space="0" w:color="auto"/>
                                <w:right w:val="none" w:sz="0" w:space="0" w:color="auto"/>
                              </w:divBdr>
                              <w:divsChild>
                                <w:div w:id="6233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79013705">
      <w:bodyDiv w:val="1"/>
      <w:marLeft w:val="0"/>
      <w:marRight w:val="0"/>
      <w:marTop w:val="0"/>
      <w:marBottom w:val="0"/>
      <w:divBdr>
        <w:top w:val="none" w:sz="0" w:space="0" w:color="auto"/>
        <w:left w:val="none" w:sz="0" w:space="0" w:color="auto"/>
        <w:bottom w:val="none" w:sz="0" w:space="0" w:color="auto"/>
        <w:right w:val="none" w:sz="0" w:space="0" w:color="auto"/>
      </w:divBdr>
    </w:div>
    <w:div w:id="2096853970">
      <w:bodyDiv w:val="1"/>
      <w:marLeft w:val="0"/>
      <w:marRight w:val="0"/>
      <w:marTop w:val="0"/>
      <w:marBottom w:val="0"/>
      <w:divBdr>
        <w:top w:val="none" w:sz="0" w:space="0" w:color="auto"/>
        <w:left w:val="none" w:sz="0" w:space="0" w:color="auto"/>
        <w:bottom w:val="none" w:sz="0" w:space="0" w:color="auto"/>
        <w:right w:val="none" w:sz="0" w:space="0" w:color="auto"/>
      </w:divBdr>
      <w:divsChild>
        <w:div w:id="1231620270">
          <w:marLeft w:val="0"/>
          <w:marRight w:val="0"/>
          <w:marTop w:val="0"/>
          <w:marBottom w:val="0"/>
          <w:divBdr>
            <w:top w:val="none" w:sz="0" w:space="0" w:color="auto"/>
            <w:left w:val="none" w:sz="0" w:space="0" w:color="auto"/>
            <w:bottom w:val="none" w:sz="0" w:space="0" w:color="auto"/>
            <w:right w:val="none" w:sz="0" w:space="0" w:color="auto"/>
          </w:divBdr>
          <w:divsChild>
            <w:div w:id="2015573942">
              <w:marLeft w:val="0"/>
              <w:marRight w:val="0"/>
              <w:marTop w:val="0"/>
              <w:marBottom w:val="0"/>
              <w:divBdr>
                <w:top w:val="none" w:sz="0" w:space="0" w:color="auto"/>
                <w:left w:val="none" w:sz="0" w:space="0" w:color="auto"/>
                <w:bottom w:val="none" w:sz="0" w:space="0" w:color="auto"/>
                <w:right w:val="none" w:sz="0" w:space="0" w:color="auto"/>
              </w:divBdr>
              <w:divsChild>
                <w:div w:id="406536410">
                  <w:marLeft w:val="0"/>
                  <w:marRight w:val="0"/>
                  <w:marTop w:val="0"/>
                  <w:marBottom w:val="0"/>
                  <w:divBdr>
                    <w:top w:val="none" w:sz="0" w:space="0" w:color="auto"/>
                    <w:left w:val="none" w:sz="0" w:space="0" w:color="auto"/>
                    <w:bottom w:val="none" w:sz="0" w:space="0" w:color="auto"/>
                    <w:right w:val="none" w:sz="0" w:space="0" w:color="auto"/>
                  </w:divBdr>
                  <w:divsChild>
                    <w:div w:id="1881824313">
                      <w:marLeft w:val="0"/>
                      <w:marRight w:val="0"/>
                      <w:marTop w:val="0"/>
                      <w:marBottom w:val="0"/>
                      <w:divBdr>
                        <w:top w:val="none" w:sz="0" w:space="0" w:color="auto"/>
                        <w:left w:val="none" w:sz="0" w:space="0" w:color="auto"/>
                        <w:bottom w:val="none" w:sz="0" w:space="0" w:color="auto"/>
                        <w:right w:val="none" w:sz="0" w:space="0" w:color="auto"/>
                      </w:divBdr>
                      <w:divsChild>
                        <w:div w:id="1546216101">
                          <w:marLeft w:val="0"/>
                          <w:marRight w:val="0"/>
                          <w:marTop w:val="0"/>
                          <w:marBottom w:val="0"/>
                          <w:divBdr>
                            <w:top w:val="none" w:sz="0" w:space="0" w:color="auto"/>
                            <w:left w:val="none" w:sz="0" w:space="0" w:color="auto"/>
                            <w:bottom w:val="none" w:sz="0" w:space="0" w:color="auto"/>
                            <w:right w:val="none" w:sz="0" w:space="0" w:color="auto"/>
                          </w:divBdr>
                          <w:divsChild>
                            <w:div w:id="1795827994">
                              <w:marLeft w:val="0"/>
                              <w:marRight w:val="0"/>
                              <w:marTop w:val="0"/>
                              <w:marBottom w:val="0"/>
                              <w:divBdr>
                                <w:top w:val="none" w:sz="0" w:space="0" w:color="auto"/>
                                <w:left w:val="none" w:sz="0" w:space="0" w:color="auto"/>
                                <w:bottom w:val="none" w:sz="0" w:space="0" w:color="auto"/>
                                <w:right w:val="none" w:sz="0" w:space="0" w:color="auto"/>
                              </w:divBdr>
                              <w:divsChild>
                                <w:div w:id="122205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3550678">
      <w:bodyDiv w:val="1"/>
      <w:marLeft w:val="0"/>
      <w:marRight w:val="0"/>
      <w:marTop w:val="0"/>
      <w:marBottom w:val="0"/>
      <w:divBdr>
        <w:top w:val="none" w:sz="0" w:space="0" w:color="auto"/>
        <w:left w:val="none" w:sz="0" w:space="0" w:color="auto"/>
        <w:bottom w:val="none" w:sz="0" w:space="0" w:color="auto"/>
        <w:right w:val="none" w:sz="0" w:space="0" w:color="auto"/>
      </w:divBdr>
      <w:divsChild>
        <w:div w:id="2028285091">
          <w:marLeft w:val="0"/>
          <w:marRight w:val="0"/>
          <w:marTop w:val="0"/>
          <w:marBottom w:val="0"/>
          <w:divBdr>
            <w:top w:val="none" w:sz="0" w:space="0" w:color="auto"/>
            <w:left w:val="none" w:sz="0" w:space="0" w:color="auto"/>
            <w:bottom w:val="none" w:sz="0" w:space="0" w:color="auto"/>
            <w:right w:val="none" w:sz="0" w:space="0" w:color="auto"/>
          </w:divBdr>
          <w:divsChild>
            <w:div w:id="786856331">
              <w:marLeft w:val="0"/>
              <w:marRight w:val="0"/>
              <w:marTop w:val="0"/>
              <w:marBottom w:val="0"/>
              <w:divBdr>
                <w:top w:val="none" w:sz="0" w:space="0" w:color="auto"/>
                <w:left w:val="none" w:sz="0" w:space="0" w:color="auto"/>
                <w:bottom w:val="none" w:sz="0" w:space="0" w:color="auto"/>
                <w:right w:val="none" w:sz="0" w:space="0" w:color="auto"/>
              </w:divBdr>
              <w:divsChild>
                <w:div w:id="1827553969">
                  <w:marLeft w:val="0"/>
                  <w:marRight w:val="0"/>
                  <w:marTop w:val="0"/>
                  <w:marBottom w:val="0"/>
                  <w:divBdr>
                    <w:top w:val="none" w:sz="0" w:space="0" w:color="auto"/>
                    <w:left w:val="none" w:sz="0" w:space="0" w:color="auto"/>
                    <w:bottom w:val="none" w:sz="0" w:space="0" w:color="auto"/>
                    <w:right w:val="none" w:sz="0" w:space="0" w:color="auto"/>
                  </w:divBdr>
                  <w:divsChild>
                    <w:div w:id="440760525">
                      <w:marLeft w:val="0"/>
                      <w:marRight w:val="0"/>
                      <w:marTop w:val="0"/>
                      <w:marBottom w:val="0"/>
                      <w:divBdr>
                        <w:top w:val="none" w:sz="0" w:space="0" w:color="auto"/>
                        <w:left w:val="none" w:sz="0" w:space="0" w:color="auto"/>
                        <w:bottom w:val="none" w:sz="0" w:space="0" w:color="auto"/>
                        <w:right w:val="none" w:sz="0" w:space="0" w:color="auto"/>
                      </w:divBdr>
                      <w:divsChild>
                        <w:div w:id="594870449">
                          <w:marLeft w:val="0"/>
                          <w:marRight w:val="0"/>
                          <w:marTop w:val="0"/>
                          <w:marBottom w:val="0"/>
                          <w:divBdr>
                            <w:top w:val="none" w:sz="0" w:space="0" w:color="auto"/>
                            <w:left w:val="none" w:sz="0" w:space="0" w:color="auto"/>
                            <w:bottom w:val="none" w:sz="0" w:space="0" w:color="auto"/>
                            <w:right w:val="none" w:sz="0" w:space="0" w:color="auto"/>
                          </w:divBdr>
                          <w:divsChild>
                            <w:div w:id="1886286827">
                              <w:marLeft w:val="0"/>
                              <w:marRight w:val="0"/>
                              <w:marTop w:val="0"/>
                              <w:marBottom w:val="0"/>
                              <w:divBdr>
                                <w:top w:val="none" w:sz="0" w:space="0" w:color="auto"/>
                                <w:left w:val="none" w:sz="0" w:space="0" w:color="auto"/>
                                <w:bottom w:val="none" w:sz="0" w:space="0" w:color="auto"/>
                                <w:right w:val="none" w:sz="0" w:space="0" w:color="auto"/>
                              </w:divBdr>
                              <w:divsChild>
                                <w:div w:id="1099253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5074783">
      <w:bodyDiv w:val="1"/>
      <w:marLeft w:val="0"/>
      <w:marRight w:val="0"/>
      <w:marTop w:val="0"/>
      <w:marBottom w:val="0"/>
      <w:divBdr>
        <w:top w:val="none" w:sz="0" w:space="0" w:color="auto"/>
        <w:left w:val="none" w:sz="0" w:space="0" w:color="auto"/>
        <w:bottom w:val="none" w:sz="0" w:space="0" w:color="auto"/>
        <w:right w:val="none" w:sz="0" w:space="0" w:color="auto"/>
      </w:divBdr>
      <w:divsChild>
        <w:div w:id="899242774">
          <w:marLeft w:val="0"/>
          <w:marRight w:val="0"/>
          <w:marTop w:val="0"/>
          <w:marBottom w:val="0"/>
          <w:divBdr>
            <w:top w:val="none" w:sz="0" w:space="0" w:color="auto"/>
            <w:left w:val="none" w:sz="0" w:space="0" w:color="auto"/>
            <w:bottom w:val="none" w:sz="0" w:space="0" w:color="auto"/>
            <w:right w:val="none" w:sz="0" w:space="0" w:color="auto"/>
          </w:divBdr>
          <w:divsChild>
            <w:div w:id="1633747205">
              <w:marLeft w:val="0"/>
              <w:marRight w:val="0"/>
              <w:marTop w:val="0"/>
              <w:marBottom w:val="0"/>
              <w:divBdr>
                <w:top w:val="none" w:sz="0" w:space="0" w:color="auto"/>
                <w:left w:val="none" w:sz="0" w:space="0" w:color="auto"/>
                <w:bottom w:val="none" w:sz="0" w:space="0" w:color="auto"/>
                <w:right w:val="none" w:sz="0" w:space="0" w:color="auto"/>
              </w:divBdr>
              <w:divsChild>
                <w:div w:id="477915893">
                  <w:marLeft w:val="0"/>
                  <w:marRight w:val="0"/>
                  <w:marTop w:val="0"/>
                  <w:marBottom w:val="0"/>
                  <w:divBdr>
                    <w:top w:val="none" w:sz="0" w:space="0" w:color="auto"/>
                    <w:left w:val="none" w:sz="0" w:space="0" w:color="auto"/>
                    <w:bottom w:val="none" w:sz="0" w:space="0" w:color="auto"/>
                    <w:right w:val="none" w:sz="0" w:space="0" w:color="auto"/>
                  </w:divBdr>
                  <w:divsChild>
                    <w:div w:id="1470660557">
                      <w:marLeft w:val="0"/>
                      <w:marRight w:val="0"/>
                      <w:marTop w:val="0"/>
                      <w:marBottom w:val="0"/>
                      <w:divBdr>
                        <w:top w:val="none" w:sz="0" w:space="0" w:color="auto"/>
                        <w:left w:val="none" w:sz="0" w:space="0" w:color="auto"/>
                        <w:bottom w:val="none" w:sz="0" w:space="0" w:color="auto"/>
                        <w:right w:val="none" w:sz="0" w:space="0" w:color="auto"/>
                      </w:divBdr>
                      <w:divsChild>
                        <w:div w:id="1577132433">
                          <w:marLeft w:val="0"/>
                          <w:marRight w:val="0"/>
                          <w:marTop w:val="0"/>
                          <w:marBottom w:val="0"/>
                          <w:divBdr>
                            <w:top w:val="none" w:sz="0" w:space="0" w:color="auto"/>
                            <w:left w:val="none" w:sz="0" w:space="0" w:color="auto"/>
                            <w:bottom w:val="none" w:sz="0" w:space="0" w:color="auto"/>
                            <w:right w:val="none" w:sz="0" w:space="0" w:color="auto"/>
                          </w:divBdr>
                          <w:divsChild>
                            <w:div w:id="461922830">
                              <w:marLeft w:val="0"/>
                              <w:marRight w:val="0"/>
                              <w:marTop w:val="0"/>
                              <w:marBottom w:val="0"/>
                              <w:divBdr>
                                <w:top w:val="none" w:sz="0" w:space="0" w:color="auto"/>
                                <w:left w:val="none" w:sz="0" w:space="0" w:color="auto"/>
                                <w:bottom w:val="none" w:sz="0" w:space="0" w:color="auto"/>
                                <w:right w:val="none" w:sz="0" w:space="0" w:color="auto"/>
                              </w:divBdr>
                              <w:divsChild>
                                <w:div w:id="157177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4.emf"/><Relationship Id="rId18" Type="http://schemas.openxmlformats.org/officeDocument/2006/relationships/hyperlink" Target="http://www.bdbiosciences.com/ptProduct.jsp?prodId=364195&amp;key=cell+strainer&amp;param=search&amp;mterms=true" TargetMode="External"/><Relationship Id="rId26" Type="http://schemas.openxmlformats.org/officeDocument/2006/relationships/image" Target="media/image25.jpeg"/><Relationship Id="rId39" Type="http://schemas.openxmlformats.org/officeDocument/2006/relationships/image" Target="media/image35.jpeg"/><Relationship Id="rId21" Type="http://schemas.openxmlformats.org/officeDocument/2006/relationships/image" Target="media/image20.jpeg"/><Relationship Id="rId34" Type="http://schemas.openxmlformats.org/officeDocument/2006/relationships/image" Target="media/image33.gif"/><Relationship Id="rId42" Type="http://schemas.openxmlformats.org/officeDocument/2006/relationships/hyperlink" Target="http://www.righthealth.com/topic/Formazan%20-%20Consultado%20em%2010-09-2010" TargetMode="External"/><Relationship Id="rId47" Type="http://schemas.openxmlformats.org/officeDocument/2006/relationships/image" Target="media/image41.jpeg"/><Relationship Id="rId50" Type="http://schemas.openxmlformats.org/officeDocument/2006/relationships/image" Target="media/image42.jpeg"/><Relationship Id="rId55" Type="http://schemas.openxmlformats.org/officeDocument/2006/relationships/chart" Target="charts/chart4.xml"/><Relationship Id="rId63" Type="http://schemas.openxmlformats.org/officeDocument/2006/relationships/hyperlink" Target="http://www.ncbi.nlm.nih.gov/pubmed?term=%22McLaughlin%20DP%22%5BAuthor%5D" TargetMode="External"/><Relationship Id="rId68" Type="http://schemas.openxmlformats.org/officeDocument/2006/relationships/hyperlink" Target="http://www.ncbi.nlm.nih.gov/pubmed?term=%22Bezzina%20EL%22%5BAuthor%5D" TargetMode="External"/><Relationship Id="rId76" Type="http://schemas.openxmlformats.org/officeDocument/2006/relationships/hyperlink" Target="javascript:AL_get(this,%20'jour',%20'Cerebrovasc%20Brain%20Metab%20Rev.');" TargetMode="External"/><Relationship Id="rId7" Type="http://schemas.openxmlformats.org/officeDocument/2006/relationships/endnotes" Target="endnotes.xml"/><Relationship Id="rId71" Type="http://schemas.openxmlformats.org/officeDocument/2006/relationships/hyperlink" Target="javascript:AL_get(this,%20'jour',%20'J%20Cereb%20Blood%20Flow%20Metab.');" TargetMode="External"/><Relationship Id="rId2" Type="http://schemas.openxmlformats.org/officeDocument/2006/relationships/numbering" Target="numbering.xml"/><Relationship Id="rId16" Type="http://schemas.openxmlformats.org/officeDocument/2006/relationships/image" Target="media/image17.emf"/><Relationship Id="rId29" Type="http://schemas.openxmlformats.org/officeDocument/2006/relationships/image" Target="media/image28.jpeg"/><Relationship Id="rId11" Type="http://schemas.openxmlformats.org/officeDocument/2006/relationships/image" Target="media/image12.emf"/><Relationship Id="rId24" Type="http://schemas.openxmlformats.org/officeDocument/2006/relationships/image" Target="media/image23.jpeg"/><Relationship Id="rId32" Type="http://schemas.openxmlformats.org/officeDocument/2006/relationships/image" Target="media/image31.jpeg"/><Relationship Id="rId37" Type="http://schemas.openxmlformats.org/officeDocument/2006/relationships/hyperlink" Target="http://www.nature.com/jcbfm/journal/v18/n8/full/9590429a.html" TargetMode="External"/><Relationship Id="rId40" Type="http://schemas.openxmlformats.org/officeDocument/2006/relationships/image" Target="media/image36.jpeg"/><Relationship Id="rId45" Type="http://schemas.openxmlformats.org/officeDocument/2006/relationships/image" Target="media/image40.jpeg"/><Relationship Id="rId53" Type="http://schemas.openxmlformats.org/officeDocument/2006/relationships/chart" Target="charts/chart2.xml"/><Relationship Id="rId58" Type="http://schemas.openxmlformats.org/officeDocument/2006/relationships/image" Target="media/image46.jpeg"/><Relationship Id="rId66" Type="http://schemas.openxmlformats.org/officeDocument/2006/relationships/hyperlink" Target="http://www.ncbi.nlm.nih.gov/pubmed?term=%22Street%20PC%22%5BAuthor%5D" TargetMode="External"/><Relationship Id="rId74" Type="http://schemas.openxmlformats.org/officeDocument/2006/relationships/hyperlink" Target="http://www.ncbi.nlm.nih.gov/pubmed?term=%22Parkinson%20FE%22%5BAuthor%5D" TargetMode="External"/><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javascript:AL_get(this,%20'jour',%20'J%20Pharmacol%20Exp%20Ther.');" TargetMode="External"/><Relationship Id="rId10" Type="http://schemas.openxmlformats.org/officeDocument/2006/relationships/image" Target="media/image11.emf"/><Relationship Id="rId19" Type="http://schemas.openxmlformats.org/officeDocument/2006/relationships/hyperlink" Target="http://www.campdeninstruments.com/product_detail.asp?ItemID=1191&amp;cat=1" TargetMode="External"/><Relationship Id="rId31" Type="http://schemas.openxmlformats.org/officeDocument/2006/relationships/image" Target="media/image30.jpeg"/><Relationship Id="rId44" Type="http://schemas.openxmlformats.org/officeDocument/2006/relationships/image" Target="media/image39.jpeg"/><Relationship Id="rId52" Type="http://schemas.openxmlformats.org/officeDocument/2006/relationships/image" Target="media/image44.gif"/><Relationship Id="rId60" Type="http://schemas.openxmlformats.org/officeDocument/2006/relationships/hyperlink" Target="http://www.sciencedirect.com/science/journal/01662236" TargetMode="External"/><Relationship Id="rId65" Type="http://schemas.openxmlformats.org/officeDocument/2006/relationships/hyperlink" Target="http://www.ncbi.nlm.nih.gov/pubmed?term=%22Toner%20CC%22%5BAuthor%5D" TargetMode="External"/><Relationship Id="rId73" Type="http://schemas.openxmlformats.org/officeDocument/2006/relationships/hyperlink" Target="http://www.ncbi.nlm.nih.gov/pubmed?term=%22Schubert%20P%22%5BAuthor%5D" TargetMode="External"/><Relationship Id="rId78" Type="http://schemas.openxmlformats.org/officeDocument/2006/relationships/header" Target="header1.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0.emf"/><Relationship Id="rId14" Type="http://schemas.openxmlformats.org/officeDocument/2006/relationships/image" Target="media/image15.emf"/><Relationship Id="rId22" Type="http://schemas.openxmlformats.org/officeDocument/2006/relationships/image" Target="media/image21.jpeg"/><Relationship Id="rId27" Type="http://schemas.openxmlformats.org/officeDocument/2006/relationships/image" Target="media/image26.jpeg"/><Relationship Id="rId30" Type="http://schemas.openxmlformats.org/officeDocument/2006/relationships/image" Target="media/image29.jpeg"/><Relationship Id="rId35" Type="http://schemas.openxmlformats.org/officeDocument/2006/relationships/hyperlink" Target="http://media.wiley.com/CurrentProtocols/NS/ns0604/ns0604-fig-0002-1-full.gif%20-%20Consultado%20em%2010-09-2010" TargetMode="External"/><Relationship Id="rId43" Type="http://schemas.openxmlformats.org/officeDocument/2006/relationships/image" Target="media/image38.jpeg"/><Relationship Id="rId48" Type="http://schemas.openxmlformats.org/officeDocument/2006/relationships/hyperlink" Target="http://www.scientiis.com/laboratorium/catalog/" TargetMode="External"/><Relationship Id="rId56" Type="http://schemas.openxmlformats.org/officeDocument/2006/relationships/chart" Target="charts/chart5.xml"/><Relationship Id="rId64" Type="http://schemas.openxmlformats.org/officeDocument/2006/relationships/hyperlink" Target="http://www.ncbi.nlm.nih.gov/pubmed?term=%22Ziabari%20LH%22%5BAuthor%5D" TargetMode="External"/><Relationship Id="rId69" Type="http://schemas.openxmlformats.org/officeDocument/2006/relationships/hyperlink" Target="http://www.ncbi.nlm.nih.gov/pubmed?term=%22Stamford%20JA%22%5BAuthor%5D" TargetMode="External"/><Relationship Id="rId77" Type="http://schemas.openxmlformats.org/officeDocument/2006/relationships/hyperlink" Target="javascript:AL_get(this,%20'jour',%20'Prog%20Neurobiol.');" TargetMode="External"/><Relationship Id="rId8" Type="http://schemas.openxmlformats.org/officeDocument/2006/relationships/image" Target="media/image9.emf"/><Relationship Id="rId51" Type="http://schemas.openxmlformats.org/officeDocument/2006/relationships/image" Target="media/image43.jpeg"/><Relationship Id="rId72" Type="http://schemas.openxmlformats.org/officeDocument/2006/relationships/hyperlink" Target="http://www.ncbi.nlm.nih.gov/pubmed?term=%22Rudolphi%20KA%22%5BAuthor%5D"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13.emf"/><Relationship Id="rId17" Type="http://schemas.openxmlformats.org/officeDocument/2006/relationships/image" Target="media/image18.jpeg"/><Relationship Id="rId25" Type="http://schemas.openxmlformats.org/officeDocument/2006/relationships/image" Target="media/image24.jpeg"/><Relationship Id="rId33" Type="http://schemas.openxmlformats.org/officeDocument/2006/relationships/image" Target="media/image32.jpeg"/><Relationship Id="rId38" Type="http://schemas.openxmlformats.org/officeDocument/2006/relationships/image" Target="media/image34.jpeg"/><Relationship Id="rId46" Type="http://schemas.openxmlformats.org/officeDocument/2006/relationships/hyperlink" Target="http://www.google.pt/imgres?imgurl=http://scientiis.com/laboratorium/catalog/images/Laboratory/T-3631-4.jpeg&amp;imgrefurl=http://www.scientiis.com/laboratorium/catalog/index.php?cPath=87_92&amp;usg=__4kZeGoQhz7cwoAwKN-fx7FcKEec=&amp;h=298&amp;w=426&amp;sz=233&amp;hl=pt-br&amp;start=0&amp;sig2=3BldDtg2xr3oM09WYhkCeA&amp;zoom=1&amp;tbnid=EpU-pq3Wj0IPpM:&amp;tbnh=150&amp;tbnw=200&amp;ei=IpHETNubC4XLswaf4u2aCA&amp;prev=/images?q=corning+96+well&amp;um=1&amp;hl=pt-br&amp;rlz=1T4GGIH_pt-BRPT281PT282&amp;biw=1259&amp;bih=601&amp;tbs=isch:1&amp;um=1&amp;itbs=1&amp;iact=rc&amp;dur=219&amp;oei=IpHETNubC4XLswaf4u2aCA&amp;esq=1&amp;page=1&amp;ndsp=18&amp;ved=1t:429,r:3,s:0&amp;tx=51&amp;ty=99" TargetMode="External"/><Relationship Id="rId59" Type="http://schemas.openxmlformats.org/officeDocument/2006/relationships/hyperlink" Target="javascript:AL_get(this,%20'jour',%20'Neuroreport.');" TargetMode="External"/><Relationship Id="rId67" Type="http://schemas.openxmlformats.org/officeDocument/2006/relationships/hyperlink" Target="http://www.ncbi.nlm.nih.gov/pubmed?term=%22Hisgrove%20E%22%5BAuthor%5D" TargetMode="External"/><Relationship Id="rId20" Type="http://schemas.openxmlformats.org/officeDocument/2006/relationships/image" Target="media/image19.jpeg"/><Relationship Id="rId41" Type="http://schemas.openxmlformats.org/officeDocument/2006/relationships/image" Target="media/image37.png"/><Relationship Id="rId54" Type="http://schemas.openxmlformats.org/officeDocument/2006/relationships/chart" Target="charts/chart3.xml"/><Relationship Id="rId62" Type="http://schemas.openxmlformats.org/officeDocument/2006/relationships/hyperlink" Target="http://www.ncbi.nlm.nih.gov/pubmed?term=%22Mathews%20KS%22%5BAuthor%5D" TargetMode="External"/><Relationship Id="rId70" Type="http://schemas.openxmlformats.org/officeDocument/2006/relationships/hyperlink" Target="javascript:AL_get(this,%20'jour',%20'J%20Neurosci%20Methods.');" TargetMode="External"/><Relationship Id="rId75" Type="http://schemas.openxmlformats.org/officeDocument/2006/relationships/hyperlink" Target="http://www.ncbi.nlm.nih.gov/pubmed?term=%22Fredholm%20BB%22%5BAuthor%5D"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6.emf"/><Relationship Id="rId23" Type="http://schemas.openxmlformats.org/officeDocument/2006/relationships/image" Target="media/image22.jpeg"/><Relationship Id="rId28" Type="http://schemas.openxmlformats.org/officeDocument/2006/relationships/image" Target="media/image27.jpeg"/><Relationship Id="rId36" Type="http://schemas.openxmlformats.org/officeDocument/2006/relationships/hyperlink" Target="http://www.nature.com/jcbfm/journal/v18/n8/full/9590429a.html" TargetMode="External"/><Relationship Id="rId49" Type="http://schemas.openxmlformats.org/officeDocument/2006/relationships/chart" Target="charts/chart1.xml"/><Relationship Id="rId57" Type="http://schemas.openxmlformats.org/officeDocument/2006/relationships/image" Target="media/image45.jpeg"/></Relationships>
</file>

<file path=word/_rels/numbering.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3.png"/><Relationship Id="rId7" Type="http://schemas.openxmlformats.org/officeDocument/2006/relationships/image" Target="media/image7.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Blandina%20Esteves\Desktop\Tese%20Mestrado%20BQ\IMM\IMM%20proteina%20caspase-3.xls"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Blandina%20Esteves\Desktop\Excel\copia.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Blandina%20Esteves\Desktop\Excel\copia.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Blandina%20Esteves\Desktop\Excel\copia.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Blandina%20Esteves\Desktop\Excel\copi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chart>
    <c:title>
      <c:tx>
        <c:rich>
          <a:bodyPr/>
          <a:lstStyle/>
          <a:p>
            <a:pPr>
              <a:defRPr sz="1200">
                <a:latin typeface="Trebuchet MS" pitchFamily="34" charset="0"/>
              </a:defRPr>
            </a:pPr>
            <a:r>
              <a:rPr lang="pt-PT" sz="1200" b="1">
                <a:solidFill>
                  <a:srgbClr val="0070C0"/>
                </a:solidFill>
                <a:latin typeface="Trebuchet MS" pitchFamily="34" charset="0"/>
              </a:rPr>
              <a:t>Proteinas totais</a:t>
            </a:r>
          </a:p>
        </c:rich>
      </c:tx>
      <c:layout>
        <c:manualLayout>
          <c:xMode val="edge"/>
          <c:yMode val="edge"/>
          <c:x val="0.37326240412185185"/>
          <c:y val="3.5294117647058851E-2"/>
        </c:manualLayout>
      </c:layout>
    </c:title>
    <c:plotArea>
      <c:layout/>
      <c:scatterChart>
        <c:scatterStyle val="lineMarker"/>
        <c:ser>
          <c:idx val="0"/>
          <c:order val="0"/>
          <c:spPr>
            <a:ln w="28575">
              <a:noFill/>
            </a:ln>
          </c:spPr>
          <c:marker>
            <c:symbol val="diamond"/>
            <c:size val="5"/>
            <c:spPr>
              <a:solidFill>
                <a:srgbClr val="000080"/>
              </a:solidFill>
              <a:ln>
                <a:solidFill>
                  <a:srgbClr val="000080"/>
                </a:solidFill>
                <a:prstDash val="solid"/>
              </a:ln>
            </c:spPr>
          </c:marker>
          <c:trendline>
            <c:trendlineType val="linear"/>
            <c:dispRSqr val="1"/>
            <c:dispEq val="1"/>
            <c:trendlineLbl>
              <c:layout>
                <c:manualLayout>
                  <c:x val="0.26306227895265555"/>
                  <c:y val="0.21802918017600825"/>
                </c:manualLayout>
              </c:layout>
              <c:numFmt formatCode="General" sourceLinked="0"/>
              <c:txPr>
                <a:bodyPr/>
                <a:lstStyle/>
                <a:p>
                  <a:pPr>
                    <a:defRPr sz="900">
                      <a:latin typeface="Trebuchet MS" pitchFamily="34" charset="0"/>
                    </a:defRPr>
                  </a:pPr>
                  <a:endParaRPr lang="pt-PT"/>
                </a:p>
              </c:txPr>
            </c:trendlineLbl>
          </c:trendline>
          <c:xVal>
            <c:numRef>
              <c:f>Sheet1!$B$3:$I$3</c:f>
              <c:numCache>
                <c:formatCode>General</c:formatCode>
                <c:ptCount val="8"/>
                <c:pt idx="0">
                  <c:v>0</c:v>
                </c:pt>
                <c:pt idx="1">
                  <c:v>0.05</c:v>
                </c:pt>
                <c:pt idx="2">
                  <c:v>0.1</c:v>
                </c:pt>
                <c:pt idx="3">
                  <c:v>0.2</c:v>
                </c:pt>
                <c:pt idx="4">
                  <c:v>0.30000000000000032</c:v>
                </c:pt>
                <c:pt idx="5">
                  <c:v>0.4</c:v>
                </c:pt>
                <c:pt idx="6">
                  <c:v>0.5</c:v>
                </c:pt>
                <c:pt idx="7">
                  <c:v>1</c:v>
                </c:pt>
              </c:numCache>
            </c:numRef>
          </c:xVal>
          <c:yVal>
            <c:numRef>
              <c:f>Sheet1!$B$4:$I$4</c:f>
              <c:numCache>
                <c:formatCode>General</c:formatCode>
                <c:ptCount val="8"/>
                <c:pt idx="0">
                  <c:v>6.4000000000000112E-2</c:v>
                </c:pt>
                <c:pt idx="1">
                  <c:v>7.5000000000000011E-2</c:v>
                </c:pt>
                <c:pt idx="2">
                  <c:v>8.9000000000000065E-2</c:v>
                </c:pt>
                <c:pt idx="3">
                  <c:v>0.13200000000000001</c:v>
                </c:pt>
                <c:pt idx="4">
                  <c:v>0.15500000000000044</c:v>
                </c:pt>
                <c:pt idx="5">
                  <c:v>0.17900000000000021</c:v>
                </c:pt>
                <c:pt idx="6">
                  <c:v>0.221</c:v>
                </c:pt>
                <c:pt idx="7">
                  <c:v>0.35200000000000031</c:v>
                </c:pt>
              </c:numCache>
            </c:numRef>
          </c:yVal>
        </c:ser>
        <c:axId val="168143872"/>
        <c:axId val="168498304"/>
      </c:scatterChart>
      <c:valAx>
        <c:axId val="168143872"/>
        <c:scaling>
          <c:orientation val="minMax"/>
          <c:max val="1"/>
          <c:min val="0"/>
        </c:scaling>
        <c:axPos val="b"/>
        <c:title>
          <c:tx>
            <c:rich>
              <a:bodyPr/>
              <a:lstStyle/>
              <a:p>
                <a:pPr>
                  <a:defRPr>
                    <a:latin typeface="Trebuchet MS" pitchFamily="34" charset="0"/>
                  </a:defRPr>
                </a:pPr>
                <a:r>
                  <a:rPr lang="pt-PT">
                    <a:latin typeface="Trebuchet MS" pitchFamily="34" charset="0"/>
                  </a:rPr>
                  <a:t>[proteina] </a:t>
                </a:r>
                <a:r>
                  <a:rPr lang="pt-PT">
                    <a:latin typeface="Trebuchet MS" pitchFamily="34" charset="0"/>
                    <a:sym typeface="Symbol"/>
                  </a:rPr>
                  <a:t>g/</a:t>
                </a:r>
                <a:r>
                  <a:rPr lang="pt-PT">
                    <a:latin typeface="Trebuchet MS"/>
                    <a:sym typeface="Symbol"/>
                  </a:rPr>
                  <a:t>µL</a:t>
                </a:r>
                <a:endParaRPr lang="pt-PT">
                  <a:latin typeface="Trebuchet MS" pitchFamily="34" charset="0"/>
                </a:endParaRPr>
              </a:p>
            </c:rich>
          </c:tx>
          <c:layout>
            <c:manualLayout>
              <c:xMode val="edge"/>
              <c:yMode val="edge"/>
              <c:x val="0.39367196937721299"/>
              <c:y val="0.88661741547012562"/>
            </c:manualLayout>
          </c:layout>
        </c:title>
        <c:numFmt formatCode="General" sourceLinked="1"/>
        <c:maj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Trebuchet MS" pitchFamily="34" charset="0"/>
                <a:ea typeface="Arial"/>
                <a:cs typeface="Arial"/>
              </a:defRPr>
            </a:pPr>
            <a:endParaRPr lang="pt-PT"/>
          </a:p>
        </c:txPr>
        <c:crossAx val="168498304"/>
        <c:crosses val="autoZero"/>
        <c:crossBetween val="midCat"/>
      </c:valAx>
      <c:valAx>
        <c:axId val="168498304"/>
        <c:scaling>
          <c:orientation val="minMax"/>
        </c:scaling>
        <c:axPos val="l"/>
        <c:title>
          <c:tx>
            <c:rich>
              <a:bodyPr/>
              <a:lstStyle/>
              <a:p>
                <a:pPr>
                  <a:defRPr>
                    <a:latin typeface="Trebuchet MS" pitchFamily="34" charset="0"/>
                  </a:defRPr>
                </a:pPr>
                <a:r>
                  <a:rPr lang="pt-PT">
                    <a:latin typeface="Trebuchet MS" pitchFamily="34" charset="0"/>
                  </a:rPr>
                  <a:t>Absorvência</a:t>
                </a:r>
                <a:r>
                  <a:rPr lang="pt-PT" baseline="0">
                    <a:latin typeface="Trebuchet MS" pitchFamily="34" charset="0"/>
                  </a:rPr>
                  <a:t> (</a:t>
                </a:r>
                <a:r>
                  <a:rPr lang="pt-PT" baseline="0">
                    <a:latin typeface="Trebuchet MS" pitchFamily="34" charset="0"/>
                    <a:sym typeface="Symbol"/>
                  </a:rPr>
                  <a:t>= 620 nm) </a:t>
                </a:r>
                <a:endParaRPr lang="pt-PT">
                  <a:latin typeface="Trebuchet MS" pitchFamily="34" charset="0"/>
                </a:endParaRPr>
              </a:p>
            </c:rich>
          </c:tx>
          <c:layout>
            <c:manualLayout>
              <c:xMode val="edge"/>
              <c:yMode val="edge"/>
              <c:x val="1.8484288354898341E-2"/>
              <c:y val="0.11726493747105185"/>
            </c:manualLayout>
          </c:layout>
        </c:title>
        <c:numFmt formatCode="General" sourceLinked="1"/>
        <c:maj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Trebuchet MS" pitchFamily="34" charset="0"/>
                <a:ea typeface="Arial"/>
                <a:cs typeface="Arial"/>
              </a:defRPr>
            </a:pPr>
            <a:endParaRPr lang="pt-PT"/>
          </a:p>
        </c:txPr>
        <c:crossAx val="168143872"/>
        <c:crosses val="autoZero"/>
        <c:crossBetween val="midCat"/>
      </c:valAx>
      <c:spPr>
        <a:noFill/>
        <a:ln w="12700">
          <a:noFill/>
          <a:prstDash val="solid"/>
        </a:ln>
        <a:effectLst>
          <a:outerShdw blurRad="50800" dist="50800" dir="5400000" algn="ctr" rotWithShape="0">
            <a:schemeClr val="bg1"/>
          </a:outerShdw>
        </a:effectLst>
      </c:spPr>
    </c:plotArea>
    <c:plotVisOnly val="1"/>
    <c:dispBlanksAs val="gap"/>
  </c:chart>
  <c:spPr>
    <a:solidFill>
      <a:srgbClr val="FFFFFF"/>
    </a:solidFill>
    <a:ln w="3175">
      <a:noFill/>
      <a:prstDash val="solid"/>
    </a:ln>
  </c:spPr>
  <c:txPr>
    <a:bodyPr/>
    <a:lstStyle/>
    <a:p>
      <a:pPr>
        <a:defRPr sz="1000" b="0" i="0" u="none" strike="noStrike" baseline="0">
          <a:solidFill>
            <a:srgbClr val="000000"/>
          </a:solidFill>
          <a:latin typeface="Arial"/>
          <a:ea typeface="Arial"/>
          <a:cs typeface="Arial"/>
        </a:defRPr>
      </a:pPr>
      <a:endParaRPr lang="pt-PT"/>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pt-PT"/>
  <c:chart>
    <c:title>
      <c:tx>
        <c:rich>
          <a:bodyPr/>
          <a:lstStyle/>
          <a:p>
            <a:pPr>
              <a:defRPr sz="1400"/>
            </a:pPr>
            <a:r>
              <a:rPr lang="en-US" sz="1400">
                <a:solidFill>
                  <a:srgbClr val="0070C0"/>
                </a:solidFill>
              </a:rPr>
              <a:t>Pré-condicionamento isquémico (IPC)</a:t>
            </a:r>
          </a:p>
        </c:rich>
      </c:tx>
      <c:layout>
        <c:manualLayout>
          <c:xMode val="edge"/>
          <c:yMode val="edge"/>
          <c:x val="0.15203590202194267"/>
          <c:y val="1.3888888888888904E-2"/>
        </c:manualLayout>
      </c:layout>
    </c:title>
    <c:plotArea>
      <c:layout>
        <c:manualLayout>
          <c:layoutTarget val="inner"/>
          <c:xMode val="edge"/>
          <c:yMode val="edge"/>
          <c:x val="0.15687510936133012"/>
          <c:y val="0.18935185185185191"/>
          <c:w val="0.68756933508311469"/>
          <c:h val="0.56828703703703709"/>
        </c:manualLayout>
      </c:layout>
      <c:barChart>
        <c:barDir val="col"/>
        <c:grouping val="clustered"/>
        <c:ser>
          <c:idx val="0"/>
          <c:order val="0"/>
          <c:spPr>
            <a:solidFill>
              <a:schemeClr val="tx2">
                <a:lumMod val="20000"/>
                <a:lumOff val="80000"/>
              </a:schemeClr>
            </a:solidFill>
            <a:ln>
              <a:solidFill>
                <a:schemeClr val="accent1"/>
              </a:solidFill>
            </a:ln>
          </c:spPr>
          <c:errBars>
            <c:errBarType val="both"/>
            <c:errValType val="cust"/>
            <c:plus>
              <c:numRef>
                <c:f>'exp1-7'!$L$73:$L$74</c:f>
                <c:numCache>
                  <c:formatCode>General</c:formatCode>
                  <c:ptCount val="2"/>
                  <c:pt idx="0">
                    <c:v>11.8</c:v>
                  </c:pt>
                  <c:pt idx="1">
                    <c:v>17.8</c:v>
                  </c:pt>
                </c:numCache>
              </c:numRef>
            </c:plus>
            <c:minus>
              <c:numLit>
                <c:formatCode>General</c:formatCode>
                <c:ptCount val="1"/>
                <c:pt idx="0">
                  <c:v>11.8</c:v>
                </c:pt>
              </c:numLit>
            </c:minus>
          </c:errBars>
          <c:cat>
            <c:strRef>
              <c:f>'exp1-7'!$J$73:$J$74</c:f>
              <c:strCache>
                <c:ptCount val="2"/>
                <c:pt idx="0">
                  <c:v>1 x IPC</c:v>
                </c:pt>
                <c:pt idx="1">
                  <c:v>2 x IPC</c:v>
                </c:pt>
              </c:strCache>
            </c:strRef>
          </c:cat>
          <c:val>
            <c:numRef>
              <c:f>'exp1-7'!$K$73:$K$74</c:f>
              <c:numCache>
                <c:formatCode>General</c:formatCode>
                <c:ptCount val="2"/>
                <c:pt idx="0">
                  <c:v>116.12339999999999</c:v>
                </c:pt>
                <c:pt idx="1">
                  <c:v>145.03190000000001</c:v>
                </c:pt>
              </c:numCache>
            </c:numRef>
          </c:val>
        </c:ser>
        <c:axId val="165348864"/>
        <c:axId val="165350784"/>
      </c:barChart>
      <c:catAx>
        <c:axId val="165348864"/>
        <c:scaling>
          <c:orientation val="minMax"/>
        </c:scaling>
        <c:axPos val="b"/>
        <c:title>
          <c:tx>
            <c:rich>
              <a:bodyPr/>
              <a:lstStyle/>
              <a:p>
                <a:pPr>
                  <a:defRPr/>
                </a:pPr>
                <a:r>
                  <a:rPr lang="pt-PT"/>
                  <a:t>1</a:t>
                </a:r>
                <a:r>
                  <a:rPr lang="pt-PT" baseline="0"/>
                  <a:t> x IPC  </a:t>
                </a:r>
                <a:r>
                  <a:rPr lang="pt-PT" i="1" baseline="0"/>
                  <a:t>versus </a:t>
                </a:r>
                <a:r>
                  <a:rPr lang="pt-PT" i="0" baseline="0"/>
                  <a:t>2x IPC</a:t>
                </a:r>
                <a:endParaRPr lang="pt-PT" i="1"/>
              </a:p>
            </c:rich>
          </c:tx>
        </c:title>
        <c:majorTickMark val="none"/>
        <c:tickLblPos val="nextTo"/>
        <c:crossAx val="165350784"/>
        <c:crosses val="autoZero"/>
        <c:auto val="1"/>
        <c:lblAlgn val="ctr"/>
        <c:lblOffset val="100"/>
      </c:catAx>
      <c:valAx>
        <c:axId val="165350784"/>
        <c:scaling>
          <c:orientation val="minMax"/>
          <c:min val="60"/>
        </c:scaling>
        <c:axPos val="l"/>
        <c:title>
          <c:tx>
            <c:rich>
              <a:bodyPr/>
              <a:lstStyle/>
              <a:p>
                <a:pPr>
                  <a:defRPr/>
                </a:pPr>
                <a:r>
                  <a:rPr lang="pt-PT"/>
                  <a:t>%</a:t>
                </a:r>
                <a:r>
                  <a:rPr lang="pt-PT" baseline="0"/>
                  <a:t> Viabilidade Celular</a:t>
                </a:r>
                <a:endParaRPr lang="pt-PT"/>
              </a:p>
            </c:rich>
          </c:tx>
        </c:title>
        <c:numFmt formatCode="General" sourceLinked="1"/>
        <c:tickLblPos val="nextTo"/>
        <c:crossAx val="165348864"/>
        <c:crosses val="autoZero"/>
        <c:crossBetween val="between"/>
      </c:valAx>
    </c:plotArea>
    <c:plotVisOnly val="1"/>
  </c:chart>
  <c:txPr>
    <a:bodyPr/>
    <a:lstStyle/>
    <a:p>
      <a:pPr>
        <a:defRPr>
          <a:latin typeface="Trebuchet MS" pitchFamily="34" charset="0"/>
        </a:defRPr>
      </a:pPr>
      <a:endParaRPr lang="pt-PT"/>
    </a:p>
  </c:tx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lang val="pt-PT"/>
  <c:chart>
    <c:autoTitleDeleted val="1"/>
    <c:plotArea>
      <c:layout/>
      <c:barChart>
        <c:barDir val="col"/>
        <c:grouping val="stacked"/>
        <c:ser>
          <c:idx val="0"/>
          <c:order val="0"/>
          <c:spPr>
            <a:solidFill>
              <a:srgbClr val="1F497D">
                <a:lumMod val="40000"/>
                <a:lumOff val="60000"/>
              </a:srgbClr>
            </a:solidFill>
          </c:spPr>
          <c:cat>
            <c:strRef>
              <c:f>'exp1-7'!$P$36:$P$38</c:f>
              <c:strCache>
                <c:ptCount val="3"/>
                <c:pt idx="0">
                  <c:v>Controlo</c:v>
                </c:pt>
                <c:pt idx="1">
                  <c:v>POG</c:v>
                </c:pt>
                <c:pt idx="2">
                  <c:v>IPC</c:v>
                </c:pt>
              </c:strCache>
            </c:strRef>
          </c:cat>
          <c:val>
            <c:numRef>
              <c:f>'exp1-7'!$Q$36:$Q$38</c:f>
              <c:numCache>
                <c:formatCode>General</c:formatCode>
                <c:ptCount val="3"/>
                <c:pt idx="0">
                  <c:v>0.15575000000000003</c:v>
                </c:pt>
                <c:pt idx="1">
                  <c:v>4.7500000000000007E-2</c:v>
                </c:pt>
                <c:pt idx="2">
                  <c:v>9.9000000000000019E-2</c:v>
                </c:pt>
              </c:numCache>
            </c:numRef>
          </c:val>
        </c:ser>
        <c:gapWidth val="300"/>
        <c:overlap val="100"/>
        <c:axId val="165355904"/>
        <c:axId val="165357440"/>
      </c:barChart>
      <c:catAx>
        <c:axId val="165355904"/>
        <c:scaling>
          <c:orientation val="minMax"/>
        </c:scaling>
        <c:axPos val="b"/>
        <c:majorTickMark val="none"/>
        <c:tickLblPos val="nextTo"/>
        <c:crossAx val="165357440"/>
        <c:crosses val="autoZero"/>
        <c:auto val="1"/>
        <c:lblAlgn val="ctr"/>
        <c:lblOffset val="100"/>
      </c:catAx>
      <c:valAx>
        <c:axId val="165357440"/>
        <c:scaling>
          <c:orientation val="minMax"/>
        </c:scaling>
        <c:axPos val="l"/>
        <c:title>
          <c:tx>
            <c:rich>
              <a:bodyPr/>
              <a:lstStyle/>
              <a:p>
                <a:pPr>
                  <a:defRPr/>
                </a:pPr>
                <a:r>
                  <a:rPr lang="en-US"/>
                  <a:t> Viabilidade celular (Absorvência)</a:t>
                </a:r>
              </a:p>
            </c:rich>
          </c:tx>
        </c:title>
        <c:numFmt formatCode="General" sourceLinked="1"/>
        <c:tickLblPos val="nextTo"/>
        <c:crossAx val="165355904"/>
        <c:crosses val="autoZero"/>
        <c:crossBetween val="between"/>
      </c:valAx>
    </c:plotArea>
    <c:plotVisOnly val="1"/>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lang val="pt-PT"/>
  <c:chart>
    <c:autoTitleDeleted val="1"/>
    <c:plotArea>
      <c:layout/>
      <c:barChart>
        <c:barDir val="col"/>
        <c:grouping val="clustered"/>
        <c:ser>
          <c:idx val="0"/>
          <c:order val="0"/>
          <c:spPr>
            <a:solidFill>
              <a:schemeClr val="tx2">
                <a:lumMod val="20000"/>
                <a:lumOff val="80000"/>
              </a:schemeClr>
            </a:solidFill>
          </c:spPr>
          <c:cat>
            <c:strRef>
              <c:f>'exp1-7'!$S$26:$S$27</c:f>
              <c:strCache>
                <c:ptCount val="2"/>
                <c:pt idx="0">
                  <c:v>POG</c:v>
                </c:pt>
                <c:pt idx="1">
                  <c:v>IPC</c:v>
                </c:pt>
              </c:strCache>
            </c:strRef>
          </c:cat>
          <c:val>
            <c:numRef>
              <c:f>'exp1-7'!$T$26:$T$27</c:f>
              <c:numCache>
                <c:formatCode>General</c:formatCode>
                <c:ptCount val="2"/>
                <c:pt idx="0">
                  <c:v>100</c:v>
                </c:pt>
                <c:pt idx="1">
                  <c:v>122.8535</c:v>
                </c:pt>
              </c:numCache>
            </c:numRef>
          </c:val>
        </c:ser>
        <c:axId val="165468800"/>
        <c:axId val="168428288"/>
      </c:barChart>
      <c:catAx>
        <c:axId val="165468800"/>
        <c:scaling>
          <c:orientation val="minMax"/>
        </c:scaling>
        <c:axPos val="b"/>
        <c:title>
          <c:tx>
            <c:rich>
              <a:bodyPr/>
              <a:lstStyle/>
              <a:p>
                <a:pPr>
                  <a:defRPr/>
                </a:pPr>
                <a:r>
                  <a:rPr lang="en-US"/>
                  <a:t>Pré-condicionamento </a:t>
                </a:r>
                <a:r>
                  <a:rPr lang="en-US" i="1"/>
                  <a:t>versus </a:t>
                </a:r>
                <a:r>
                  <a:rPr lang="en-US" i="0"/>
                  <a:t>% Mediana B</a:t>
                </a:r>
                <a:r>
                  <a:rPr lang="en-US"/>
                  <a:t> </a:t>
                </a:r>
              </a:p>
            </c:rich>
          </c:tx>
          <c:layout>
            <c:manualLayout>
              <c:xMode val="edge"/>
              <c:yMode val="edge"/>
              <c:x val="0.27882808226953376"/>
              <c:y val="0.89763656496062827"/>
            </c:manualLayout>
          </c:layout>
        </c:title>
        <c:majorTickMark val="none"/>
        <c:tickLblPos val="nextTo"/>
        <c:crossAx val="168428288"/>
        <c:crosses val="autoZero"/>
        <c:auto val="1"/>
        <c:lblAlgn val="ctr"/>
        <c:lblOffset val="100"/>
      </c:catAx>
      <c:valAx>
        <c:axId val="168428288"/>
        <c:scaling>
          <c:orientation val="minMax"/>
          <c:min val="60"/>
        </c:scaling>
        <c:axPos val="l"/>
        <c:title>
          <c:tx>
            <c:rich>
              <a:bodyPr/>
              <a:lstStyle/>
              <a:p>
                <a:pPr>
                  <a:defRPr/>
                </a:pPr>
                <a:r>
                  <a:rPr lang="en-US"/>
                  <a:t>% Sobrevivência Celular</a:t>
                </a:r>
              </a:p>
            </c:rich>
          </c:tx>
        </c:title>
        <c:numFmt formatCode="General" sourceLinked="1"/>
        <c:tickLblPos val="nextTo"/>
        <c:crossAx val="165468800"/>
        <c:crosses val="autoZero"/>
        <c:crossBetween val="between"/>
      </c:valAx>
      <c:spPr>
        <a:noFill/>
        <a:ln w="25400">
          <a:noFill/>
        </a:ln>
      </c:spPr>
    </c:plotArea>
    <c:plotVisOnly val="1"/>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t-PT"/>
  <c:chart>
    <c:title>
      <c:tx>
        <c:rich>
          <a:bodyPr/>
          <a:lstStyle/>
          <a:p>
            <a:pPr>
              <a:defRPr/>
            </a:pPr>
            <a:r>
              <a:rPr lang="pt-PT" sz="1400">
                <a:solidFill>
                  <a:srgbClr val="0070C0"/>
                </a:solidFill>
              </a:rPr>
              <a:t>Pré-Condicionamento Químico: CPA</a:t>
            </a:r>
          </a:p>
        </c:rich>
      </c:tx>
      <c:layout>
        <c:manualLayout>
          <c:xMode val="edge"/>
          <c:yMode val="edge"/>
          <c:x val="0.17191078760029854"/>
          <c:y val="0"/>
        </c:manualLayout>
      </c:layout>
    </c:title>
    <c:plotArea>
      <c:layout/>
      <c:barChart>
        <c:barDir val="col"/>
        <c:grouping val="clustered"/>
        <c:ser>
          <c:idx val="0"/>
          <c:order val="0"/>
          <c:spPr>
            <a:solidFill>
              <a:schemeClr val="tx2">
                <a:lumMod val="20000"/>
                <a:lumOff val="80000"/>
              </a:schemeClr>
            </a:solidFill>
            <a:ln>
              <a:solidFill>
                <a:srgbClr val="1F497D">
                  <a:lumMod val="75000"/>
                </a:srgbClr>
              </a:solidFill>
            </a:ln>
          </c:spPr>
          <c:dLbls>
            <c:dLbl>
              <c:idx val="2"/>
              <c:tx>
                <c:rich>
                  <a:bodyPr/>
                  <a:lstStyle/>
                  <a:p>
                    <a:r>
                      <a:rPr lang="en-US">
                        <a:latin typeface="Trebuchet MS" pitchFamily="34" charset="0"/>
                      </a:rPr>
                      <a:t>107 </a:t>
                    </a:r>
                    <a:r>
                      <a:rPr lang="en-US" b="1">
                        <a:solidFill>
                          <a:srgbClr val="0070C0"/>
                        </a:solidFill>
                        <a:latin typeface="Trebuchet MS" pitchFamily="34" charset="0"/>
                      </a:rPr>
                      <a:t>†</a:t>
                    </a:r>
                  </a:p>
                </c:rich>
              </c:tx>
              <c:showVal val="1"/>
            </c:dLbl>
            <c:spPr>
              <a:noFill/>
              <a:ln>
                <a:noFill/>
              </a:ln>
            </c:spPr>
            <c:showVal val="1"/>
          </c:dLbls>
          <c:cat>
            <c:numRef>
              <c:f>CPA!$V$5:$V$8</c:f>
              <c:numCache>
                <c:formatCode>General</c:formatCode>
                <c:ptCount val="4"/>
                <c:pt idx="0">
                  <c:v>0</c:v>
                </c:pt>
                <c:pt idx="1">
                  <c:v>1</c:v>
                </c:pt>
                <c:pt idx="2">
                  <c:v>10</c:v>
                </c:pt>
                <c:pt idx="3">
                  <c:v>30</c:v>
                </c:pt>
              </c:numCache>
            </c:numRef>
          </c:cat>
          <c:val>
            <c:numRef>
              <c:f>CPA!$W$5:$W$8</c:f>
              <c:numCache>
                <c:formatCode>General</c:formatCode>
                <c:ptCount val="4"/>
                <c:pt idx="0">
                  <c:v>100</c:v>
                </c:pt>
                <c:pt idx="1">
                  <c:v>92</c:v>
                </c:pt>
                <c:pt idx="2">
                  <c:v>107</c:v>
                </c:pt>
                <c:pt idx="3">
                  <c:v>99</c:v>
                </c:pt>
              </c:numCache>
            </c:numRef>
          </c:val>
        </c:ser>
        <c:axId val="168457728"/>
        <c:axId val="168459648"/>
      </c:barChart>
      <c:catAx>
        <c:axId val="168457728"/>
        <c:scaling>
          <c:orientation val="minMax"/>
        </c:scaling>
        <c:axPos val="b"/>
        <c:title>
          <c:tx>
            <c:rich>
              <a:bodyPr/>
              <a:lstStyle/>
              <a:p>
                <a:pPr>
                  <a:defRPr/>
                </a:pPr>
                <a:r>
                  <a:rPr lang="pt-PT"/>
                  <a:t> [CPA] (µM)</a:t>
                </a:r>
              </a:p>
            </c:rich>
          </c:tx>
          <c:layout>
            <c:manualLayout>
              <c:xMode val="edge"/>
              <c:yMode val="edge"/>
              <c:x val="0.48004286964129683"/>
              <c:y val="0.87882062719039611"/>
            </c:manualLayout>
          </c:layout>
        </c:title>
        <c:numFmt formatCode="General" sourceLinked="1"/>
        <c:majorTickMark val="none"/>
        <c:tickLblPos val="nextTo"/>
        <c:crossAx val="168459648"/>
        <c:crosses val="autoZero"/>
        <c:lblAlgn val="ctr"/>
        <c:lblOffset val="100"/>
      </c:catAx>
      <c:valAx>
        <c:axId val="168459648"/>
        <c:scaling>
          <c:orientation val="minMax"/>
          <c:min val="60"/>
        </c:scaling>
        <c:axPos val="l"/>
        <c:title>
          <c:tx>
            <c:rich>
              <a:bodyPr/>
              <a:lstStyle/>
              <a:p>
                <a:pPr>
                  <a:defRPr/>
                </a:pPr>
                <a:r>
                  <a:rPr lang="pt-PT"/>
                  <a:t>% Viabilidade celular</a:t>
                </a:r>
              </a:p>
            </c:rich>
          </c:tx>
        </c:title>
        <c:numFmt formatCode="General" sourceLinked="1"/>
        <c:tickLblPos val="nextTo"/>
        <c:crossAx val="168457728"/>
        <c:crosses val="autoZero"/>
        <c:crossBetween val="between"/>
      </c:valAx>
    </c:plotArea>
    <c:plotVisOnly val="1"/>
  </c:chart>
  <c:txPr>
    <a:bodyPr/>
    <a:lstStyle/>
    <a:p>
      <a:pPr>
        <a:defRPr>
          <a:latin typeface="Trebuchet MS" pitchFamily="34" charset="0"/>
        </a:defRPr>
      </a:pPr>
      <a:endParaRPr lang="pt-PT"/>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0.28298</cdr:x>
      <cdr:y>0.59491</cdr:y>
    </cdr:from>
    <cdr:to>
      <cdr:x>0.3809</cdr:x>
      <cdr:y>0.69561</cdr:y>
    </cdr:to>
    <cdr:sp macro="" textlink="">
      <cdr:nvSpPr>
        <cdr:cNvPr id="2" name="CaixaDeTexto 1"/>
        <cdr:cNvSpPr txBox="1"/>
      </cdr:nvSpPr>
      <cdr:spPr>
        <a:xfrm xmlns:a="http://schemas.openxmlformats.org/drawingml/2006/main">
          <a:off x="1297384" y="1631944"/>
          <a:ext cx="448934" cy="2762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000">
              <a:latin typeface="Trebuchet MS" pitchFamily="34" charset="0"/>
            </a:rPr>
            <a:t>n=3</a:t>
          </a:r>
        </a:p>
      </cdr:txBody>
    </cdr:sp>
  </cdr:relSizeAnchor>
  <cdr:relSizeAnchor xmlns:cdr="http://schemas.openxmlformats.org/drawingml/2006/chartDrawing">
    <cdr:from>
      <cdr:x>0.62881</cdr:x>
      <cdr:y>0.58275</cdr:y>
    </cdr:from>
    <cdr:to>
      <cdr:x>0.72673</cdr:x>
      <cdr:y>0.68345</cdr:y>
    </cdr:to>
    <cdr:sp macro="" textlink="">
      <cdr:nvSpPr>
        <cdr:cNvPr id="3" name="CaixaDeTexto 1"/>
        <cdr:cNvSpPr txBox="1"/>
      </cdr:nvSpPr>
      <cdr:spPr>
        <a:xfrm xmlns:a="http://schemas.openxmlformats.org/drawingml/2006/main">
          <a:off x="2882911" y="1598612"/>
          <a:ext cx="448934" cy="27624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pt-PT" sz="1000">
              <a:latin typeface="Trebuchet MS" pitchFamily="34" charset="0"/>
            </a:rPr>
            <a:t>n=3</a:t>
          </a:r>
        </a:p>
      </cdr:txBody>
    </cdr:sp>
  </cdr:relSizeAnchor>
  <cdr:relSizeAnchor xmlns:cdr="http://schemas.openxmlformats.org/drawingml/2006/chartDrawing">
    <cdr:from>
      <cdr:x>0.14855</cdr:x>
      <cdr:y>0.56366</cdr:y>
    </cdr:from>
    <cdr:to>
      <cdr:x>0.84453</cdr:x>
      <cdr:y>0.56655</cdr:y>
    </cdr:to>
    <cdr:sp macro="" textlink="">
      <cdr:nvSpPr>
        <cdr:cNvPr id="7" name="Conexão recta 6"/>
        <cdr:cNvSpPr/>
      </cdr:nvSpPr>
      <cdr:spPr>
        <a:xfrm xmlns:a="http://schemas.openxmlformats.org/drawingml/2006/main" flipV="1">
          <a:off x="681038" y="1546225"/>
          <a:ext cx="3190874" cy="7937"/>
        </a:xfrm>
        <a:prstGeom xmlns:a="http://schemas.openxmlformats.org/drawingml/2006/main" prst="line">
          <a:avLst/>
        </a:prstGeom>
        <a:ln xmlns:a="http://schemas.openxmlformats.org/drawingml/2006/main">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pt-PT"/>
        </a:p>
      </cdr:txBody>
    </cdr:sp>
  </cdr:relSizeAnchor>
</c:userShapes>
</file>

<file path=word/drawings/drawing2.xml><?xml version="1.0" encoding="utf-8"?>
<c:userShapes xmlns:c="http://schemas.openxmlformats.org/drawingml/2006/chart">
  <cdr:relSizeAnchor xmlns:cdr="http://schemas.openxmlformats.org/drawingml/2006/chartDrawing">
    <cdr:from>
      <cdr:x>0.55487</cdr:x>
      <cdr:y>0.25392</cdr:y>
    </cdr:from>
    <cdr:to>
      <cdr:x>0.84467</cdr:x>
      <cdr:y>0.39281</cdr:y>
    </cdr:to>
    <cdr:grpSp>
      <cdr:nvGrpSpPr>
        <cdr:cNvPr id="13" name="Grupo 12"/>
        <cdr:cNvGrpSpPr/>
      </cdr:nvGrpSpPr>
      <cdr:grpSpPr>
        <a:xfrm xmlns:a="http://schemas.openxmlformats.org/drawingml/2006/main">
          <a:off x="2543912" y="694135"/>
          <a:ext cx="1328647" cy="379680"/>
          <a:chOff x="2559776" y="797331"/>
          <a:chExt cx="1328646" cy="379680"/>
        </a:xfrm>
      </cdr:grpSpPr>
      <cdr:sp macro="" textlink="">
        <cdr:nvSpPr>
          <cdr:cNvPr id="4" name="Parêntese esquerdo 3"/>
          <cdr:cNvSpPr/>
        </cdr:nvSpPr>
        <cdr:spPr>
          <a:xfrm xmlns:a="http://schemas.openxmlformats.org/drawingml/2006/main" rot="5400000" flipV="1">
            <a:off x="3191349" y="479939"/>
            <a:ext cx="65499" cy="1328646"/>
          </a:xfrm>
          <a:prstGeom xmlns:a="http://schemas.openxmlformats.org/drawingml/2006/main" prst="leftBracket">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pt-PT"/>
          </a:p>
        </cdr:txBody>
      </cdr:sp>
      <cdr:sp macro="" textlink="">
        <cdr:nvSpPr>
          <cdr:cNvPr id="5" name="CaixaDeTexto 4"/>
          <cdr:cNvSpPr txBox="1"/>
        </cdr:nvSpPr>
        <cdr:spPr>
          <a:xfrm xmlns:a="http://schemas.openxmlformats.org/drawingml/2006/main">
            <a:off x="2808129" y="797331"/>
            <a:ext cx="897822" cy="28474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a:t>* P= 0,027 </a:t>
            </a:r>
          </a:p>
        </cdr:txBody>
      </cdr:sp>
    </cdr:grpSp>
  </cdr:relSizeAnchor>
  <cdr:relSizeAnchor xmlns:cdr="http://schemas.openxmlformats.org/drawingml/2006/chartDrawing">
    <cdr:from>
      <cdr:x>0.28577</cdr:x>
      <cdr:y>0.0187</cdr:y>
    </cdr:from>
    <cdr:to>
      <cdr:x>0.57556</cdr:x>
      <cdr:y>0.13989</cdr:y>
    </cdr:to>
    <cdr:grpSp>
      <cdr:nvGrpSpPr>
        <cdr:cNvPr id="12" name="Grupo 11"/>
        <cdr:cNvGrpSpPr/>
      </cdr:nvGrpSpPr>
      <cdr:grpSpPr>
        <a:xfrm xmlns:a="http://schemas.openxmlformats.org/drawingml/2006/main">
          <a:off x="1310170" y="51120"/>
          <a:ext cx="1328600" cy="331294"/>
          <a:chOff x="1318101" y="360681"/>
          <a:chExt cx="1328600" cy="331294"/>
        </a:xfrm>
      </cdr:grpSpPr>
      <cdr:sp macro="" textlink="">
        <cdr:nvSpPr>
          <cdr:cNvPr id="7" name="Parêntese esquerdo 6"/>
          <cdr:cNvSpPr/>
        </cdr:nvSpPr>
        <cdr:spPr>
          <a:xfrm xmlns:a="http://schemas.openxmlformats.org/drawingml/2006/main" rot="5400000" flipV="1">
            <a:off x="1949651" y="-5074"/>
            <a:ext cx="65499" cy="1328600"/>
          </a:xfrm>
          <a:prstGeom xmlns:a="http://schemas.openxmlformats.org/drawingml/2006/main" prst="leftBracket">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pt-PT"/>
          </a:p>
        </cdr:txBody>
      </cdr:sp>
      <cdr:sp macro="" textlink="">
        <cdr:nvSpPr>
          <cdr:cNvPr id="8" name="CaixaDeTexto 1"/>
          <cdr:cNvSpPr txBox="1"/>
        </cdr:nvSpPr>
        <cdr:spPr>
          <a:xfrm xmlns:a="http://schemas.openxmlformats.org/drawingml/2006/main">
            <a:off x="1528218" y="360681"/>
            <a:ext cx="897868" cy="28476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pt-PT" sz="1100"/>
              <a:t>* P = 0,043 </a:t>
            </a:r>
          </a:p>
        </cdr:txBody>
      </cdr:sp>
    </cdr:grpSp>
  </cdr:relSizeAnchor>
</c:userShapes>
</file>

<file path=word/drawings/drawing3.xml><?xml version="1.0" encoding="utf-8"?>
<c:userShapes xmlns:c="http://schemas.openxmlformats.org/drawingml/2006/chart">
  <cdr:relSizeAnchor xmlns:cdr="http://schemas.openxmlformats.org/drawingml/2006/chartDrawing">
    <cdr:from>
      <cdr:x>0.15495</cdr:x>
      <cdr:y>0.35967</cdr:y>
    </cdr:from>
    <cdr:to>
      <cdr:x>0.96273</cdr:x>
      <cdr:y>0.36212</cdr:y>
    </cdr:to>
    <cdr:sp macro="" textlink="">
      <cdr:nvSpPr>
        <cdr:cNvPr id="5" name="Conexão recta 4"/>
        <cdr:cNvSpPr/>
      </cdr:nvSpPr>
      <cdr:spPr>
        <a:xfrm xmlns:a="http://schemas.openxmlformats.org/drawingml/2006/main">
          <a:off x="752475" y="1163636"/>
          <a:ext cx="3922713" cy="7937"/>
        </a:xfrm>
        <a:prstGeom xmlns:a="http://schemas.openxmlformats.org/drawingml/2006/main" prst="line">
          <a:avLst/>
        </a:prstGeom>
        <a:ln xmlns:a="http://schemas.openxmlformats.org/drawingml/2006/main">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pt-PT"/>
        </a:p>
      </cdr:txBody>
    </cdr:sp>
  </cdr:relSizeAnchor>
</c:userShapes>
</file>

<file path=word/drawings/drawing4.xml><?xml version="1.0" encoding="utf-8"?>
<c:userShapes xmlns:c="http://schemas.openxmlformats.org/drawingml/2006/chart">
  <cdr:relSizeAnchor xmlns:cdr="http://schemas.openxmlformats.org/drawingml/2006/chartDrawing">
    <cdr:from>
      <cdr:x>0.62674</cdr:x>
      <cdr:y>0.51156</cdr:y>
    </cdr:from>
    <cdr:to>
      <cdr:x>0.71875</cdr:x>
      <cdr:y>0.5867</cdr:y>
    </cdr:to>
    <cdr:sp macro="" textlink="">
      <cdr:nvSpPr>
        <cdr:cNvPr id="2" name="CaixaDeTexto 1"/>
        <cdr:cNvSpPr txBox="1"/>
      </cdr:nvSpPr>
      <cdr:spPr>
        <a:xfrm xmlns:a="http://schemas.openxmlformats.org/drawingml/2006/main">
          <a:off x="2865437" y="1404940"/>
          <a:ext cx="420670" cy="20636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000" b="0">
              <a:latin typeface="Trebuchet MS" pitchFamily="34" charset="0"/>
            </a:rPr>
            <a:t>n=4</a:t>
          </a:r>
          <a:endParaRPr lang="pt-PT" sz="1100" b="0">
            <a:latin typeface="Trebuchet MS" pitchFamily="34" charset="0"/>
          </a:endParaRPr>
        </a:p>
      </cdr:txBody>
    </cdr:sp>
  </cdr:relSizeAnchor>
  <cdr:relSizeAnchor xmlns:cdr="http://schemas.openxmlformats.org/drawingml/2006/chartDrawing">
    <cdr:from>
      <cdr:x>0.42014</cdr:x>
      <cdr:y>0.50867</cdr:y>
    </cdr:from>
    <cdr:to>
      <cdr:x>0.51215</cdr:x>
      <cdr:y>0.58382</cdr:y>
    </cdr:to>
    <cdr:sp macro="" textlink="">
      <cdr:nvSpPr>
        <cdr:cNvPr id="3" name="CaixaDeTexto 1"/>
        <cdr:cNvSpPr txBox="1"/>
      </cdr:nvSpPr>
      <cdr:spPr>
        <a:xfrm xmlns:a="http://schemas.openxmlformats.org/drawingml/2006/main">
          <a:off x="1920872" y="1396995"/>
          <a:ext cx="420670" cy="2063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pt-PT" sz="1100" b="0"/>
            <a:t>n=2</a:t>
          </a:r>
        </a:p>
      </cdr:txBody>
    </cdr:sp>
  </cdr:relSizeAnchor>
  <cdr:relSizeAnchor xmlns:cdr="http://schemas.openxmlformats.org/drawingml/2006/chartDrawing">
    <cdr:from>
      <cdr:x>0.82986</cdr:x>
      <cdr:y>0.50578</cdr:y>
    </cdr:from>
    <cdr:to>
      <cdr:x>0.92188</cdr:x>
      <cdr:y>0.58092</cdr:y>
    </cdr:to>
    <cdr:sp macro="" textlink="">
      <cdr:nvSpPr>
        <cdr:cNvPr id="6" name="CaixaDeTexto 1"/>
        <cdr:cNvSpPr txBox="1"/>
      </cdr:nvSpPr>
      <cdr:spPr>
        <a:xfrm xmlns:a="http://schemas.openxmlformats.org/drawingml/2006/main">
          <a:off x="3794120" y="1389063"/>
          <a:ext cx="420715" cy="20636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pt-PT" sz="1100" b="0"/>
            <a:t>n=2</a:t>
          </a:r>
        </a:p>
      </cdr:txBody>
    </cdr:sp>
  </cdr:relSizeAnchor>
  <cdr:relSizeAnchor xmlns:cdr="http://schemas.openxmlformats.org/drawingml/2006/chartDrawing">
    <cdr:from>
      <cdr:x>0.21007</cdr:x>
      <cdr:y>0.51445</cdr:y>
    </cdr:from>
    <cdr:to>
      <cdr:x>0.30208</cdr:x>
      <cdr:y>0.58959</cdr:y>
    </cdr:to>
    <cdr:sp macro="" textlink="">
      <cdr:nvSpPr>
        <cdr:cNvPr id="7" name="CaixaDeTexto 1"/>
        <cdr:cNvSpPr txBox="1"/>
      </cdr:nvSpPr>
      <cdr:spPr>
        <a:xfrm xmlns:a="http://schemas.openxmlformats.org/drawingml/2006/main">
          <a:off x="960440" y="1412875"/>
          <a:ext cx="420670" cy="20636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pt-PT" sz="900" b="0">
              <a:latin typeface="Trebuchet MS" pitchFamily="34" charset="0"/>
            </a:rPr>
            <a:t>n=8</a:t>
          </a:r>
        </a:p>
      </cdr:txBody>
    </cdr:sp>
  </cdr:relSizeAnchor>
</c:userShape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C4DD75-5ACF-40B5-ABBC-83ED3ECB3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5466</TotalTime>
  <Pages>58</Pages>
  <Words>22351</Words>
  <Characters>120699</Characters>
  <Application>Microsoft Office Word</Application>
  <DocSecurity>0</DocSecurity>
  <Lines>1005</Lines>
  <Paragraphs>285</Paragraphs>
  <ScaleCrop>false</ScaleCrop>
  <HeadingPairs>
    <vt:vector size="2" baseType="variant">
      <vt:variant>
        <vt:lpstr>Título</vt:lpstr>
      </vt:variant>
      <vt:variant>
        <vt:i4>1</vt:i4>
      </vt:variant>
    </vt:vector>
  </HeadingPairs>
  <TitlesOfParts>
    <vt:vector size="1" baseType="lpstr">
      <vt:lpstr>ÍNDICE</vt:lpstr>
    </vt:vector>
  </TitlesOfParts>
  <Company>Universidade da Beira Interior</Company>
  <LinksUpToDate>false</LinksUpToDate>
  <CharactersWithSpaces>142765</CharactersWithSpaces>
  <SharedDoc>false</SharedDoc>
  <HLinks>
    <vt:vector size="126" baseType="variant">
      <vt:variant>
        <vt:i4>1769543</vt:i4>
      </vt:variant>
      <vt:variant>
        <vt:i4>162</vt:i4>
      </vt:variant>
      <vt:variant>
        <vt:i4>0</vt:i4>
      </vt:variant>
      <vt:variant>
        <vt:i4>5</vt:i4>
      </vt:variant>
      <vt:variant>
        <vt:lpwstr>http://fp.academic.venturacollege.edu/doliver/chem12b/notes/ch25notes.htm</vt:lpwstr>
      </vt:variant>
      <vt:variant>
        <vt:lpwstr/>
      </vt:variant>
      <vt:variant>
        <vt:i4>1966099</vt:i4>
      </vt:variant>
      <vt:variant>
        <vt:i4>159</vt:i4>
      </vt:variant>
      <vt:variant>
        <vt:i4>0</vt:i4>
      </vt:variant>
      <vt:variant>
        <vt:i4>5</vt:i4>
      </vt:variant>
      <vt:variant>
        <vt:lpwstr>http://www.gehaka.com.br/prod_main.asp?cod_prod=370</vt:lpwstr>
      </vt:variant>
      <vt:variant>
        <vt:lpwstr/>
      </vt:variant>
      <vt:variant>
        <vt:i4>5898296</vt:i4>
      </vt:variant>
      <vt:variant>
        <vt:i4>156</vt:i4>
      </vt:variant>
      <vt:variant>
        <vt:i4>0</vt:i4>
      </vt:variant>
      <vt:variant>
        <vt:i4>5</vt:i4>
      </vt:variant>
      <vt:variant>
        <vt:lpwstr>http://www.hipperquimica.com.br/catalogo/index_ver1.asp?classi=2&amp;def=full</vt:lpwstr>
      </vt:variant>
      <vt:variant>
        <vt:lpwstr/>
      </vt:variant>
      <vt:variant>
        <vt:i4>327770</vt:i4>
      </vt:variant>
      <vt:variant>
        <vt:i4>153</vt:i4>
      </vt:variant>
      <vt:variant>
        <vt:i4>0</vt:i4>
      </vt:variant>
      <vt:variant>
        <vt:i4>5</vt:i4>
      </vt:variant>
      <vt:variant>
        <vt:lpwstr>http://www.vortex-mixer.com/</vt:lpwstr>
      </vt:variant>
      <vt:variant>
        <vt:lpwstr/>
      </vt:variant>
      <vt:variant>
        <vt:i4>1572911</vt:i4>
      </vt:variant>
      <vt:variant>
        <vt:i4>150</vt:i4>
      </vt:variant>
      <vt:variant>
        <vt:i4>0</vt:i4>
      </vt:variant>
      <vt:variant>
        <vt:i4>5</vt:i4>
      </vt:variant>
      <vt:variant>
        <vt:lpwstr>http://www.tudolab.com.br/loja/index.php?main_page=product_info&amp;cPath=7&amp;products_id=402</vt:lpwstr>
      </vt:variant>
      <vt:variant>
        <vt:lpwstr/>
      </vt:variant>
      <vt:variant>
        <vt:i4>7733270</vt:i4>
      </vt:variant>
      <vt:variant>
        <vt:i4>147</vt:i4>
      </vt:variant>
      <vt:variant>
        <vt:i4>0</vt:i4>
      </vt:variant>
      <vt:variant>
        <vt:i4>5</vt:i4>
      </vt:variant>
      <vt:variant>
        <vt:lpwstr>http://www.enq.ufsc.br/labs/probio/disc_eng_bioq/apostilas/Apostila_</vt:lpwstr>
      </vt:variant>
      <vt:variant>
        <vt:lpwstr/>
      </vt:variant>
      <vt:variant>
        <vt:i4>5898306</vt:i4>
      </vt:variant>
      <vt:variant>
        <vt:i4>144</vt:i4>
      </vt:variant>
      <vt:variant>
        <vt:i4>0</vt:i4>
      </vt:variant>
      <vt:variant>
        <vt:i4>5</vt:i4>
      </vt:variant>
      <vt:variant>
        <vt:lpwstr>http://www.octopus.furg.br/ensino/Teoria/</vt:lpwstr>
      </vt:variant>
      <vt:variant>
        <vt:lpwstr/>
      </vt:variant>
      <vt:variant>
        <vt:i4>4194336</vt:i4>
      </vt:variant>
      <vt:variant>
        <vt:i4>141</vt:i4>
      </vt:variant>
      <vt:variant>
        <vt:i4>0</vt:i4>
      </vt:variant>
      <vt:variant>
        <vt:i4>5</vt:i4>
      </vt:variant>
      <vt:variant>
        <vt:lpwstr>http://www.enq.ufsc.br/labs/probio/disc_eng_bioq/ apresentacoes/Apresentacao_cinetica_enzimatica_ju.ppt</vt:lpwstr>
      </vt:variant>
      <vt:variant>
        <vt:lpwstr/>
      </vt:variant>
      <vt:variant>
        <vt:i4>4980741</vt:i4>
      </vt:variant>
      <vt:variant>
        <vt:i4>138</vt:i4>
      </vt:variant>
      <vt:variant>
        <vt:i4>0</vt:i4>
      </vt:variant>
      <vt:variant>
        <vt:i4>5</vt:i4>
      </vt:variant>
      <vt:variant>
        <vt:lpwstr>http://www.enq.ufsc.br/labs/probio/disc_eng_bioq/lista_exerc/ cinetica_enzimatica.pdf</vt:lpwstr>
      </vt:variant>
      <vt:variant>
        <vt:lpwstr/>
      </vt:variant>
      <vt:variant>
        <vt:i4>2097199</vt:i4>
      </vt:variant>
      <vt:variant>
        <vt:i4>135</vt:i4>
      </vt:variant>
      <vt:variant>
        <vt:i4>0</vt:i4>
      </vt:variant>
      <vt:variant>
        <vt:i4>5</vt:i4>
      </vt:variant>
      <vt:variant>
        <vt:lpwstr>http://www.enq.ufsc.br/labs/probio/disc_eng_bioq/ trabalhos_pos2003/const_microorg/enzimas.htm</vt:lpwstr>
      </vt:variant>
      <vt:variant>
        <vt:lpwstr/>
      </vt:variant>
      <vt:variant>
        <vt:i4>7209068</vt:i4>
      </vt:variant>
      <vt:variant>
        <vt:i4>132</vt:i4>
      </vt:variant>
      <vt:variant>
        <vt:i4>0</vt:i4>
      </vt:variant>
      <vt:variant>
        <vt:i4>5</vt:i4>
      </vt:variant>
      <vt:variant>
        <vt:lpwstr>http://www.ciagri.usp.br/~luagallo/Enzimas2.htm</vt:lpwstr>
      </vt:variant>
      <vt:variant>
        <vt:lpwstr/>
      </vt:variant>
      <vt:variant>
        <vt:i4>7209068</vt:i4>
      </vt:variant>
      <vt:variant>
        <vt:i4>129</vt:i4>
      </vt:variant>
      <vt:variant>
        <vt:i4>0</vt:i4>
      </vt:variant>
      <vt:variant>
        <vt:i4>5</vt:i4>
      </vt:variant>
      <vt:variant>
        <vt:lpwstr>http://www.ciagri.usp.br/~luagallo/Enzimas2.htm</vt:lpwstr>
      </vt:variant>
      <vt:variant>
        <vt:lpwstr/>
      </vt:variant>
      <vt:variant>
        <vt:i4>6160457</vt:i4>
      </vt:variant>
      <vt:variant>
        <vt:i4>18</vt:i4>
      </vt:variant>
      <vt:variant>
        <vt:i4>0</vt:i4>
      </vt:variant>
      <vt:variant>
        <vt:i4>5</vt:i4>
      </vt:variant>
      <vt:variant>
        <vt:lpwstr>http://www.chem.qmul.ac.uk/iubmb/enzyme/EC1/11/1/</vt:lpwstr>
      </vt:variant>
      <vt:variant>
        <vt:lpwstr/>
      </vt:variant>
      <vt:variant>
        <vt:i4>6684711</vt:i4>
      </vt:variant>
      <vt:variant>
        <vt:i4>15</vt:i4>
      </vt:variant>
      <vt:variant>
        <vt:i4>0</vt:i4>
      </vt:variant>
      <vt:variant>
        <vt:i4>5</vt:i4>
      </vt:variant>
      <vt:variant>
        <vt:lpwstr>http://pt.wikipedia.org/wiki/Electr%C3%A3o</vt:lpwstr>
      </vt:variant>
      <vt:variant>
        <vt:lpwstr/>
      </vt:variant>
      <vt:variant>
        <vt:i4>6160471</vt:i4>
      </vt:variant>
      <vt:variant>
        <vt:i4>12</vt:i4>
      </vt:variant>
      <vt:variant>
        <vt:i4>0</vt:i4>
      </vt:variant>
      <vt:variant>
        <vt:i4>5</vt:i4>
      </vt:variant>
      <vt:variant>
        <vt:lpwstr>http://www.chem.qmul.ac.uk/iubmb/enzyme/EC1/</vt:lpwstr>
      </vt:variant>
      <vt:variant>
        <vt:lpwstr/>
      </vt:variant>
      <vt:variant>
        <vt:i4>8257612</vt:i4>
      </vt:variant>
      <vt:variant>
        <vt:i4>9</vt:i4>
      </vt:variant>
      <vt:variant>
        <vt:i4>0</vt:i4>
      </vt:variant>
      <vt:variant>
        <vt:i4>5</vt:i4>
      </vt:variant>
      <vt:variant>
        <vt:lpwstr>http://pt.wikipedia.org/wiki/Reac%C3%A7%C3%A3o_qu%C3%ADmica</vt:lpwstr>
      </vt:variant>
      <vt:variant>
        <vt:lpwstr/>
      </vt:variant>
      <vt:variant>
        <vt:i4>2752610</vt:i4>
      </vt:variant>
      <vt:variant>
        <vt:i4>6</vt:i4>
      </vt:variant>
      <vt:variant>
        <vt:i4>0</vt:i4>
      </vt:variant>
      <vt:variant>
        <vt:i4>5</vt:i4>
      </vt:variant>
      <vt:variant>
        <vt:lpwstr>http://pt.wikipedia.org/wiki/Per%C3%B3xido_de_hidrog%C3%A9nio</vt:lpwstr>
      </vt:variant>
      <vt:variant>
        <vt:lpwstr/>
      </vt:variant>
      <vt:variant>
        <vt:i4>7864360</vt:i4>
      </vt:variant>
      <vt:variant>
        <vt:i4>3</vt:i4>
      </vt:variant>
      <vt:variant>
        <vt:i4>0</vt:i4>
      </vt:variant>
      <vt:variant>
        <vt:i4>5</vt:i4>
      </vt:variant>
      <vt:variant>
        <vt:lpwstr>http://pt.wikipedia.org/wiki/Enzima</vt:lpwstr>
      </vt:variant>
      <vt:variant>
        <vt:lpwstr/>
      </vt:variant>
      <vt:variant>
        <vt:i4>7143484</vt:i4>
      </vt:variant>
      <vt:variant>
        <vt:i4>0</vt:i4>
      </vt:variant>
      <vt:variant>
        <vt:i4>0</vt:i4>
      </vt:variant>
      <vt:variant>
        <vt:i4>5</vt:i4>
      </vt:variant>
      <vt:variant>
        <vt:lpwstr>http://www.chem.qmul.ac.uk/iubmb/enzyme/EC1/11/1/6.html</vt:lpwstr>
      </vt:variant>
      <vt:variant>
        <vt:lpwstr/>
      </vt:variant>
      <vt:variant>
        <vt:i4>5898351</vt:i4>
      </vt:variant>
      <vt:variant>
        <vt:i4>-1</vt:i4>
      </vt:variant>
      <vt:variant>
        <vt:i4>1713</vt:i4>
      </vt:variant>
      <vt:variant>
        <vt:i4>1</vt:i4>
      </vt:variant>
      <vt:variant>
        <vt:lpwstr>http://www.gehaka.com.br/fotos/370_g.jpg</vt:lpwstr>
      </vt:variant>
      <vt:variant>
        <vt:lpwstr/>
      </vt:variant>
      <vt:variant>
        <vt:i4>3539047</vt:i4>
      </vt:variant>
      <vt:variant>
        <vt:i4>-1</vt:i4>
      </vt:variant>
      <vt:variant>
        <vt:i4>2058</vt:i4>
      </vt:variant>
      <vt:variant>
        <vt:i4>1</vt:i4>
      </vt:variant>
      <vt:variant>
        <vt:lpwstr>http://www.mrc-lmb.cam.ac.uk/genomes/date/1uok.gif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ÍNDICE</dc:title>
  <dc:creator>Administrator</dc:creator>
  <cp:lastModifiedBy>Blandina Esteves</cp:lastModifiedBy>
  <cp:revision>826</cp:revision>
  <cp:lastPrinted>2011-06-27T15:06:00Z</cp:lastPrinted>
  <dcterms:created xsi:type="dcterms:W3CDTF">2010-10-24T21:00:00Z</dcterms:created>
  <dcterms:modified xsi:type="dcterms:W3CDTF">2011-06-27T15:07:00Z</dcterms:modified>
</cp:coreProperties>
</file>